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ind w:left="0" w:right="0" w:hanging="0"/>
        <w:jc w:val="left"/>
        <w:rPr>
          <w:caps w:val="false"/>
          <w:smallCaps w:val="false"/>
        </w:rPr>
      </w:pPr>
      <w:bookmarkStart w:id="0" w:name="nodk-20230930.htm"/>
      <w:bookmarkStart w:id="1" w:name="ksnodk20230930"/>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120" w:after="12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September 30, 2023</w:t>
      </w:r>
    </w:p>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001-37973</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81-2683619</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 First Avenue North</w:t>
              <w:br/>
              <w:t>Fargo, 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58102</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160" w:after="160"/>
        <w:ind w:left="160" w:right="1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298-4200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former address, and former fiscal year, if changed since last report</w:t>
      </w:r>
    </w:p>
    <w:p>
      <w:pPr>
        <w:pStyle w:val="TextBody"/>
        <w:pBdr>
          <w:bottom w:val="single" w:sz="8" w:space="1" w:color="000000"/>
        </w:pBdr>
        <w:bidi w:val="0"/>
        <w:jc w:val="center"/>
        <w:rPr>
          <w:caps w:val="false"/>
          <w:smallCaps w:val="false"/>
        </w:rPr>
      </w:pPr>
      <w:r>
        <w:rPr>
          <w:caps w:val="false"/>
          <w:smallCaps w:val="false"/>
        </w:rPr>
        <w:t> </w:t>
      </w:r>
    </w:p>
    <w:p>
      <w:pPr>
        <w:pStyle w:val="TextBody"/>
        <w:bidi w:val="0"/>
        <w:spacing w:before="160" w:after="160"/>
        <w:ind w:left="160" w:right="1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410"/>
        <w:gridCol w:w="1655"/>
        <w:gridCol w:w="3710"/>
      </w:tblGrid>
      <w:tr>
        <w:trPr/>
        <w:tc>
          <w:tcPr>
            <w:tcW w:w="3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165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Symbol(s)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tc>
        <w:tc>
          <w:tcPr>
            <w:tcW w:w="1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NODK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No  ☐</w:t>
      </w:r>
    </w:p>
    <w:p>
      <w:pPr>
        <w:pStyle w:val="TextBody"/>
        <w:bidi w:val="0"/>
        <w:spacing w:before="0" w:after="16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  Yes    No  ☐</w:t>
      </w:r>
    </w:p>
    <w:p>
      <w:pPr>
        <w:pStyle w:val="TextBody"/>
        <w:bidi w:val="0"/>
        <w:spacing w:before="0" w:after="16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60" w:after="160"/>
        <w:ind w:left="160" w:right="1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is a shell company (as defined in Rule 12b-2 of the Exchange Act).   ☐  Yes    No  ☒</w:t>
      </w:r>
    </w:p>
    <w:p>
      <w:pPr>
        <w:pStyle w:val="TextBody"/>
        <w:bidi w:val="0"/>
        <w:spacing w:before="160" w:after="160"/>
        <w:ind w:left="160" w:right="1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Registrant’s common stock outstanding on October 31, 2023 was 20,575,593. No preferred shares are issued or outstanding.</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20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hyperlink w:anchor="a_001">
              <w:r>
                <w:rPr>
                  <w:rStyle w:val="InternetLink"/>
                </w:rPr>
                <w:t>FORWARD-LOOKING STATEMENTS</w:t>
              </w:r>
            </w:hyperlink>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hyperlink w:anchor="a_002">
              <w:r>
                <w:rPr>
                  <w:rStyle w:val="InternetLink"/>
                </w:rPr>
                <w:t>Part I. - FINANCIAL INFORMATION</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3">
              <w:r>
                <w:rPr>
                  <w:rStyle w:val="InternetLink"/>
                </w:rPr>
                <w:t>Item 1. - Financial Statements</w:t>
              </w:r>
            </w:hyperlink>
          </w:p>
        </w:tc>
        <w:tc>
          <w:tcPr>
            <w:tcW w:w="275" w:type="dxa"/>
            <w:tcBorders/>
            <w:vAlign w:val="center"/>
          </w:tcPr>
          <w:p>
            <w:pPr>
              <w:pStyle w:val="TableContents"/>
              <w:bidi w:val="0"/>
              <w:spacing w:before="0" w:after="283"/>
              <w:ind w:left="0" w:right="0" w:hanging="1080"/>
              <w:jc w:val="right"/>
              <w:rPr/>
            </w:pPr>
            <w:r>
              <w:rPr/>
              <w:t>3</w:t>
            </w:r>
          </w:p>
        </w:tc>
      </w:tr>
      <w:tr>
        <w:trPr/>
        <w:tc>
          <w:tcPr>
            <w:tcW w:w="9930" w:type="dxa"/>
            <w:tcBorders/>
            <w:vAlign w:val="center"/>
          </w:tcPr>
          <w:p>
            <w:pPr>
              <w:pStyle w:val="TableContents"/>
              <w:bidi w:val="0"/>
              <w:spacing w:before="0" w:after="283"/>
              <w:jc w:val="left"/>
              <w:rPr/>
            </w:pPr>
            <w:hyperlink w:anchor="a_004">
              <w:r>
                <w:rPr>
                  <w:rStyle w:val="InternetLink"/>
                </w:rPr>
                <w:t>Consolidated Balance Sheet – September 30, 2023 (Unaudited) and December 31, 2022</w:t>
              </w:r>
            </w:hyperlink>
          </w:p>
        </w:tc>
        <w:tc>
          <w:tcPr>
            <w:tcW w:w="275" w:type="dxa"/>
            <w:tcBorders/>
            <w:vAlign w:val="center"/>
          </w:tcPr>
          <w:p>
            <w:pPr>
              <w:pStyle w:val="TableContents"/>
              <w:bidi w:val="0"/>
              <w:spacing w:before="0" w:after="283"/>
              <w:ind w:left="0" w:right="0" w:hanging="1080"/>
              <w:jc w:val="right"/>
              <w:rPr/>
            </w:pPr>
            <w:r>
              <w:rPr/>
              <w:t>3</w:t>
            </w:r>
          </w:p>
        </w:tc>
      </w:tr>
      <w:tr>
        <w:trPr/>
        <w:tc>
          <w:tcPr>
            <w:tcW w:w="9930" w:type="dxa"/>
            <w:tcBorders/>
            <w:vAlign w:val="center"/>
          </w:tcPr>
          <w:p>
            <w:pPr>
              <w:pStyle w:val="TableContents"/>
              <w:bidi w:val="0"/>
              <w:spacing w:before="0" w:after="283"/>
              <w:jc w:val="left"/>
              <w:rPr/>
            </w:pPr>
            <w:hyperlink w:anchor="a_005">
              <w:r>
                <w:rPr>
                  <w:rStyle w:val="InternetLink"/>
                </w:rPr>
                <w:t>Consolidated Statements of Operations (Unaudited) – Three Months and Nine Months Ended September 30, 2023 and 2022</w:t>
              </w:r>
            </w:hyperlink>
          </w:p>
        </w:tc>
        <w:tc>
          <w:tcPr>
            <w:tcW w:w="275" w:type="dxa"/>
            <w:tcBorders/>
            <w:vAlign w:val="center"/>
          </w:tcPr>
          <w:p>
            <w:pPr>
              <w:pStyle w:val="TableContents"/>
              <w:bidi w:val="0"/>
              <w:spacing w:before="0" w:after="283"/>
              <w:ind w:left="0" w:right="0" w:hanging="1080"/>
              <w:jc w:val="right"/>
              <w:rPr/>
            </w:pPr>
            <w:r>
              <w:rPr/>
              <w:t>4</w:t>
            </w:r>
          </w:p>
        </w:tc>
      </w:tr>
      <w:tr>
        <w:trPr/>
        <w:tc>
          <w:tcPr>
            <w:tcW w:w="9930" w:type="dxa"/>
            <w:tcBorders/>
            <w:vAlign w:val="center"/>
          </w:tcPr>
          <w:p>
            <w:pPr>
              <w:pStyle w:val="TableContents"/>
              <w:bidi w:val="0"/>
              <w:spacing w:before="0" w:after="283"/>
              <w:jc w:val="left"/>
              <w:rPr/>
            </w:pPr>
            <w:hyperlink w:anchor="a_006">
              <w:r>
                <w:rPr>
                  <w:rStyle w:val="InternetLink"/>
                </w:rPr>
                <w:t>Consolidated Statements of Comprehensive Income (Loss) (Unaudited) – Three Months and Nine Months Ended September 30, 2023 and 2022</w:t>
              </w:r>
            </w:hyperlink>
          </w:p>
        </w:tc>
        <w:tc>
          <w:tcPr>
            <w:tcW w:w="275" w:type="dxa"/>
            <w:tcBorders/>
            <w:vAlign w:val="center"/>
          </w:tcPr>
          <w:p>
            <w:pPr>
              <w:pStyle w:val="TableContents"/>
              <w:bidi w:val="0"/>
              <w:spacing w:before="0" w:after="283"/>
              <w:ind w:left="0" w:right="0" w:hanging="1080"/>
              <w:jc w:val="right"/>
              <w:rPr/>
            </w:pPr>
            <w:r>
              <w:rPr/>
              <w:t>5</w:t>
            </w:r>
          </w:p>
        </w:tc>
      </w:tr>
      <w:tr>
        <w:trPr/>
        <w:tc>
          <w:tcPr>
            <w:tcW w:w="9930" w:type="dxa"/>
            <w:tcBorders/>
            <w:vAlign w:val="center"/>
          </w:tcPr>
          <w:p>
            <w:pPr>
              <w:pStyle w:val="TableContents"/>
              <w:bidi w:val="0"/>
              <w:spacing w:before="0" w:after="283"/>
              <w:jc w:val="left"/>
              <w:rPr/>
            </w:pPr>
            <w:hyperlink w:anchor="a_007">
              <w:r>
                <w:rPr>
                  <w:rStyle w:val="InternetLink"/>
                </w:rPr>
                <w:t>Consolidated Statements of Changes in Shareholders’ Equity (Unaudited) – Three Months and Nine Months Ended September 30, 2023 and 2022</w:t>
              </w:r>
            </w:hyperlink>
          </w:p>
        </w:tc>
        <w:tc>
          <w:tcPr>
            <w:tcW w:w="275" w:type="dxa"/>
            <w:tcBorders/>
            <w:vAlign w:val="center"/>
          </w:tcPr>
          <w:p>
            <w:pPr>
              <w:pStyle w:val="TableContents"/>
              <w:bidi w:val="0"/>
              <w:spacing w:before="0" w:after="283"/>
              <w:ind w:left="0" w:right="0" w:hanging="1080"/>
              <w:jc w:val="right"/>
              <w:rPr/>
            </w:pPr>
            <w:r>
              <w:rPr/>
              <w:t>6</w:t>
            </w:r>
          </w:p>
        </w:tc>
      </w:tr>
      <w:tr>
        <w:trPr/>
        <w:tc>
          <w:tcPr>
            <w:tcW w:w="9930" w:type="dxa"/>
            <w:tcBorders/>
            <w:vAlign w:val="center"/>
          </w:tcPr>
          <w:p>
            <w:pPr>
              <w:pStyle w:val="TableContents"/>
              <w:bidi w:val="0"/>
              <w:spacing w:before="0" w:after="283"/>
              <w:jc w:val="left"/>
              <w:rPr/>
            </w:pPr>
            <w:hyperlink w:anchor="a_008">
              <w:r>
                <w:rPr>
                  <w:rStyle w:val="InternetLink"/>
                </w:rPr>
                <w:t>Consolidated Statements of Cash Flows (Unaudited) – Nine Months Ended September 30, 2023 and 2022</w:t>
              </w:r>
            </w:hyperlink>
          </w:p>
        </w:tc>
        <w:tc>
          <w:tcPr>
            <w:tcW w:w="275" w:type="dxa"/>
            <w:tcBorders/>
            <w:vAlign w:val="center"/>
          </w:tcPr>
          <w:p>
            <w:pPr>
              <w:pStyle w:val="TableContents"/>
              <w:bidi w:val="0"/>
              <w:spacing w:before="0" w:after="283"/>
              <w:ind w:left="0" w:right="0" w:hanging="1080"/>
              <w:jc w:val="right"/>
              <w:rPr/>
            </w:pPr>
            <w:r>
              <w:rPr/>
              <w:t>8</w:t>
            </w:r>
          </w:p>
        </w:tc>
      </w:tr>
      <w:tr>
        <w:trPr/>
        <w:tc>
          <w:tcPr>
            <w:tcW w:w="9930" w:type="dxa"/>
            <w:tcBorders/>
            <w:vAlign w:val="center"/>
          </w:tcPr>
          <w:p>
            <w:pPr>
              <w:pStyle w:val="TableContents"/>
              <w:bidi w:val="0"/>
              <w:spacing w:before="0" w:after="283"/>
              <w:jc w:val="left"/>
              <w:rPr/>
            </w:pPr>
            <w:hyperlink w:anchor="a_009">
              <w:r>
                <w:rPr>
                  <w:rStyle w:val="InternetLink"/>
                </w:rPr>
                <w:t>Notes to Unaudited Consolidated Financial Statements</w:t>
              </w:r>
            </w:hyperlink>
          </w:p>
        </w:tc>
        <w:tc>
          <w:tcPr>
            <w:tcW w:w="275" w:type="dxa"/>
            <w:tcBorders/>
            <w:vAlign w:val="center"/>
          </w:tcPr>
          <w:p>
            <w:pPr>
              <w:pStyle w:val="TableContents"/>
              <w:bidi w:val="0"/>
              <w:spacing w:before="0" w:after="283"/>
              <w:ind w:left="0" w:right="0" w:hanging="720"/>
              <w:jc w:val="right"/>
              <w:rPr/>
            </w:pPr>
            <w:r>
              <w:rPr/>
              <w:t>9</w:t>
            </w:r>
          </w:p>
        </w:tc>
      </w:tr>
      <w:tr>
        <w:trPr/>
        <w:tc>
          <w:tcPr>
            <w:tcW w:w="9930" w:type="dxa"/>
            <w:tcBorders/>
            <w:vAlign w:val="center"/>
          </w:tcPr>
          <w:p>
            <w:pPr>
              <w:pStyle w:val="TableContents"/>
              <w:bidi w:val="0"/>
              <w:spacing w:before="0" w:after="283"/>
              <w:jc w:val="left"/>
              <w:rPr/>
            </w:pPr>
            <w:hyperlink w:anchor="a_010">
              <w:r>
                <w:rPr>
                  <w:rStyle w:val="InternetLink"/>
                </w:rPr>
                <w:t>Item 2. - Management’s Discussion and Analysis of Financial Condition and Results of Operations</w:t>
              </w:r>
            </w:hyperlink>
          </w:p>
        </w:tc>
        <w:tc>
          <w:tcPr>
            <w:tcW w:w="275" w:type="dxa"/>
            <w:tcBorders/>
            <w:vAlign w:val="center"/>
          </w:tcPr>
          <w:p>
            <w:pPr>
              <w:pStyle w:val="TableContents"/>
              <w:bidi w:val="0"/>
              <w:spacing w:before="0" w:after="283"/>
              <w:ind w:left="0" w:right="0" w:hanging="720"/>
              <w:jc w:val="right"/>
              <w:rPr/>
            </w:pPr>
            <w:r>
              <w:rPr/>
              <w:t>34</w:t>
            </w:r>
          </w:p>
        </w:tc>
      </w:tr>
      <w:tr>
        <w:trPr/>
        <w:tc>
          <w:tcPr>
            <w:tcW w:w="9930" w:type="dxa"/>
            <w:tcBorders/>
            <w:vAlign w:val="center"/>
          </w:tcPr>
          <w:p>
            <w:pPr>
              <w:pStyle w:val="TableContents"/>
              <w:bidi w:val="0"/>
              <w:spacing w:before="0" w:after="283"/>
              <w:jc w:val="left"/>
              <w:rPr/>
            </w:pPr>
            <w:hyperlink w:anchor="a_011">
              <w:r>
                <w:rPr>
                  <w:rStyle w:val="InternetLink"/>
                </w:rPr>
                <w:t>Item 3. - Quantitative and Qualitative Disclosures about Market Risk</w:t>
              </w:r>
            </w:hyperlink>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hyperlink w:anchor="a_012">
              <w:r>
                <w:rPr>
                  <w:rStyle w:val="InternetLink"/>
                </w:rPr>
                <w:t>Item 4. - Controls and Procedures</w:t>
              </w:r>
            </w:hyperlink>
          </w:p>
        </w:tc>
        <w:tc>
          <w:tcPr>
            <w:tcW w:w="275" w:type="dxa"/>
            <w:tcBorders/>
            <w:vAlign w:val="center"/>
          </w:tcPr>
          <w:p>
            <w:pPr>
              <w:pStyle w:val="TableContents"/>
              <w:bidi w:val="0"/>
              <w:spacing w:before="0" w:after="283"/>
              <w:jc w:val="right"/>
              <w:rPr/>
            </w:pPr>
            <w:r>
              <w:rPr/>
              <w:t>42</w:t>
            </w:r>
          </w:p>
        </w:tc>
      </w:tr>
      <w:tr>
        <w:trPr/>
        <w:tc>
          <w:tcPr>
            <w:tcW w:w="9930" w:type="dxa"/>
            <w:tcBorders/>
            <w:vAlign w:val="center"/>
          </w:tcPr>
          <w:p>
            <w:pPr>
              <w:pStyle w:val="TableContents"/>
              <w:bidi w:val="0"/>
              <w:spacing w:before="0" w:after="283"/>
              <w:jc w:val="left"/>
              <w:rPr/>
            </w:pPr>
            <w:hyperlink w:anchor="a_013">
              <w:r>
                <w:rPr>
                  <w:rStyle w:val="InternetLink"/>
                </w:rPr>
                <w:t>Part II. - OTHER INFORMATION</w:t>
              </w:r>
            </w:hyperlink>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hyperlink w:anchor="a_014">
              <w:r>
                <w:rPr>
                  <w:rStyle w:val="InternetLink"/>
                </w:rPr>
                <w:t>Item 1. - Legal Proceedings</w:t>
              </w:r>
            </w:hyperlink>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hyperlink w:anchor="a_015">
              <w:r>
                <w:rPr>
                  <w:rStyle w:val="InternetLink"/>
                </w:rPr>
                <w:t>Item 1A. - Risk Factors</w:t>
              </w:r>
            </w:hyperlink>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hyperlink w:anchor="a_016">
              <w:r>
                <w:rPr>
                  <w:rStyle w:val="InternetLink"/>
                </w:rPr>
                <w:t>Item 2. - Unregistered Sales of Equity Securities and Use of Proceeds</w:t>
              </w:r>
            </w:hyperlink>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hyperlink w:anchor="a_017">
              <w:r>
                <w:rPr>
                  <w:rStyle w:val="InternetLink"/>
                </w:rPr>
                <w:t>Item 3. - Defaults upon Senior Securities</w:t>
              </w:r>
            </w:hyperlink>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hyperlink w:anchor="a_018">
              <w:r>
                <w:rPr>
                  <w:rStyle w:val="InternetLink"/>
                </w:rPr>
                <w:t>Item 4. - Mine Safety Disclosures</w:t>
              </w:r>
            </w:hyperlink>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hyperlink w:anchor="a_019">
              <w:r>
                <w:rPr>
                  <w:rStyle w:val="InternetLink"/>
                </w:rPr>
                <w:t>Item 5. - Other Information</w:t>
              </w:r>
            </w:hyperlink>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hyperlink w:anchor="a_020">
              <w:r>
                <w:rPr>
                  <w:rStyle w:val="InternetLink"/>
                </w:rPr>
                <w:t>Item 6. - Exhibits</w:t>
              </w:r>
            </w:hyperlink>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hyperlink w:anchor="a_021">
              <w:r>
                <w:rPr>
                  <w:rStyle w:val="InternetLink"/>
                </w:rPr>
                <w:t>Signatures</w:t>
              </w:r>
            </w:hyperlink>
          </w:p>
        </w:tc>
        <w:tc>
          <w:tcPr>
            <w:tcW w:w="275" w:type="dxa"/>
            <w:tcBorders/>
            <w:vAlign w:val="center"/>
          </w:tcPr>
          <w:p>
            <w:pPr>
              <w:pStyle w:val="TableContents"/>
              <w:bidi w:val="0"/>
              <w:spacing w:before="0" w:after="283"/>
              <w:jc w:val="right"/>
              <w:rPr/>
            </w:pPr>
            <w:r>
              <w:rPr/>
              <w:t>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6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INFORMATION</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Quarterly Report on Form 10-Q (“Form 10-Q"):</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Nodak Mutual Group” refers to Nodak Mutual Group, Inc., which is the majority shareholder of NI Holdings;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Nodak Mutual” refers to Nodak Mutual Insurance Company, the predecessor company to Nodak Insurance Company prior to the conversion;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Nodak Insurance” refers to Nodak Insurance Company or Nodak Mutual Insurance Company interchangeably;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members” refers to the policyholders of Nodak Insurance, who are the named insureds under insurance policies issued by Nodak Insurance;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American West” refers to American West Insurance Company. American West is a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Primero” refers to Primero Insurance Company. Primero is an indirect,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Westminster” refers to Westminster American Insurance Company. On January 1, 2020, NI Holdings completed the acquisition of 100% of the common stock of Westminster from the private shareholder of Westminster, and Westminster became a consolidated subsidiary of NI Holdings. Westminster is a property and casualty insurance company specializing in commercial multi-peril insurance in the Mid-Atlantic states;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t>Nodak Agency” refers to Nodak Agency, Inc. Nodak Agency is a wholly-owned subsidiary of Nodak Insurance.</w:t>
            </w:r>
          </w:p>
        </w:tc>
      </w:tr>
    </w:tbl>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60"/>
        <w:ind w:left="240" w:right="24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20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left"/>
              <w:rPr/>
            </w:pPr>
            <w:r>
              <w:rPr/>
              <w:t>our anticipated operating and financial performance, business plans, and prospects;</w:t>
            </w:r>
          </w:p>
        </w:tc>
      </w:tr>
    </w:tbl>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t>strategic reviews, capital allocation objectives, dividends, and share repurchases;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plans for and prospects of acquisitions, dispositions, and other business development activities, and our ability to successfully capitalize on these opportunities;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impact of a future pandemic and related economic conditions, including the potential impact on the Company's investments;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enter new markets successfully and capitalize on growth opportunities either through acquisitions or the expansion of our agent network;</w:t>
            </w:r>
          </w:p>
        </w:tc>
      </w:tr>
    </w:tbl>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left"/>
              <w:rPr/>
            </w:pPr>
            <w:r>
              <w:rPr/>
              <w:t>cyclical changes in the insurance industry, competition, and innovation and emerging technologies;</w:t>
            </w:r>
          </w:p>
        </w:tc>
      </w:tr>
    </w:tbl>
    <w:tbl>
      <w:tblPr>
        <w:tblW w:w="5000" w:type="pct"/>
        <w:jc w:val="left"/>
        <w:tblInd w:w="0" w:type="dxa"/>
        <w:tblLayout w:type="fixed"/>
        <w:tblCellMar>
          <w:top w:w="0" w:type="dxa"/>
          <w:left w:w="0" w:type="dxa"/>
          <w:bottom w:w="0" w:type="dxa"/>
          <w:right w:w="0" w:type="dxa"/>
        </w:tblCellMar>
      </w:tblPr>
      <w:tblGrid>
        <w:gridCol w:w="45"/>
        <w:gridCol w:w="201"/>
        <w:gridCol w:w="9959"/>
      </w:tblGrid>
      <w:tr>
        <w:trPr/>
        <w:tc>
          <w:tcPr>
            <w:tcW w:w="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left"/>
              <w:rPr/>
            </w:pPr>
            <w:r>
              <w:rPr/>
              <w:t>expectations for impact of or changes to existing or new government regulations or laws;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anticipate and respond to macroeconomic, geopolitical, health and industry trends, pandemics, acts of war, and other large-scale crises;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developments in general economic conditions, domestic and global financial markets, interest rates, unemployment, or inflation, that could affect the performance of our insurance operations and/or investment portfolio;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effectively manage future growth, including additional necessary capital, systems, and personnel.</w:t>
            </w:r>
          </w:p>
        </w:tc>
      </w:tr>
    </w:tbl>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Form 10-Q and in the Part I, Item 1A, “Risk Factors” section in our Annual Report on Form 10-K for the year ended December 31, 2022 (“2022 Annual Report”). The occurrence of any of the risks identified in the Part I, Item 1A, “Risk Factors” section of the 2022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 - FINANCIAL INFORMATION</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 Financial Statements</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Consolidated Balance Sheets</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par value)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4"/>
        <w:gridCol w:w="60"/>
        <w:gridCol w:w="217"/>
        <w:gridCol w:w="1244"/>
        <w:gridCol w:w="95"/>
        <w:gridCol w:w="60"/>
        <w:gridCol w:w="208"/>
        <w:gridCol w:w="1193"/>
        <w:gridCol w:w="264"/>
      </w:tblGrid>
      <w:tr>
        <w:trPr/>
        <w:tc>
          <w:tcPr>
            <w:tcW w:w="6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264" w:type="dxa"/>
            <w:tcBorders/>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pPr>
            <w:r>
              <w:rPr/>
              <w:t> </w:t>
            </w:r>
          </w:p>
        </w:tc>
        <w:tc>
          <w:tcPr>
            <w:tcW w:w="264" w:type="dxa"/>
            <w:tcBorders/>
            <w:vAlign w:val="center"/>
          </w:tcPr>
          <w:p>
            <w:pPr>
              <w:pStyle w:val="TableContents"/>
              <w:bidi w:val="0"/>
              <w:spacing w:before="0" w:after="283"/>
              <w:ind w:left="0" w:right="0" w:hanging="216"/>
              <w:jc w:val="left"/>
              <w:rPr/>
            </w:pPr>
            <w:r>
              <w:rPr/>
              <w:t> </w:t>
            </w:r>
          </w:p>
        </w:tc>
      </w:tr>
      <w:tr>
        <w:trPr/>
        <w:tc>
          <w:tcPr>
            <w:tcW w:w="6864"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Cash and cash equivalents</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34,506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193" w:type="dxa"/>
            <w:tcBorders/>
            <w:vAlign w:val="center"/>
          </w:tcPr>
          <w:p>
            <w:pPr>
              <w:pStyle w:val="TableContents"/>
              <w:bidi w:val="0"/>
              <w:spacing w:before="0" w:after="283"/>
              <w:jc w:val="right"/>
              <w:rPr/>
            </w:pPr>
            <w:r>
              <w:rPr/>
              <w:t>47,002</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Fixed income securities, at fair value (net of allowance for expected credit losses of $0 at September 30, 2023 and $0 at December 31, 2022)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325,168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303,324</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Equity securities, at fair value</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24,853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52,393</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Other investments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2,005</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Total cash and investments</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386,531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404,724</w:t>
            </w:r>
          </w:p>
        </w:tc>
        <w:tc>
          <w:tcPr>
            <w:tcW w:w="264" w:type="dxa"/>
            <w:tcBorders/>
            <w:vAlign w:val="center"/>
          </w:tcPr>
          <w:p>
            <w:pPr>
              <w:pStyle w:val="TableContents"/>
              <w:bidi w:val="0"/>
              <w:spacing w:before="0" w:after="283"/>
              <w:ind w:left="0" w:right="0" w:hanging="216"/>
              <w:jc w:val="left"/>
              <w:rPr/>
            </w:pPr>
            <w:r>
              <w:rPr/>
              <w:t> </w:t>
            </w:r>
          </w:p>
        </w:tc>
      </w:tr>
      <w:tr>
        <w:trPr/>
        <w:tc>
          <w:tcPr>
            <w:tcW w:w="68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Premiums and agents' balances receivable (net of allowance for expected credit losses of $424 at September 30, 2023 and $425 at December 31, 2022)</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99,625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62,173</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32,177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29,768</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Reinsurance premiums receivable</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597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1,647</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Reinsurance recoverables on losses (net of allowance for expected credit losses of $0 at September 30, 2023 and $0 at December 31, 2022)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56,790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37,575</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Income tax recoverable</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12,389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13,964</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2,456</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Property and equipment, net</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10,200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9,843</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14,266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9,005</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Receivable from Federal Crop Insurance Corporation</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14,479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15,462</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Goodwill and other intangibles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16,901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17,250</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Other assets</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tcMar>
              <w:bottom w:w="28" w:type="dxa"/>
            </w:tcMar>
            <w:vAlign w:val="center"/>
          </w:tcPr>
          <w:p>
            <w:pPr>
              <w:pStyle w:val="TableContents"/>
              <w:bidi w:val="0"/>
              <w:spacing w:before="0" w:after="283"/>
              <w:jc w:val="right"/>
              <w:rPr/>
            </w:pPr>
            <w:r>
              <w:rPr/>
              <w:t>10,415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tcMar>
              <w:bottom w:w="28" w:type="dxa"/>
            </w:tcMar>
            <w:vAlign w:val="center"/>
          </w:tcPr>
          <w:p>
            <w:pPr>
              <w:pStyle w:val="TableContents"/>
              <w:bidi w:val="0"/>
              <w:spacing w:before="0" w:after="283"/>
              <w:jc w:val="right"/>
              <w:rPr/>
            </w:pPr>
            <w:r>
              <w:rPr/>
              <w:t>10,365</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657,094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614,232</w:t>
            </w:r>
          </w:p>
        </w:tc>
        <w:tc>
          <w:tcPr>
            <w:tcW w:w="264" w:type="dxa"/>
            <w:tcBorders/>
            <w:shd w:fill="CCEEFF" w:val="clear"/>
            <w:vAlign w:val="center"/>
          </w:tcPr>
          <w:p>
            <w:pPr>
              <w:pStyle w:val="TableContents"/>
              <w:bidi w:val="0"/>
              <w:spacing w:before="0" w:after="283"/>
              <w:ind w:left="0" w:right="0" w:hanging="216"/>
              <w:jc w:val="left"/>
              <w:rPr/>
            </w:pPr>
            <w:r>
              <w:rPr/>
              <w:t> </w:t>
            </w:r>
          </w:p>
        </w:tc>
      </w:tr>
      <w:tr>
        <w:trPr/>
        <w:tc>
          <w:tcPr>
            <w:tcW w:w="6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ind w:left="0" w:right="0" w:hanging="216"/>
              <w:jc w:val="left"/>
              <w:rPr/>
            </w:pPr>
            <w:r>
              <w:rPr/>
              <w:t> </w:t>
            </w:r>
          </w:p>
        </w:tc>
      </w:tr>
      <w:tr>
        <w:trPr/>
        <w:tc>
          <w:tcPr>
            <w:tcW w:w="6864"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Unpaid losses and loss adjustment expenses</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240,748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193" w:type="dxa"/>
            <w:tcBorders/>
            <w:vAlign w:val="center"/>
          </w:tcPr>
          <w:p>
            <w:pPr>
              <w:pStyle w:val="TableContents"/>
              <w:bidi w:val="0"/>
              <w:spacing w:before="0" w:after="283"/>
              <w:jc w:val="right"/>
              <w:rPr/>
            </w:pPr>
            <w:r>
              <w:rPr/>
              <w:t>190,459</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165,498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148,513</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Accrued expenses and other liabilities</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tcMar>
              <w:bottom w:w="28" w:type="dxa"/>
            </w:tcMar>
            <w:vAlign w:val="center"/>
          </w:tcPr>
          <w:p>
            <w:pPr>
              <w:pStyle w:val="TableContents"/>
              <w:bidi w:val="0"/>
              <w:spacing w:before="0" w:after="283"/>
              <w:jc w:val="right"/>
              <w:rPr/>
            </w:pPr>
            <w:r>
              <w:rPr/>
              <w:t>20,911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tcMar>
              <w:bottom w:w="28" w:type="dxa"/>
            </w:tcMar>
            <w:vAlign w:val="center"/>
          </w:tcPr>
          <w:p>
            <w:pPr>
              <w:pStyle w:val="TableContents"/>
              <w:bidi w:val="0"/>
              <w:spacing w:before="0" w:after="283"/>
              <w:jc w:val="right"/>
              <w:rPr/>
            </w:pPr>
            <w:r>
              <w:rPr/>
              <w:t>22,053</w:t>
            </w:r>
          </w:p>
        </w:tc>
        <w:tc>
          <w:tcPr>
            <w:tcW w:w="264" w:type="dxa"/>
            <w:tcBorders/>
            <w:vAlign w:val="center"/>
          </w:tcPr>
          <w:p>
            <w:pPr>
              <w:pStyle w:val="TableContents"/>
              <w:bidi w:val="0"/>
              <w:spacing w:before="0" w:after="283"/>
              <w:ind w:left="0" w:right="0" w:firstLine="187"/>
              <w:jc w:val="left"/>
              <w:rPr/>
            </w:pPr>
            <w:r>
              <w:rPr/>
              <w:t> </w:t>
            </w:r>
          </w:p>
        </w:tc>
      </w:tr>
      <w:tr>
        <w:trPr/>
        <w:tc>
          <w:tcPr>
            <w:tcW w:w="686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427,157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361,025</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ind w:left="0" w:right="0" w:hanging="216"/>
              <w:jc w:val="left"/>
              <w:rPr/>
            </w:pPr>
            <w:r>
              <w:rPr/>
              <w:t> </w:t>
            </w:r>
          </w:p>
        </w:tc>
      </w:tr>
      <w:tr>
        <w:trPr/>
        <w:tc>
          <w:tcPr>
            <w:tcW w:w="6864"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Common stock, $0.01 par value, authorized: 25,000,000 shares; issued: 23,000,000 shares; and outstanding: 2023 – 20,575,593 shares, 2022 – 21,076,255 shares</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230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230</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96,159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95,671</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Unearned employee stock ownership plan shares</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(941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(941</w:t>
            </w:r>
          </w:p>
        </w:tc>
        <w:tc>
          <w:tcPr>
            <w:tcW w:w="264" w:type="dxa"/>
            <w:tcBorders/>
            <w:vAlign w:val="center"/>
          </w:tcPr>
          <w:p>
            <w:pPr>
              <w:pStyle w:val="TableContents"/>
              <w:bidi w:val="0"/>
              <w:spacing w:before="0" w:after="283"/>
              <w:jc w:val="left"/>
              <w:rPr/>
            </w:pPr>
            <w:r>
              <w:rPr/>
              <w:t>)</w:t>
            </w:r>
          </w:p>
        </w:tc>
      </w:tr>
      <w:tr>
        <w:trPr/>
        <w:tc>
          <w:tcPr>
            <w:tcW w:w="6864"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201,749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214,121</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Accumulated other comprehensive loss, net of income taxes</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(33,722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(29,286</w:t>
            </w:r>
          </w:p>
        </w:tc>
        <w:tc>
          <w:tcPr>
            <w:tcW w:w="264" w:type="dxa"/>
            <w:tcBorders/>
            <w:vAlign w:val="center"/>
          </w:tcPr>
          <w:p>
            <w:pPr>
              <w:pStyle w:val="TableContents"/>
              <w:bidi w:val="0"/>
              <w:spacing w:before="0" w:after="283"/>
              <w:jc w:val="left"/>
              <w:rPr/>
            </w:pPr>
            <w:r>
              <w:rPr/>
              <w:t>)</w:t>
            </w:r>
          </w:p>
        </w:tc>
      </w:tr>
      <w:tr>
        <w:trPr/>
        <w:tc>
          <w:tcPr>
            <w:tcW w:w="6864" w:type="dxa"/>
            <w:tcBorders/>
            <w:shd w:fill="CCEEFF" w:val="clear"/>
            <w:vAlign w:val="center"/>
          </w:tcPr>
          <w:p>
            <w:pPr>
              <w:pStyle w:val="TableContents"/>
              <w:bidi w:val="0"/>
              <w:spacing w:before="0" w:after="283"/>
              <w:jc w:val="left"/>
              <w:rPr/>
            </w:pPr>
            <w:r>
              <w:rPr/>
              <w:t>Treasury stock, at cost, 2023 – 2,330,297 shares, 2022 – 1,829,635 shares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(35,179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(28,818</w:t>
            </w:r>
          </w:p>
        </w:tc>
        <w:tc>
          <w:tcPr>
            <w:tcW w:w="264" w:type="dxa"/>
            <w:tcBorders/>
            <w:shd w:fill="CCEEFF" w:val="clear"/>
            <w:vAlign w:val="center"/>
          </w:tcPr>
          <w:p>
            <w:pPr>
              <w:pStyle w:val="TableContents"/>
              <w:bidi w:val="0"/>
              <w:spacing w:before="0" w:after="283"/>
              <w:jc w:val="left"/>
              <w:rPr/>
            </w:pPr>
            <w:r>
              <w:rPr/>
              <w:t>)</w:t>
            </w:r>
          </w:p>
        </w:tc>
      </w:tr>
      <w:tr>
        <w:trPr/>
        <w:tc>
          <w:tcPr>
            <w:tcW w:w="6864" w:type="dxa"/>
            <w:tcBorders/>
            <w:vAlign w:val="center"/>
          </w:tcPr>
          <w:p>
            <w:pPr>
              <w:pStyle w:val="TableContents"/>
              <w:bidi w:val="0"/>
              <w:spacing w:before="0" w:after="283"/>
              <w:jc w:val="left"/>
              <w:rPr/>
            </w:pPr>
            <w:r>
              <w:rPr/>
              <w:t>Non-controlling interest</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tcMar>
              <w:bottom w:w="28" w:type="dxa"/>
            </w:tcMar>
            <w:vAlign w:val="center"/>
          </w:tcPr>
          <w:p>
            <w:pPr>
              <w:pStyle w:val="TableContents"/>
              <w:bidi w:val="0"/>
              <w:spacing w:before="0" w:after="283"/>
              <w:jc w:val="right"/>
              <w:rPr/>
            </w:pPr>
            <w:r>
              <w:rPr/>
              <w:t>1,641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tcMar>
              <w:bottom w:w="28" w:type="dxa"/>
            </w:tcMar>
            <w:vAlign w:val="center"/>
          </w:tcPr>
          <w:p>
            <w:pPr>
              <w:pStyle w:val="TableContents"/>
              <w:bidi w:val="0"/>
              <w:spacing w:before="0" w:after="283"/>
              <w:jc w:val="right"/>
              <w:rPr/>
            </w:pPr>
            <w:r>
              <w:rPr/>
              <w:t>2,230</w:t>
            </w:r>
          </w:p>
        </w:tc>
        <w:tc>
          <w:tcPr>
            <w:tcW w:w="264" w:type="dxa"/>
            <w:tcBorders/>
            <w:vAlign w:val="center"/>
          </w:tcPr>
          <w:p>
            <w:pPr>
              <w:pStyle w:val="TableContents"/>
              <w:bidi w:val="0"/>
              <w:spacing w:before="0" w:after="283"/>
              <w:ind w:left="0" w:right="0" w:firstLine="187"/>
              <w:jc w:val="left"/>
              <w:rPr/>
            </w:pPr>
            <w:r>
              <w:rPr/>
              <w:t> </w:t>
            </w:r>
          </w:p>
        </w:tc>
      </w:tr>
      <w:tr>
        <w:trPr/>
        <w:tc>
          <w:tcPr>
            <w:tcW w:w="6864"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229,937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253,207</w:t>
            </w:r>
          </w:p>
        </w:tc>
        <w:tc>
          <w:tcPr>
            <w:tcW w:w="264" w:type="dxa"/>
            <w:tcBorders/>
            <w:shd w:fill="CCEEFF" w:val="clear"/>
            <w:vAlign w:val="center"/>
          </w:tcPr>
          <w:p>
            <w:pPr>
              <w:pStyle w:val="TableContents"/>
              <w:bidi w:val="0"/>
              <w:spacing w:before="0" w:after="283"/>
              <w:jc w:val="left"/>
              <w:rPr/>
            </w:pPr>
            <w:r>
              <w:rPr/>
              <w:t> </w:t>
            </w:r>
          </w:p>
        </w:tc>
      </w:tr>
      <w:tr>
        <w:trPr/>
        <w:tc>
          <w:tcPr>
            <w:tcW w:w="6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left"/>
              <w:rPr/>
            </w:pPr>
            <w:r>
              <w:rPr/>
              <w:t> </w:t>
            </w:r>
          </w:p>
        </w:tc>
      </w:tr>
      <w:tr>
        <w:trPr/>
        <w:tc>
          <w:tcPr>
            <w:tcW w:w="6864"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657,094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614,232</w:t>
            </w:r>
          </w:p>
        </w:tc>
        <w:tc>
          <w:tcPr>
            <w:tcW w:w="264"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Consolidated Statements of Operations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data)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216"/>
              <w:jc w:val="left"/>
              <w:rPr/>
            </w:pPr>
            <w:r>
              <w:rPr/>
              <w:t> </w:t>
            </w:r>
          </w:p>
        </w:tc>
      </w:tr>
      <w:tr>
        <w:trPr/>
        <w:tc>
          <w:tcPr>
            <w:tcW w:w="46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90,770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89,532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262,543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243,615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5,703</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(19,532</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Total revenues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92,749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89,175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271,281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231,105</w:t>
            </w:r>
          </w:p>
        </w:tc>
        <w:tc>
          <w:tcPr>
            <w:tcW w:w="110" w:type="dxa"/>
            <w:tcBorders/>
            <w:vAlign w:val="center"/>
          </w:tcPr>
          <w:p>
            <w:pPr>
              <w:pStyle w:val="TableContents"/>
              <w:bidi w:val="0"/>
              <w:spacing w:before="0" w:after="283"/>
              <w:ind w:left="0" w:right="0" w:hanging="216"/>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227,641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Amortization of deferred policy acquisition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20,362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17,589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59,529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49,456</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23,695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Total expenses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92,621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102,418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287,070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300,792</w:t>
            </w:r>
          </w:p>
        </w:tc>
        <w:tc>
          <w:tcPr>
            <w:tcW w:w="110" w:type="dxa"/>
            <w:tcBorders/>
            <w:vAlign w:val="center"/>
          </w:tcPr>
          <w:p>
            <w:pPr>
              <w:pStyle w:val="TableContents"/>
              <w:bidi w:val="0"/>
              <w:spacing w:before="0" w:after="283"/>
              <w:ind w:left="0" w:right="0" w:hanging="216"/>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Income (loss) before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(13,243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(15,789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(69,687</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(14,921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Net income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(10,169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(12,437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(54,766</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(780</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Net income (loss) attributable to NI Holdings, Inc.</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231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(9,985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(12,101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(53,986</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Income (loss)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Basic</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0.01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(0.47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(0.57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(2.53</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(2.53</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16"/>
              <w:jc w:val="left"/>
              <w:rPr/>
            </w:pPr>
            <w:r>
              <w:rPr/>
              <w:t> </w:t>
            </w:r>
          </w:p>
        </w:tc>
      </w:tr>
      <w:tr>
        <w:trPr/>
        <w:tc>
          <w:tcPr>
            <w:tcW w:w="4610" w:type="dxa"/>
            <w:tcBorders/>
            <w:shd w:fill="CCEEFF" w:val="clear"/>
            <w:vAlign w:val="center"/>
          </w:tcPr>
          <w:p>
            <w:pPr>
              <w:pStyle w:val="TableContents"/>
              <w:bidi w:val="0"/>
              <w:spacing w:before="0" w:after="283"/>
              <w:jc w:val="left"/>
              <w:rPr/>
            </w:pPr>
            <w:r>
              <w:rPr/>
              <w:t>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Weighted average common shares outstanding used in basic per common share calculations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21,111,832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21,328,383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21,253,168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21,360,151</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Plus: Dilutive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81,690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Weighted average common shares used in diluted per common share calculations</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21,193,522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21,328,383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21,253,168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21,360,151</w:t>
            </w:r>
          </w:p>
        </w:tc>
        <w:tc>
          <w:tcPr>
            <w:tcW w:w="11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Consolidated Statements of Comprehensive Income (Loss)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0"/>
        <w:gridCol w:w="60"/>
        <w:gridCol w:w="245"/>
        <w:gridCol w:w="1055"/>
        <w:gridCol w:w="104"/>
        <w:gridCol w:w="66"/>
        <w:gridCol w:w="301"/>
        <w:gridCol w:w="979"/>
        <w:gridCol w:w="104"/>
        <w:gridCol w:w="66"/>
        <w:gridCol w:w="154"/>
        <w:gridCol w:w="700"/>
        <w:gridCol w:w="95"/>
        <w:gridCol w:w="60"/>
        <w:gridCol w:w="215"/>
        <w:gridCol w:w="1085"/>
        <w:gridCol w:w="101"/>
        <w:gridCol w:w="64"/>
        <w:gridCol w:w="302"/>
        <w:gridCol w:w="985"/>
        <w:gridCol w:w="101"/>
        <w:gridCol w:w="64"/>
        <w:gridCol w:w="150"/>
        <w:gridCol w:w="810"/>
        <w:gridCol w:w="119"/>
      </w:tblGrid>
      <w:tr>
        <w:trPr/>
        <w:tc>
          <w:tcPr>
            <w:tcW w:w="2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2023</w:t>
            </w:r>
          </w:p>
        </w:tc>
        <w:tc>
          <w:tcPr>
            <w:tcW w:w="119"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w:t>
              <w:br/>
              <w:t xml:space="preserve">to NI </w:t>
              <w:br/>
              <w:t>Holdings, Inc.</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w:t>
              <w:br/>
              <w:t xml:space="preserve">to Non- </w:t>
              <w:br/>
              <w:t>Controlling</w:t>
              <w:br/>
              <w:t>Interest</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Attributable </w:t>
              <w:br/>
              <w:t xml:space="preserve">to NI </w:t>
              <w:br/>
              <w:t>Holdings, Inc.</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Attributable </w:t>
              <w:br/>
              <w:t xml:space="preserve">to Non- </w:t>
              <w:br/>
              <w:t xml:space="preserve">Controlling </w:t>
              <w:br/>
              <w:t>Interest</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9" w:type="dxa"/>
            <w:tcBorders/>
            <w:vAlign w:val="center"/>
          </w:tcPr>
          <w:p>
            <w:pPr>
              <w:pStyle w:val="TableContents"/>
              <w:bidi w:val="0"/>
              <w:spacing w:before="0" w:after="283"/>
              <w:jc w:val="left"/>
              <w:rPr/>
            </w:pPr>
            <w:r>
              <w:rPr/>
              <w:t> </w:t>
            </w:r>
          </w:p>
        </w:tc>
      </w:tr>
      <w:tr>
        <w:trPr/>
        <w:tc>
          <w:tcPr>
            <w:tcW w:w="222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231</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(12,101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pPr>
            <w:r>
              <w:rPr/>
              <w:t>(12,437</w:t>
            </w:r>
          </w:p>
        </w:tc>
        <w:tc>
          <w:tcPr>
            <w:tcW w:w="119" w:type="dxa"/>
            <w:tcBorders/>
            <w:shd w:fill="CCEEFF" w:val="clear"/>
            <w:vAlign w:val="center"/>
          </w:tcPr>
          <w:p>
            <w:pPr>
              <w:pStyle w:val="TableContents"/>
              <w:bidi w:val="0"/>
              <w:spacing w:before="0" w:after="283"/>
              <w:jc w:val="left"/>
              <w:rPr/>
            </w:pPr>
            <w:r>
              <w:rPr/>
              <w:t>)</w:t>
            </w:r>
          </w:p>
        </w:tc>
      </w:tr>
      <w:tr>
        <w:trPr/>
        <w:tc>
          <w:tcPr>
            <w:tcW w:w="2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r>
      <w:tr>
        <w:trPr/>
        <w:tc>
          <w:tcPr>
            <w:tcW w:w="2220" w:type="dxa"/>
            <w:tcBorders/>
            <w:shd w:fill="CCEEFF" w:val="clear"/>
            <w:vAlign w:val="center"/>
          </w:tcPr>
          <w:p>
            <w:pPr>
              <w:pStyle w:val="TableContents"/>
              <w:bidi w:val="0"/>
              <w:spacing w:before="0" w:after="283"/>
              <w:jc w:val="left"/>
              <w:rPr/>
            </w:pPr>
            <w:r>
              <w:rPr/>
              <w:t>Other comprehensive loss, before income taxes:</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Holding losses on investments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(8,726</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(465</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(9,191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(6,236</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(327</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(6,563</w:t>
            </w:r>
          </w:p>
        </w:tc>
        <w:tc>
          <w:tcPr>
            <w:tcW w:w="119" w:type="dxa"/>
            <w:tcBorders/>
            <w:vAlign w:val="center"/>
          </w:tcPr>
          <w:p>
            <w:pPr>
              <w:pStyle w:val="TableContents"/>
              <w:bidi w:val="0"/>
              <w:spacing w:before="0" w:after="283"/>
              <w:jc w:val="left"/>
              <w:rPr/>
            </w:pPr>
            <w:r>
              <w:rPr/>
              <w:t>)</w:t>
            </w:r>
          </w:p>
        </w:tc>
      </w:tr>
      <w:tr>
        <w:trPr/>
        <w:tc>
          <w:tcPr>
            <w:tcW w:w="2220" w:type="dxa"/>
            <w:tcBorders/>
            <w:shd w:fill="CCEEFF" w:val="clear"/>
            <w:vAlign w:val="center"/>
          </w:tcPr>
          <w:p>
            <w:pPr>
              <w:pStyle w:val="TableContents"/>
              <w:bidi w:val="0"/>
              <w:spacing w:before="0" w:after="283"/>
              <w:jc w:val="left"/>
              <w:rPr/>
            </w:pPr>
            <w:r>
              <w:rPr/>
              <w:t>Reclassification adjustment for net realized losses included in net loss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119" w:type="dxa"/>
            <w:tcBorders/>
            <w:shd w:fill="CCEEFF" w:val="cle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Other comprehensive loss, before income taxes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(8,718</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(465</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(9,183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(5,741</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(327</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(6,068</w:t>
            </w:r>
          </w:p>
        </w:tc>
        <w:tc>
          <w:tcPr>
            <w:tcW w:w="119" w:type="dxa"/>
            <w:tcBorders/>
            <w:vAlign w:val="center"/>
          </w:tcPr>
          <w:p>
            <w:pPr>
              <w:pStyle w:val="TableContents"/>
              <w:bidi w:val="0"/>
              <w:spacing w:before="0" w:after="283"/>
              <w:ind w:left="0" w:right="0" w:hanging="43"/>
              <w:jc w:val="left"/>
              <w:rPr/>
            </w:pPr>
            <w:r>
              <w:rPr/>
              <w:t>)</w:t>
            </w:r>
          </w:p>
        </w:tc>
      </w:tr>
      <w:tr>
        <w:trPr/>
        <w:tc>
          <w:tcPr>
            <w:tcW w:w="2220" w:type="dxa"/>
            <w:tcBorders/>
            <w:shd w:fill="CCEEFF" w:val="clear"/>
            <w:vAlign w:val="center"/>
          </w:tcPr>
          <w:p>
            <w:pPr>
              <w:pStyle w:val="TableContents"/>
              <w:bidi w:val="0"/>
              <w:spacing w:before="0" w:after="283"/>
              <w:jc w:val="left"/>
              <w:rPr/>
            </w:pPr>
            <w:r>
              <w:rPr/>
              <w:t>Income tax benefit related to items of other comprehensive loss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1,982</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pPr>
            <w:r>
              <w:rPr/>
              <w:t>105</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2,087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1,305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pPr>
            <w:r>
              <w:rPr/>
              <w:t>1,379</w:t>
            </w:r>
          </w:p>
        </w:tc>
        <w:tc>
          <w:tcPr>
            <w:tcW w:w="119" w:type="dxa"/>
            <w:tcBorders/>
            <w:shd w:fill="CCEEFF" w:val="cle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Other comprehensive loss, net of income taxes</w:t>
            </w:r>
          </w:p>
        </w:tc>
        <w:tc>
          <w:tcPr>
            <w:tcW w:w="60" w:type="dxa"/>
            <w:tcBorders/>
            <w:vAlign w:val="center"/>
          </w:tcPr>
          <w:p>
            <w:pPr>
              <w:pStyle w:val="TableContents"/>
              <w:bidi w:val="0"/>
              <w:spacing w:before="0" w:after="283"/>
              <w:jc w:val="left"/>
              <w:rPr/>
            </w:pPr>
            <w:r>
              <w:rPr/>
              <w:t> </w:t>
            </w:r>
          </w:p>
        </w:tc>
        <w:tc>
          <w:tcPr>
            <w:tcW w:w="24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right"/>
              <w:rPr/>
            </w:pPr>
            <w:r>
              <w:rPr/>
              <w:t>(6,736</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301" w:type="dxa"/>
            <w:tcBorders>
              <w:bottom w:val="single" w:sz="8" w:space="0" w:color="000000"/>
            </w:tcBorders>
            <w:tcMar>
              <w:bottom w:w="28" w:type="dxa"/>
            </w:tcMar>
            <w:vAlign w:val="center"/>
          </w:tcPr>
          <w:p>
            <w:pPr>
              <w:pStyle w:val="TableContents"/>
              <w:bidi w:val="0"/>
              <w:spacing w:before="0" w:after="283"/>
              <w:jc w:val="left"/>
              <w:rPr/>
            </w:pPr>
            <w:r>
              <w:rPr/>
              <w:t> </w:t>
            </w:r>
          </w:p>
        </w:tc>
        <w:tc>
          <w:tcPr>
            <w:tcW w:w="979" w:type="dxa"/>
            <w:tcBorders>
              <w:bottom w:val="single" w:sz="8" w:space="0" w:color="000000"/>
            </w:tcBorders>
            <w:tcMar>
              <w:bottom w:w="28" w:type="dxa"/>
            </w:tcMar>
            <w:vAlign w:val="center"/>
          </w:tcPr>
          <w:p>
            <w:pPr>
              <w:pStyle w:val="TableContents"/>
              <w:bidi w:val="0"/>
              <w:spacing w:before="0" w:after="283"/>
              <w:jc w:val="right"/>
              <w:rPr/>
            </w:pPr>
            <w:r>
              <w:rPr/>
              <w:t>(360</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tcMar>
              <w:bottom w:w="28" w:type="dxa"/>
            </w:tcMar>
            <w:vAlign w:val="center"/>
          </w:tcPr>
          <w:p>
            <w:pPr>
              <w:pStyle w:val="TableContents"/>
              <w:bidi w:val="0"/>
              <w:spacing w:before="0" w:after="283"/>
              <w:jc w:val="right"/>
              <w:rPr/>
            </w:pPr>
            <w:r>
              <w:rPr/>
              <w:t>(7,096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(4,436</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bottom w:val="single" w:sz="8" w:space="0" w:color="000000"/>
            </w:tcBorders>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tcMar>
              <w:bottom w:w="28" w:type="dxa"/>
            </w:tcMar>
            <w:vAlign w:val="center"/>
          </w:tcPr>
          <w:p>
            <w:pPr>
              <w:pStyle w:val="TableContents"/>
              <w:bidi w:val="0"/>
              <w:spacing w:before="0" w:after="283"/>
              <w:jc w:val="right"/>
              <w:rPr/>
            </w:pPr>
            <w:r>
              <w:rPr/>
              <w:t>(253</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tcMar>
              <w:bottom w:w="28" w:type="dxa"/>
            </w:tcMar>
            <w:vAlign w:val="center"/>
          </w:tcPr>
          <w:p>
            <w:pPr>
              <w:pStyle w:val="TableContents"/>
              <w:bidi w:val="0"/>
              <w:spacing w:before="0" w:after="283"/>
              <w:jc w:val="right"/>
              <w:rPr/>
            </w:pPr>
            <w:r>
              <w:rPr/>
              <w:t>(4,689</w:t>
            </w:r>
          </w:p>
        </w:tc>
        <w:tc>
          <w:tcPr>
            <w:tcW w:w="119" w:type="dxa"/>
            <w:tcBorders/>
            <w:vAlign w:val="center"/>
          </w:tcPr>
          <w:p>
            <w:pPr>
              <w:pStyle w:val="TableContents"/>
              <w:bidi w:val="0"/>
              <w:spacing w:before="0" w:after="283"/>
              <w:jc w:val="left"/>
              <w:rPr/>
            </w:pPr>
            <w:r>
              <w:rPr/>
              <w:t>)</w:t>
            </w:r>
          </w:p>
        </w:tc>
      </w:tr>
      <w:tr>
        <w:trPr/>
        <w:tc>
          <w:tcPr>
            <w:tcW w:w="2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Comprehensive loss</w:t>
            </w:r>
          </w:p>
        </w:tc>
        <w:tc>
          <w:tcPr>
            <w:tcW w:w="60" w:type="dxa"/>
            <w:tcBorders/>
            <w:vAlign w:val="center"/>
          </w:tcPr>
          <w:p>
            <w:pPr>
              <w:pStyle w:val="TableContents"/>
              <w:bidi w:val="0"/>
              <w:spacing w:before="0" w:after="283"/>
              <w:jc w:val="left"/>
              <w:rPr/>
            </w:pPr>
            <w:r>
              <w:rPr/>
              <w:t> </w:t>
            </w:r>
          </w:p>
        </w:tc>
        <w:tc>
          <w:tcPr>
            <w:tcW w:w="245" w:type="dxa"/>
            <w:tcBorders>
              <w:bottom w:val="double" w:sz="6" w:space="0" w:color="000000"/>
            </w:tcBorders>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tcMar>
              <w:bottom w:w="28" w:type="dxa"/>
            </w:tcMar>
            <w:vAlign w:val="center"/>
          </w:tcPr>
          <w:p>
            <w:pPr>
              <w:pStyle w:val="TableContents"/>
              <w:bidi w:val="0"/>
              <w:spacing w:before="0" w:after="283"/>
              <w:jc w:val="right"/>
              <w:rPr/>
            </w:pPr>
            <w:r>
              <w:rPr/>
              <w:t>(6,505</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301" w:type="dxa"/>
            <w:tcBorders>
              <w:bottom w:val="double" w:sz="6" w:space="0" w:color="000000"/>
            </w:tcBorders>
            <w:tcMar>
              <w:bottom w:w="28" w:type="dxa"/>
            </w:tcMar>
            <w:vAlign w:val="center"/>
          </w:tcPr>
          <w:p>
            <w:pPr>
              <w:pStyle w:val="TableContents"/>
              <w:bidi w:val="0"/>
              <w:spacing w:before="0" w:after="283"/>
              <w:jc w:val="left"/>
              <w:rPr/>
            </w:pPr>
            <w:r>
              <w:rPr/>
              <w:t>$</w:t>
            </w:r>
          </w:p>
        </w:tc>
        <w:tc>
          <w:tcPr>
            <w:tcW w:w="979" w:type="dxa"/>
            <w:tcBorders>
              <w:bottom w:val="double" w:sz="6" w:space="0" w:color="000000"/>
            </w:tcBorders>
            <w:tcMar>
              <w:bottom w:w="28" w:type="dxa"/>
            </w:tcMar>
            <w:vAlign w:val="center"/>
          </w:tcPr>
          <w:p>
            <w:pPr>
              <w:pStyle w:val="TableContents"/>
              <w:bidi w:val="0"/>
              <w:spacing w:before="0" w:after="283"/>
              <w:jc w:val="right"/>
              <w:rPr/>
            </w:pPr>
            <w:r>
              <w:rPr/>
              <w:t>(293</w:t>
            </w:r>
          </w:p>
        </w:tc>
        <w:tc>
          <w:tcPr>
            <w:tcW w:w="104"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4" w:type="dxa"/>
            <w:tcBorders>
              <w:bottom w:val="double" w:sz="6" w:space="0" w:color="000000"/>
            </w:tcBorders>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tcMar>
              <w:bottom w:w="28" w:type="dxa"/>
            </w:tcMar>
            <w:vAlign w:val="center"/>
          </w:tcPr>
          <w:p>
            <w:pPr>
              <w:pStyle w:val="TableContents"/>
              <w:bidi w:val="0"/>
              <w:spacing w:before="0" w:after="283"/>
              <w:jc w:val="right"/>
              <w:rPr/>
            </w:pPr>
            <w:r>
              <w:rPr/>
              <w:t>(6,798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bottom w:val="double" w:sz="6" w:space="0" w:color="000000"/>
            </w:tcBorders>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tcMar>
              <w:bottom w:w="28" w:type="dxa"/>
            </w:tcMar>
            <w:vAlign w:val="center"/>
          </w:tcPr>
          <w:p>
            <w:pPr>
              <w:pStyle w:val="TableContents"/>
              <w:bidi w:val="0"/>
              <w:spacing w:before="0" w:after="283"/>
              <w:jc w:val="right"/>
              <w:rPr/>
            </w:pPr>
            <w:r>
              <w:rPr/>
              <w:t>(16,537</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bottom w:val="double" w:sz="6" w:space="0" w:color="000000"/>
            </w:tcBorders>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tcMar>
              <w:bottom w:w="28" w:type="dxa"/>
            </w:tcMar>
            <w:vAlign w:val="center"/>
          </w:tcPr>
          <w:p>
            <w:pPr>
              <w:pStyle w:val="TableContents"/>
              <w:bidi w:val="0"/>
              <w:spacing w:before="0" w:after="283"/>
              <w:jc w:val="right"/>
              <w:rPr/>
            </w:pPr>
            <w:r>
              <w:rPr/>
              <w:t>(589</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bottom w:val="double" w:sz="6" w:space="0" w:color="000000"/>
            </w:tcBorders>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tcMar>
              <w:bottom w:w="28" w:type="dxa"/>
            </w:tcMar>
            <w:vAlign w:val="center"/>
          </w:tcPr>
          <w:p>
            <w:pPr>
              <w:pStyle w:val="TableContents"/>
              <w:bidi w:val="0"/>
              <w:spacing w:before="0" w:after="283"/>
              <w:jc w:val="right"/>
              <w:rPr/>
            </w:pPr>
            <w:r>
              <w:rPr/>
              <w:t>(17,126</w:t>
            </w:r>
          </w:p>
        </w:tc>
        <w:tc>
          <w:tcPr>
            <w:tcW w:w="119"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1"/>
        <w:gridCol w:w="60"/>
        <w:gridCol w:w="221"/>
        <w:gridCol w:w="1077"/>
        <w:gridCol w:w="101"/>
        <w:gridCol w:w="64"/>
        <w:gridCol w:w="302"/>
        <w:gridCol w:w="984"/>
        <w:gridCol w:w="101"/>
        <w:gridCol w:w="64"/>
        <w:gridCol w:w="150"/>
        <w:gridCol w:w="810"/>
        <w:gridCol w:w="95"/>
        <w:gridCol w:w="60"/>
        <w:gridCol w:w="203"/>
        <w:gridCol w:w="1094"/>
        <w:gridCol w:w="100"/>
        <w:gridCol w:w="63"/>
        <w:gridCol w:w="231"/>
        <w:gridCol w:w="1049"/>
        <w:gridCol w:w="100"/>
        <w:gridCol w:w="63"/>
        <w:gridCol w:w="147"/>
        <w:gridCol w:w="796"/>
        <w:gridCol w:w="119"/>
      </w:tblGrid>
      <w:tr>
        <w:trPr/>
        <w:tc>
          <w:tcPr>
            <w:tcW w:w="2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2022</w:t>
            </w:r>
          </w:p>
        </w:tc>
        <w:tc>
          <w:tcPr>
            <w:tcW w:w="119" w:type="dxa"/>
            <w:tcBorders/>
            <w:vAlign w:val="center"/>
          </w:tcPr>
          <w:p>
            <w:pPr>
              <w:pStyle w:val="TableContents"/>
              <w:bidi w:val="0"/>
              <w:spacing w:before="0" w:after="283"/>
              <w:jc w:val="left"/>
              <w:rPr/>
            </w:pPr>
            <w:r>
              <w:rPr/>
              <w:t> </w:t>
            </w:r>
          </w:p>
        </w:tc>
      </w:tr>
      <w:tr>
        <w:trPr/>
        <w:tc>
          <w:tcPr>
            <w:tcW w:w="2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Attributable </w:t>
              <w:br/>
              <w:t xml:space="preserve">to NI </w:t>
              <w:br/>
              <w:t>Holdings, Inc.</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Attributable </w:t>
              <w:br/>
              <w:t xml:space="preserve">to Non- </w:t>
              <w:br/>
              <w:t>Controlling</w:t>
              <w:br/>
              <w:t>Interest</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w:t>
              <w:br/>
              <w:t xml:space="preserve">to NI </w:t>
              <w:br/>
              <w:t>Holdings, Inc.</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w:t>
              <w:br/>
              <w:t xml:space="preserve">to Non- </w:t>
              <w:br/>
              <w:t xml:space="preserve">Controlling </w:t>
              <w:br/>
              <w:t>Interest</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9" w:type="dxa"/>
            <w:tcBorders/>
            <w:vAlign w:val="center"/>
          </w:tcPr>
          <w:p>
            <w:pPr>
              <w:pStyle w:val="TableContents"/>
              <w:bidi w:val="0"/>
              <w:spacing w:before="0" w:after="283"/>
              <w:jc w:val="left"/>
              <w:rPr/>
            </w:pPr>
            <w:r>
              <w:rPr/>
              <w:t> </w:t>
            </w:r>
          </w:p>
        </w:tc>
      </w:tr>
      <w:tr>
        <w:trPr/>
        <w:tc>
          <w:tcPr>
            <w:tcW w:w="215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(9,985</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pPr>
            <w:r>
              <w:rPr/>
              <w:t>(10,169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(53,986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(780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(54,766</w:t>
            </w:r>
          </w:p>
        </w:tc>
        <w:tc>
          <w:tcPr>
            <w:tcW w:w="119" w:type="dxa"/>
            <w:tcBorders/>
            <w:shd w:fill="CCEEFF" w:val="clear"/>
            <w:vAlign w:val="center"/>
          </w:tcPr>
          <w:p>
            <w:pPr>
              <w:pStyle w:val="TableContents"/>
              <w:bidi w:val="0"/>
              <w:spacing w:before="0" w:after="283"/>
              <w:jc w:val="left"/>
              <w:rPr/>
            </w:pPr>
            <w:r>
              <w:rPr/>
              <w:t>)</w:t>
            </w:r>
          </w:p>
        </w:tc>
      </w:tr>
      <w:tr>
        <w:trPr/>
        <w:tc>
          <w:tcPr>
            <w:tcW w:w="2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r>
      <w:tr>
        <w:trPr/>
        <w:tc>
          <w:tcPr>
            <w:tcW w:w="2151" w:type="dxa"/>
            <w:tcBorders/>
            <w:shd w:fill="CCEEFF" w:val="clear"/>
            <w:vAlign w:val="center"/>
          </w:tcPr>
          <w:p>
            <w:pPr>
              <w:pStyle w:val="TableContents"/>
              <w:bidi w:val="0"/>
              <w:spacing w:before="0" w:after="283"/>
              <w:jc w:val="left"/>
              <w:rPr/>
            </w:pPr>
            <w:r>
              <w:rPr/>
              <w:t>Other comprehensive loss, before income taxes: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2151" w:type="dxa"/>
            <w:tcBorders/>
            <w:vAlign w:val="center"/>
          </w:tcPr>
          <w:p>
            <w:pPr>
              <w:pStyle w:val="TableContents"/>
              <w:bidi w:val="0"/>
              <w:spacing w:before="0" w:after="283"/>
              <w:jc w:val="left"/>
              <w:rPr/>
            </w:pPr>
            <w:r>
              <w:rPr/>
              <w:t>Holding losses on investments</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(12,319</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(447</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(12,766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(48,254</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(1,794</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(50,048</w:t>
            </w:r>
          </w:p>
        </w:tc>
        <w:tc>
          <w:tcPr>
            <w:tcW w:w="119" w:type="dxa"/>
            <w:tcBorders/>
            <w:vAlign w:val="center"/>
          </w:tcPr>
          <w:p>
            <w:pPr>
              <w:pStyle w:val="TableContents"/>
              <w:bidi w:val="0"/>
              <w:spacing w:before="0" w:after="283"/>
              <w:jc w:val="left"/>
              <w:rPr/>
            </w:pPr>
            <w:r>
              <w:rPr/>
              <w:t>)</w:t>
            </w:r>
          </w:p>
        </w:tc>
      </w:tr>
      <w:tr>
        <w:trPr/>
        <w:tc>
          <w:tcPr>
            <w:tcW w:w="2151" w:type="dxa"/>
            <w:tcBorders/>
            <w:shd w:fill="CCEEFF" w:val="clear"/>
            <w:vAlign w:val="center"/>
          </w:tcPr>
          <w:p>
            <w:pPr>
              <w:pStyle w:val="TableContents"/>
              <w:bidi w:val="0"/>
              <w:spacing w:before="0" w:after="283"/>
              <w:jc w:val="left"/>
              <w:rPr/>
            </w:pPr>
            <w:r>
              <w:rPr/>
              <w:t>Reclassification adjustment for net realized losses included in net loss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19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9" w:type="dxa"/>
            <w:tcBorders/>
            <w:shd w:fill="CCEEFF" w:val="clear"/>
            <w:vAlign w:val="center"/>
          </w:tcPr>
          <w:p>
            <w:pPr>
              <w:pStyle w:val="TableContents"/>
              <w:bidi w:val="0"/>
              <w:spacing w:before="0" w:after="283"/>
              <w:jc w:val="left"/>
              <w:rPr/>
            </w:pPr>
            <w:r>
              <w:rPr/>
              <w:t> </w:t>
            </w:r>
          </w:p>
        </w:tc>
      </w:tr>
      <w:tr>
        <w:trPr/>
        <w:tc>
          <w:tcPr>
            <w:tcW w:w="2151" w:type="dxa"/>
            <w:tcBorders/>
            <w:vAlign w:val="center"/>
          </w:tcPr>
          <w:p>
            <w:pPr>
              <w:pStyle w:val="TableContents"/>
              <w:bidi w:val="0"/>
              <w:spacing w:before="0" w:after="283"/>
              <w:jc w:val="left"/>
              <w:rPr/>
            </w:pPr>
            <w:r>
              <w:rPr/>
              <w:t>Other comprehensive loss, before income taxes</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(12,300</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(427</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(12,727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(48,173</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(1,774</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(49,947</w:t>
            </w:r>
          </w:p>
        </w:tc>
        <w:tc>
          <w:tcPr>
            <w:tcW w:w="119" w:type="dxa"/>
            <w:tcBorders/>
            <w:vAlign w:val="center"/>
          </w:tcPr>
          <w:p>
            <w:pPr>
              <w:pStyle w:val="TableContents"/>
              <w:bidi w:val="0"/>
              <w:spacing w:before="0" w:after="283"/>
              <w:ind w:left="0" w:right="0" w:hanging="43"/>
              <w:jc w:val="left"/>
              <w:rPr/>
            </w:pPr>
            <w:r>
              <w:rPr/>
              <w:t>)</w:t>
            </w:r>
          </w:p>
        </w:tc>
      </w:tr>
      <w:tr>
        <w:trPr/>
        <w:tc>
          <w:tcPr>
            <w:tcW w:w="2151" w:type="dxa"/>
            <w:tcBorders/>
            <w:shd w:fill="CCEEFF" w:val="clear"/>
            <w:vAlign w:val="center"/>
          </w:tcPr>
          <w:p>
            <w:pPr>
              <w:pStyle w:val="TableContents"/>
              <w:bidi w:val="0"/>
              <w:spacing w:before="0" w:after="283"/>
              <w:jc w:val="left"/>
              <w:rPr/>
            </w:pPr>
            <w:r>
              <w:rPr/>
              <w:t>Income tax benefit related to items of other comprehensive loss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2,796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97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pPr>
            <w:r>
              <w:rPr/>
              <w:t>2,893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403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11,353</w:t>
            </w:r>
          </w:p>
        </w:tc>
        <w:tc>
          <w:tcPr>
            <w:tcW w:w="119" w:type="dxa"/>
            <w:tcBorders/>
            <w:shd w:fill="CCEEFF" w:val="clear"/>
            <w:vAlign w:val="center"/>
          </w:tcPr>
          <w:p>
            <w:pPr>
              <w:pStyle w:val="TableContents"/>
              <w:bidi w:val="0"/>
              <w:spacing w:before="0" w:after="283"/>
              <w:jc w:val="left"/>
              <w:rPr/>
            </w:pPr>
            <w:r>
              <w:rPr/>
              <w:t> </w:t>
            </w:r>
          </w:p>
        </w:tc>
      </w:tr>
      <w:tr>
        <w:trPr/>
        <w:tc>
          <w:tcPr>
            <w:tcW w:w="2151" w:type="dxa"/>
            <w:tcBorders/>
            <w:vAlign w:val="center"/>
          </w:tcPr>
          <w:p>
            <w:pPr>
              <w:pStyle w:val="TableContents"/>
              <w:bidi w:val="0"/>
              <w:spacing w:before="0" w:after="283"/>
              <w:jc w:val="left"/>
              <w:rPr/>
            </w:pPr>
            <w:r>
              <w:rPr/>
              <w:t>Other comprehensive loss, net of income taxes</w:t>
            </w:r>
          </w:p>
        </w:tc>
        <w:tc>
          <w:tcPr>
            <w:tcW w:w="60" w:type="dxa"/>
            <w:tcBorders/>
            <w:vAlign w:val="center"/>
          </w:tcPr>
          <w:p>
            <w:pPr>
              <w:pStyle w:val="TableContents"/>
              <w:bidi w:val="0"/>
              <w:spacing w:before="0" w:after="283"/>
              <w:jc w:val="left"/>
              <w:rPr/>
            </w:pPr>
            <w:r>
              <w:rPr/>
              <w:t> </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tcMar>
              <w:bottom w:w="28" w:type="dxa"/>
            </w:tcMar>
            <w:vAlign w:val="center"/>
          </w:tcPr>
          <w:p>
            <w:pPr>
              <w:pStyle w:val="TableContents"/>
              <w:bidi w:val="0"/>
              <w:spacing w:before="0" w:after="283"/>
              <w:jc w:val="right"/>
              <w:rPr/>
            </w:pPr>
            <w:r>
              <w:rPr/>
              <w:t>(9,504</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bottom w:val="single" w:sz="8" w:space="0" w:color="000000"/>
            </w:tcBorders>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tcMar>
              <w:bottom w:w="28" w:type="dxa"/>
            </w:tcMar>
            <w:vAlign w:val="center"/>
          </w:tcPr>
          <w:p>
            <w:pPr>
              <w:pStyle w:val="TableContents"/>
              <w:bidi w:val="0"/>
              <w:spacing w:before="0" w:after="283"/>
              <w:jc w:val="right"/>
              <w:rPr/>
            </w:pPr>
            <w:r>
              <w:rPr/>
              <w:t>(330</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tcMar>
              <w:bottom w:w="28" w:type="dxa"/>
            </w:tcMar>
            <w:vAlign w:val="center"/>
          </w:tcPr>
          <w:p>
            <w:pPr>
              <w:pStyle w:val="TableContents"/>
              <w:bidi w:val="0"/>
              <w:spacing w:before="0" w:after="283"/>
              <w:jc w:val="right"/>
              <w:rPr/>
            </w:pPr>
            <w:r>
              <w:rPr/>
              <w:t>(9,834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right"/>
              <w:rPr/>
            </w:pPr>
            <w:r>
              <w:rPr/>
              <w:t>(37,223</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231" w:type="dxa"/>
            <w:tcBorders>
              <w:bottom w:val="single" w:sz="8" w:space="0" w:color="000000"/>
            </w:tcBorders>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tcMar>
              <w:bottom w:w="28" w:type="dxa"/>
            </w:tcMar>
            <w:vAlign w:val="center"/>
          </w:tcPr>
          <w:p>
            <w:pPr>
              <w:pStyle w:val="TableContents"/>
              <w:bidi w:val="0"/>
              <w:spacing w:before="0" w:after="283"/>
              <w:jc w:val="right"/>
              <w:rPr/>
            </w:pPr>
            <w:r>
              <w:rPr/>
              <w:t>(1,371</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tcMar>
              <w:bottom w:w="28" w:type="dxa"/>
            </w:tcMar>
            <w:vAlign w:val="center"/>
          </w:tcPr>
          <w:p>
            <w:pPr>
              <w:pStyle w:val="TableContents"/>
              <w:bidi w:val="0"/>
              <w:spacing w:before="0" w:after="283"/>
              <w:jc w:val="right"/>
              <w:rPr/>
            </w:pPr>
            <w:r>
              <w:rPr/>
              <w:t>(38,594</w:t>
            </w:r>
          </w:p>
        </w:tc>
        <w:tc>
          <w:tcPr>
            <w:tcW w:w="119" w:type="dxa"/>
            <w:tcBorders/>
            <w:vAlign w:val="center"/>
          </w:tcPr>
          <w:p>
            <w:pPr>
              <w:pStyle w:val="TableContents"/>
              <w:bidi w:val="0"/>
              <w:spacing w:before="0" w:after="283"/>
              <w:jc w:val="left"/>
              <w:rPr/>
            </w:pPr>
            <w:r>
              <w:rPr/>
              <w:t>)</w:t>
            </w:r>
          </w:p>
        </w:tc>
      </w:tr>
      <w:tr>
        <w:trPr/>
        <w:tc>
          <w:tcPr>
            <w:tcW w:w="2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2151" w:type="dxa"/>
            <w:tcBorders/>
            <w:vAlign w:val="center"/>
          </w:tcPr>
          <w:p>
            <w:pPr>
              <w:pStyle w:val="TableContents"/>
              <w:bidi w:val="0"/>
              <w:spacing w:before="0" w:after="283"/>
              <w:jc w:val="left"/>
              <w:rPr/>
            </w:pPr>
            <w:r>
              <w:rPr/>
              <w:t>Comprehensive loss</w:t>
            </w:r>
          </w:p>
        </w:tc>
        <w:tc>
          <w:tcPr>
            <w:tcW w:w="60" w:type="dxa"/>
            <w:tcBorders/>
            <w:vAlign w:val="center"/>
          </w:tcPr>
          <w:p>
            <w:pPr>
              <w:pStyle w:val="TableContents"/>
              <w:bidi w:val="0"/>
              <w:spacing w:before="0" w:after="283"/>
              <w:jc w:val="left"/>
              <w:rPr/>
            </w:pPr>
            <w:r>
              <w:rPr/>
              <w:t> </w:t>
            </w:r>
          </w:p>
        </w:tc>
        <w:tc>
          <w:tcPr>
            <w:tcW w:w="221" w:type="dxa"/>
            <w:tcBorders>
              <w:bottom w:val="double" w:sz="6" w:space="0" w:color="000000"/>
            </w:tcBorders>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tcMar>
              <w:bottom w:w="28" w:type="dxa"/>
            </w:tcMar>
            <w:vAlign w:val="center"/>
          </w:tcPr>
          <w:p>
            <w:pPr>
              <w:pStyle w:val="TableContents"/>
              <w:bidi w:val="0"/>
              <w:spacing w:before="0" w:after="283"/>
              <w:jc w:val="right"/>
              <w:rPr/>
            </w:pPr>
            <w:r>
              <w:rPr/>
              <w:t>(19,489</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302" w:type="dxa"/>
            <w:tcBorders>
              <w:bottom w:val="double" w:sz="6" w:space="0" w:color="000000"/>
            </w:tcBorders>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tcMar>
              <w:bottom w:w="28" w:type="dxa"/>
            </w:tcMar>
            <w:vAlign w:val="center"/>
          </w:tcPr>
          <w:p>
            <w:pPr>
              <w:pStyle w:val="TableContents"/>
              <w:bidi w:val="0"/>
              <w:spacing w:before="0" w:after="283"/>
              <w:jc w:val="right"/>
              <w:rPr/>
            </w:pPr>
            <w:r>
              <w:rPr/>
              <w:t>(514</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bottom w:val="double" w:sz="6" w:space="0" w:color="000000"/>
            </w:tcBorders>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tcMar>
              <w:bottom w:w="28" w:type="dxa"/>
            </w:tcMar>
            <w:vAlign w:val="center"/>
          </w:tcPr>
          <w:p>
            <w:pPr>
              <w:pStyle w:val="TableContents"/>
              <w:bidi w:val="0"/>
              <w:spacing w:before="0" w:after="283"/>
              <w:jc w:val="right"/>
              <w:rPr/>
            </w:pPr>
            <w:r>
              <w:rPr/>
              <w:t>(20,003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tcMar>
              <w:bottom w:w="28" w:type="dxa"/>
            </w:tcMar>
            <w:vAlign w:val="center"/>
          </w:tcPr>
          <w:p>
            <w:pPr>
              <w:pStyle w:val="TableContents"/>
              <w:bidi w:val="0"/>
              <w:spacing w:before="0" w:after="283"/>
              <w:jc w:val="right"/>
              <w:rPr/>
            </w:pPr>
            <w:r>
              <w:rPr/>
              <w:t>(91,209</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231" w:type="dxa"/>
            <w:tcBorders>
              <w:bottom w:val="double" w:sz="6" w:space="0" w:color="000000"/>
            </w:tcBorders>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tcMar>
              <w:bottom w:w="28" w:type="dxa"/>
            </w:tcMar>
            <w:vAlign w:val="center"/>
          </w:tcPr>
          <w:p>
            <w:pPr>
              <w:pStyle w:val="TableContents"/>
              <w:bidi w:val="0"/>
              <w:spacing w:before="0" w:after="283"/>
              <w:jc w:val="right"/>
              <w:rPr/>
            </w:pPr>
            <w:r>
              <w:rPr/>
              <w:t>(2,151</w:t>
            </w:r>
          </w:p>
        </w:tc>
        <w:tc>
          <w:tcPr>
            <w:tcW w:w="100"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147" w:type="dxa"/>
            <w:tcBorders>
              <w:bottom w:val="double" w:sz="6" w:space="0" w:color="000000"/>
            </w:tcBorders>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tcMar>
              <w:bottom w:w="28" w:type="dxa"/>
            </w:tcMar>
            <w:vAlign w:val="center"/>
          </w:tcPr>
          <w:p>
            <w:pPr>
              <w:pStyle w:val="TableContents"/>
              <w:bidi w:val="0"/>
              <w:spacing w:before="0" w:after="283"/>
              <w:jc w:val="right"/>
              <w:rPr/>
            </w:pPr>
            <w:r>
              <w:rPr/>
              <w:t>(93,360</w:t>
            </w:r>
          </w:p>
        </w:tc>
        <w:tc>
          <w:tcPr>
            <w:tcW w:w="119"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Consolidated Statements of Changes in Shareholders’ Equity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jc w:val="left"/>
        <w:rPr>
          <w:caps w:val="false"/>
          <w:smallCaps w:val="false"/>
        </w:rPr>
      </w:pPr>
      <w:r>
        <w:rPr>
          <w:caps w:val="false"/>
          <w:smallCaps w:val="false"/>
        </w:rPr>
        <w:t> </w:t>
      </w:r>
    </w:p>
    <w:tbl>
      <w:tblPr>
        <w:tblW w:w="12490"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60"/>
        <w:gridCol w:w="60"/>
        <w:gridCol w:w="269"/>
        <w:gridCol w:w="876"/>
        <w:gridCol w:w="95"/>
        <w:gridCol w:w="60"/>
        <w:gridCol w:w="141"/>
        <w:gridCol w:w="809"/>
        <w:gridCol w:w="60"/>
        <w:gridCol w:w="60"/>
        <w:gridCol w:w="251"/>
        <w:gridCol w:w="1359"/>
        <w:gridCol w:w="95"/>
        <w:gridCol w:w="60"/>
        <w:gridCol w:w="150"/>
        <w:gridCol w:w="815"/>
        <w:gridCol w:w="95"/>
        <w:gridCol w:w="60"/>
        <w:gridCol w:w="340"/>
        <w:gridCol w:w="1360"/>
        <w:gridCol w:w="95"/>
        <w:gridCol w:w="60"/>
        <w:gridCol w:w="215"/>
        <w:gridCol w:w="1230"/>
        <w:gridCol w:w="110"/>
      </w:tblGrid>
      <w:tr>
        <w:trPr/>
        <w:tc>
          <w:tcPr>
            <w:tcW w:w="12490" w:type="dxa"/>
            <w:gridSpan w:val="33"/>
            <w:tcBorders>
              <w:bottom w:val="single" w:sz="8" w:space="0" w:color="000000"/>
            </w:tcBorders>
            <w:vAlign w:val="center"/>
          </w:tcPr>
          <w:p>
            <w:pPr>
              <w:pStyle w:val="TableContents"/>
              <w:bidi w:val="0"/>
              <w:spacing w:before="0" w:after="283"/>
              <w:jc w:val="center"/>
              <w:rPr>
                <w:b/>
              </w:rPr>
            </w:pPr>
            <w:r>
              <w:rPr>
                <w:b/>
              </w:rPr>
              <w:t>Three Months Ended September 30, 2023</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Employee</w:t>
              <w:br/>
              <w:t xml:space="preserve">Stock </w:t>
              <w:br/>
              <w:t>Ownership</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 xml:space="preserve">Other </w:t>
              <w:br/>
              <w:t xml:space="preserve">Comprehensive </w:t>
              <w:br/>
              <w:t xml:space="preserve">Income (Loss), </w:t>
              <w:br/>
              <w:t xml:space="preserve">Net of Income </w:t>
              <w:br/>
              <w:t>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Treasury</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 July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(941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201,518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(26,986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(31,122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w:t>
            </w:r>
          </w:p>
        </w:tc>
        <w:tc>
          <w:tcPr>
            <w:tcW w:w="1360" w:type="dxa"/>
            <w:tcBorders/>
            <w:shd w:fill="CCEEFF" w:val="clear"/>
            <w:tcMar>
              <w:bottom w:w="0" w:type="dxa"/>
            </w:tcMar>
            <w:vAlign w:val="center"/>
          </w:tcPr>
          <w:p>
            <w:pPr>
              <w:pStyle w:val="TableContents"/>
              <w:bidi w:val="0"/>
              <w:spacing w:before="0" w:after="283"/>
              <w:jc w:val="right"/>
              <w:rPr/>
            </w:pPr>
            <w:r>
              <w:rPr/>
              <w:t>1,934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240,383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87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298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Other comprehensive loss, net of income taxes</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876"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(6,736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(360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(7,096</w:t>
            </w:r>
          </w:p>
        </w:tc>
        <w:tc>
          <w:tcPr>
            <w:tcW w:w="110" w:type="dxa"/>
            <w:tcBorders/>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(4,057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(4,057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Share-based compensation</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409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876"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409</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bottom w:val="single" w:sz="8" w:space="0" w:color="000000"/>
            </w:tcBorders>
            <w:shd w:fill="CCEEFF" w:val="clear"/>
            <w:vAlign w:val="center"/>
          </w:tcPr>
          <w:p>
            <w:pPr>
              <w:pStyle w:val="TableContents"/>
              <w:bidi w:val="0"/>
              <w:spacing w:before="0" w:after="283"/>
              <w:jc w:val="left"/>
              <w:rPr/>
            </w:pPr>
            <w:r>
              <w:rPr/>
              <w:t> </w:t>
            </w:r>
          </w:p>
        </w:tc>
        <w:tc>
          <w:tcPr>
            <w:tcW w:w="1360"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Balance, September 30, 2023</w:t>
            </w:r>
          </w:p>
        </w:tc>
        <w:tc>
          <w:tcPr>
            <w:tcW w:w="60" w:type="dxa"/>
            <w:tcBorders/>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vAlign w:val="center"/>
          </w:tcPr>
          <w:p>
            <w:pPr>
              <w:pStyle w:val="TableContents"/>
              <w:bidi w:val="0"/>
              <w:spacing w:before="0" w:after="283"/>
              <w:jc w:val="left"/>
              <w:rPr/>
            </w:pPr>
            <w:r>
              <w:rPr/>
              <w:t>$</w:t>
            </w:r>
          </w:p>
        </w:tc>
        <w:tc>
          <w:tcPr>
            <w:tcW w:w="706" w:type="dxa"/>
            <w:tcBorders>
              <w:bottom w:val="double" w:sz="6" w:space="0" w:color="000000"/>
            </w:tcBorders>
            <w:vAlign w:val="center"/>
          </w:tcPr>
          <w:p>
            <w:pPr>
              <w:pStyle w:val="TableContents"/>
              <w:bidi w:val="0"/>
              <w:spacing w:before="0" w:after="283"/>
              <w:jc w:val="right"/>
              <w:rPr/>
            </w:pPr>
            <w:r>
              <w:rPr/>
              <w:t>230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vAlign w:val="center"/>
          </w:tcPr>
          <w:p>
            <w:pPr>
              <w:pStyle w:val="TableContents"/>
              <w:bidi w:val="0"/>
              <w:spacing w:before="0" w:after="283"/>
              <w:jc w:val="left"/>
              <w:rPr/>
            </w:pPr>
            <w:r>
              <w:rPr/>
              <w:t>$</w:t>
            </w:r>
          </w:p>
        </w:tc>
        <w:tc>
          <w:tcPr>
            <w:tcW w:w="913" w:type="dxa"/>
            <w:tcBorders>
              <w:bottom w:val="double" w:sz="6" w:space="0" w:color="000000"/>
            </w:tcBorders>
            <w:vAlign w:val="center"/>
          </w:tcPr>
          <w:p>
            <w:pPr>
              <w:pStyle w:val="TableContents"/>
              <w:bidi w:val="0"/>
              <w:spacing w:before="0" w:after="283"/>
              <w:jc w:val="right"/>
              <w:rPr/>
            </w:pPr>
            <w:r>
              <w:rPr/>
              <w:t>96,159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vAlign w:val="center"/>
          </w:tcPr>
          <w:p>
            <w:pPr>
              <w:pStyle w:val="TableContents"/>
              <w:bidi w:val="0"/>
              <w:spacing w:before="0" w:after="283"/>
              <w:jc w:val="left"/>
              <w:rPr/>
            </w:pPr>
            <w:r>
              <w:rPr/>
              <w:t>$</w:t>
            </w:r>
          </w:p>
        </w:tc>
        <w:tc>
          <w:tcPr>
            <w:tcW w:w="876" w:type="dxa"/>
            <w:tcBorders>
              <w:bottom w:val="double" w:sz="6" w:space="0" w:color="000000"/>
            </w:tcBorders>
            <w:vAlign w:val="center"/>
          </w:tcPr>
          <w:p>
            <w:pPr>
              <w:pStyle w:val="TableContents"/>
              <w:bidi w:val="0"/>
              <w:spacing w:before="0" w:after="283"/>
              <w:jc w:val="right"/>
              <w:rPr/>
            </w:pPr>
            <w:r>
              <w:rPr/>
              <w:t>(941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vAlign w:val="center"/>
          </w:tcPr>
          <w:p>
            <w:pPr>
              <w:pStyle w:val="TableContents"/>
              <w:bidi w:val="0"/>
              <w:spacing w:before="0" w:after="283"/>
              <w:jc w:val="left"/>
              <w:rPr/>
            </w:pPr>
            <w:r>
              <w:rPr/>
              <w:t>$</w:t>
            </w:r>
          </w:p>
        </w:tc>
        <w:tc>
          <w:tcPr>
            <w:tcW w:w="809" w:type="dxa"/>
            <w:tcBorders>
              <w:bottom w:val="double" w:sz="6" w:space="0" w:color="000000"/>
            </w:tcBorders>
            <w:vAlign w:val="center"/>
          </w:tcPr>
          <w:p>
            <w:pPr>
              <w:pStyle w:val="TableContents"/>
              <w:bidi w:val="0"/>
              <w:spacing w:before="0" w:after="283"/>
              <w:jc w:val="right"/>
              <w:rPr/>
            </w:pPr>
            <w:r>
              <w:rPr/>
              <w:t>201,749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vAlign w:val="center"/>
          </w:tcPr>
          <w:p>
            <w:pPr>
              <w:pStyle w:val="TableContents"/>
              <w:bidi w:val="0"/>
              <w:spacing w:before="0" w:after="283"/>
              <w:jc w:val="left"/>
              <w:rPr/>
            </w:pPr>
            <w:r>
              <w:rPr/>
              <w:t>$</w:t>
            </w:r>
          </w:p>
        </w:tc>
        <w:tc>
          <w:tcPr>
            <w:tcW w:w="1359" w:type="dxa"/>
            <w:tcBorders>
              <w:bottom w:val="double" w:sz="6" w:space="0" w:color="000000"/>
            </w:tcBorders>
            <w:vAlign w:val="center"/>
          </w:tcPr>
          <w:p>
            <w:pPr>
              <w:pStyle w:val="TableContents"/>
              <w:bidi w:val="0"/>
              <w:spacing w:before="0" w:after="283"/>
              <w:jc w:val="right"/>
              <w:rPr/>
            </w:pPr>
            <w:r>
              <w:rPr/>
              <w:t>(33,722</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vAlign w:val="center"/>
          </w:tcPr>
          <w:p>
            <w:pPr>
              <w:pStyle w:val="TableContents"/>
              <w:bidi w:val="0"/>
              <w:spacing w:before="0" w:after="283"/>
              <w:jc w:val="left"/>
              <w:rPr/>
            </w:pPr>
            <w:r>
              <w:rPr/>
              <w:t>$</w:t>
            </w:r>
          </w:p>
        </w:tc>
        <w:tc>
          <w:tcPr>
            <w:tcW w:w="815" w:type="dxa"/>
            <w:tcBorders>
              <w:bottom w:val="double" w:sz="6" w:space="0" w:color="000000"/>
            </w:tcBorders>
            <w:vAlign w:val="center"/>
          </w:tcPr>
          <w:p>
            <w:pPr>
              <w:pStyle w:val="TableContents"/>
              <w:bidi w:val="0"/>
              <w:spacing w:before="0" w:after="283"/>
              <w:jc w:val="right"/>
              <w:rPr/>
            </w:pPr>
            <w:r>
              <w:rPr/>
              <w:t>(35,179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40" w:type="dxa"/>
            <w:tcBorders>
              <w:bottom w:val="double" w:sz="6" w:space="0" w:color="000000"/>
            </w:tcBorders>
            <w:vAlign w:val="center"/>
          </w:tcPr>
          <w:p>
            <w:pPr>
              <w:pStyle w:val="TableContents"/>
              <w:bidi w:val="0"/>
              <w:spacing w:before="0" w:after="283"/>
              <w:jc w:val="left"/>
              <w:rPr/>
            </w:pPr>
            <w:r>
              <w:rPr/>
              <w:t>$</w:t>
            </w:r>
          </w:p>
        </w:tc>
        <w:tc>
          <w:tcPr>
            <w:tcW w:w="1360" w:type="dxa"/>
            <w:tcBorders>
              <w:bottom w:val="double" w:sz="6" w:space="0" w:color="000000"/>
            </w:tcBorders>
            <w:vAlign w:val="center"/>
          </w:tcPr>
          <w:p>
            <w:pPr>
              <w:pStyle w:val="TableContents"/>
              <w:bidi w:val="0"/>
              <w:spacing w:before="0" w:after="283"/>
              <w:jc w:val="right"/>
              <w:rPr/>
            </w:pPr>
            <w:r>
              <w:rPr/>
              <w:t>1,641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vAlign w:val="center"/>
          </w:tcPr>
          <w:p>
            <w:pPr>
              <w:pStyle w:val="TableContents"/>
              <w:bidi w:val="0"/>
              <w:spacing w:before="0" w:after="283"/>
              <w:jc w:val="left"/>
              <w:rPr/>
            </w:pPr>
            <w:r>
              <w:rPr/>
              <w:t>$</w:t>
            </w:r>
          </w:p>
        </w:tc>
        <w:tc>
          <w:tcPr>
            <w:tcW w:w="1230" w:type="dxa"/>
            <w:tcBorders>
              <w:bottom w:val="double" w:sz="6" w:space="0" w:color="000000"/>
            </w:tcBorders>
            <w:vAlign w:val="center"/>
          </w:tcPr>
          <w:p>
            <w:pPr>
              <w:pStyle w:val="TableContents"/>
              <w:bidi w:val="0"/>
              <w:spacing w:before="0" w:after="283"/>
              <w:jc w:val="right"/>
              <w:rPr/>
            </w:pPr>
            <w:r>
              <w:rPr/>
              <w:t>229,937</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2560"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340"/>
        <w:gridCol w:w="1360"/>
        <w:gridCol w:w="95"/>
        <w:gridCol w:w="60"/>
        <w:gridCol w:w="215"/>
        <w:gridCol w:w="1230"/>
        <w:gridCol w:w="110"/>
      </w:tblGrid>
      <w:tr>
        <w:trPr/>
        <w:tc>
          <w:tcPr>
            <w:tcW w:w="12560" w:type="dxa"/>
            <w:gridSpan w:val="33"/>
            <w:tcBorders>
              <w:bottom w:val="single" w:sz="8" w:space="0" w:color="000000"/>
            </w:tcBorders>
            <w:vAlign w:val="center"/>
          </w:tcPr>
          <w:p>
            <w:pPr>
              <w:pStyle w:val="TableContents"/>
              <w:bidi w:val="0"/>
              <w:spacing w:before="0" w:after="283"/>
              <w:jc w:val="center"/>
              <w:rPr>
                <w:b/>
              </w:rPr>
            </w:pPr>
            <w:r>
              <w:rPr>
                <w:b/>
              </w:rPr>
              <w:t>Nine Months Ended September 30, 2023</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Stock</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Accumulated</w:t>
              <w:br/>
              <w:t xml:space="preserve">Other </w:t>
              <w:br/>
              <w:t>Comprehensive</w:t>
              <w:br/>
              <w:t>Income (Loss),</w:t>
              <w:br/>
              <w:t xml:space="preserve">Net of Income </w:t>
              <w:br/>
              <w:t>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Treasury</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Shareholders’</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 January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95,671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(941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214,121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(29,286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(28,818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w:t>
            </w:r>
          </w:p>
        </w:tc>
        <w:tc>
          <w:tcPr>
            <w:tcW w:w="1360" w:type="dxa"/>
            <w:tcBorders/>
            <w:shd w:fill="CCEEFF" w:val="clear"/>
            <w:tcMar>
              <w:bottom w:w="0" w:type="dxa"/>
            </w:tcMar>
            <w:vAlign w:val="center"/>
          </w:tcPr>
          <w:p>
            <w:pPr>
              <w:pStyle w:val="TableContents"/>
              <w:bidi w:val="0"/>
              <w:spacing w:before="0" w:after="283"/>
              <w:jc w:val="right"/>
              <w:rPr/>
            </w:pPr>
            <w:r>
              <w:rPr/>
              <w:t>2,230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253,207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87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(12,101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(336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(12,437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Other comprehensive loss, net of income taxes</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876"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(4,436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(253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(4,689</w:t>
            </w:r>
          </w:p>
        </w:tc>
        <w:tc>
          <w:tcPr>
            <w:tcW w:w="110" w:type="dxa"/>
            <w:tcBorders/>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(7,280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(7,280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Share-based compensation</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1,310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876"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1,310</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(822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(271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919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bottom w:val="single" w:sz="8" w:space="0" w:color="000000"/>
            </w:tcBorders>
            <w:shd w:fill="CCEEFF" w:val="clear"/>
            <w:vAlign w:val="center"/>
          </w:tcPr>
          <w:p>
            <w:pPr>
              <w:pStyle w:val="TableContents"/>
              <w:bidi w:val="0"/>
              <w:spacing w:before="0" w:after="283"/>
              <w:jc w:val="left"/>
              <w:rPr/>
            </w:pPr>
            <w:r>
              <w:rPr/>
              <w:t> </w:t>
            </w:r>
          </w:p>
        </w:tc>
        <w:tc>
          <w:tcPr>
            <w:tcW w:w="1360"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(174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Balance, September 30, 2023</w:t>
            </w:r>
          </w:p>
        </w:tc>
        <w:tc>
          <w:tcPr>
            <w:tcW w:w="60" w:type="dxa"/>
            <w:tcBorders/>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vAlign w:val="center"/>
          </w:tcPr>
          <w:p>
            <w:pPr>
              <w:pStyle w:val="TableContents"/>
              <w:bidi w:val="0"/>
              <w:spacing w:before="0" w:after="283"/>
              <w:jc w:val="left"/>
              <w:rPr/>
            </w:pPr>
            <w:r>
              <w:rPr/>
              <w:t>$</w:t>
            </w:r>
          </w:p>
        </w:tc>
        <w:tc>
          <w:tcPr>
            <w:tcW w:w="706" w:type="dxa"/>
            <w:tcBorders>
              <w:bottom w:val="double" w:sz="6" w:space="0" w:color="000000"/>
            </w:tcBorders>
            <w:vAlign w:val="center"/>
          </w:tcPr>
          <w:p>
            <w:pPr>
              <w:pStyle w:val="TableContents"/>
              <w:bidi w:val="0"/>
              <w:spacing w:before="0" w:after="283"/>
              <w:jc w:val="right"/>
              <w:rPr/>
            </w:pPr>
            <w:r>
              <w:rPr/>
              <w:t>230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vAlign w:val="center"/>
          </w:tcPr>
          <w:p>
            <w:pPr>
              <w:pStyle w:val="TableContents"/>
              <w:bidi w:val="0"/>
              <w:spacing w:before="0" w:after="283"/>
              <w:jc w:val="left"/>
              <w:rPr/>
            </w:pPr>
            <w:r>
              <w:rPr/>
              <w:t>$</w:t>
            </w:r>
          </w:p>
        </w:tc>
        <w:tc>
          <w:tcPr>
            <w:tcW w:w="913" w:type="dxa"/>
            <w:tcBorders>
              <w:bottom w:val="double" w:sz="6" w:space="0" w:color="000000"/>
            </w:tcBorders>
            <w:vAlign w:val="center"/>
          </w:tcPr>
          <w:p>
            <w:pPr>
              <w:pStyle w:val="TableContents"/>
              <w:bidi w:val="0"/>
              <w:spacing w:before="0" w:after="283"/>
              <w:jc w:val="right"/>
              <w:rPr/>
            </w:pPr>
            <w:r>
              <w:rPr/>
              <w:t>96,159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vAlign w:val="center"/>
          </w:tcPr>
          <w:p>
            <w:pPr>
              <w:pStyle w:val="TableContents"/>
              <w:bidi w:val="0"/>
              <w:spacing w:before="0" w:after="283"/>
              <w:jc w:val="left"/>
              <w:rPr/>
            </w:pPr>
            <w:r>
              <w:rPr/>
              <w:t>$</w:t>
            </w:r>
          </w:p>
        </w:tc>
        <w:tc>
          <w:tcPr>
            <w:tcW w:w="876" w:type="dxa"/>
            <w:tcBorders>
              <w:bottom w:val="double" w:sz="6" w:space="0" w:color="000000"/>
            </w:tcBorders>
            <w:vAlign w:val="center"/>
          </w:tcPr>
          <w:p>
            <w:pPr>
              <w:pStyle w:val="TableContents"/>
              <w:bidi w:val="0"/>
              <w:spacing w:before="0" w:after="283"/>
              <w:jc w:val="right"/>
              <w:rPr/>
            </w:pPr>
            <w:r>
              <w:rPr/>
              <w:t>(941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vAlign w:val="center"/>
          </w:tcPr>
          <w:p>
            <w:pPr>
              <w:pStyle w:val="TableContents"/>
              <w:bidi w:val="0"/>
              <w:spacing w:before="0" w:after="283"/>
              <w:jc w:val="left"/>
              <w:rPr/>
            </w:pPr>
            <w:r>
              <w:rPr/>
              <w:t>$</w:t>
            </w:r>
          </w:p>
        </w:tc>
        <w:tc>
          <w:tcPr>
            <w:tcW w:w="809" w:type="dxa"/>
            <w:tcBorders>
              <w:bottom w:val="double" w:sz="6" w:space="0" w:color="000000"/>
            </w:tcBorders>
            <w:vAlign w:val="center"/>
          </w:tcPr>
          <w:p>
            <w:pPr>
              <w:pStyle w:val="TableContents"/>
              <w:bidi w:val="0"/>
              <w:spacing w:before="0" w:after="283"/>
              <w:jc w:val="right"/>
              <w:rPr/>
            </w:pPr>
            <w:r>
              <w:rPr/>
              <w:t>201,749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vAlign w:val="center"/>
          </w:tcPr>
          <w:p>
            <w:pPr>
              <w:pStyle w:val="TableContents"/>
              <w:bidi w:val="0"/>
              <w:spacing w:before="0" w:after="283"/>
              <w:jc w:val="left"/>
              <w:rPr/>
            </w:pPr>
            <w:r>
              <w:rPr/>
              <w:t>$</w:t>
            </w:r>
          </w:p>
        </w:tc>
        <w:tc>
          <w:tcPr>
            <w:tcW w:w="1359" w:type="dxa"/>
            <w:tcBorders>
              <w:bottom w:val="double" w:sz="6" w:space="0" w:color="000000"/>
            </w:tcBorders>
            <w:vAlign w:val="center"/>
          </w:tcPr>
          <w:p>
            <w:pPr>
              <w:pStyle w:val="TableContents"/>
              <w:bidi w:val="0"/>
              <w:spacing w:before="0" w:after="283"/>
              <w:jc w:val="right"/>
              <w:rPr/>
            </w:pPr>
            <w:r>
              <w:rPr/>
              <w:t>(33,722</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vAlign w:val="center"/>
          </w:tcPr>
          <w:p>
            <w:pPr>
              <w:pStyle w:val="TableContents"/>
              <w:bidi w:val="0"/>
              <w:spacing w:before="0" w:after="283"/>
              <w:jc w:val="left"/>
              <w:rPr/>
            </w:pPr>
            <w:r>
              <w:rPr/>
              <w:t>$</w:t>
            </w:r>
          </w:p>
        </w:tc>
        <w:tc>
          <w:tcPr>
            <w:tcW w:w="815" w:type="dxa"/>
            <w:tcBorders>
              <w:bottom w:val="double" w:sz="6" w:space="0" w:color="000000"/>
            </w:tcBorders>
            <w:vAlign w:val="center"/>
          </w:tcPr>
          <w:p>
            <w:pPr>
              <w:pStyle w:val="TableContents"/>
              <w:bidi w:val="0"/>
              <w:spacing w:before="0" w:after="283"/>
              <w:jc w:val="right"/>
              <w:rPr/>
            </w:pPr>
            <w:r>
              <w:rPr/>
              <w:t>(35,179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40" w:type="dxa"/>
            <w:tcBorders>
              <w:bottom w:val="double" w:sz="6" w:space="0" w:color="000000"/>
            </w:tcBorders>
            <w:vAlign w:val="center"/>
          </w:tcPr>
          <w:p>
            <w:pPr>
              <w:pStyle w:val="TableContents"/>
              <w:bidi w:val="0"/>
              <w:spacing w:before="0" w:after="283"/>
              <w:jc w:val="left"/>
              <w:rPr/>
            </w:pPr>
            <w:r>
              <w:rPr/>
              <w:t>$</w:t>
            </w:r>
          </w:p>
        </w:tc>
        <w:tc>
          <w:tcPr>
            <w:tcW w:w="1360" w:type="dxa"/>
            <w:tcBorders>
              <w:bottom w:val="double" w:sz="6" w:space="0" w:color="000000"/>
            </w:tcBorders>
            <w:vAlign w:val="center"/>
          </w:tcPr>
          <w:p>
            <w:pPr>
              <w:pStyle w:val="TableContents"/>
              <w:bidi w:val="0"/>
              <w:spacing w:before="0" w:after="283"/>
              <w:jc w:val="right"/>
              <w:rPr/>
            </w:pPr>
            <w:r>
              <w:rPr/>
              <w:t>1,641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vAlign w:val="center"/>
          </w:tcPr>
          <w:p>
            <w:pPr>
              <w:pStyle w:val="TableContents"/>
              <w:bidi w:val="0"/>
              <w:spacing w:before="0" w:after="283"/>
              <w:jc w:val="left"/>
              <w:rPr/>
            </w:pPr>
            <w:r>
              <w:rPr/>
              <w:t>$</w:t>
            </w:r>
          </w:p>
        </w:tc>
        <w:tc>
          <w:tcPr>
            <w:tcW w:w="1230" w:type="dxa"/>
            <w:tcBorders>
              <w:bottom w:val="double" w:sz="6" w:space="0" w:color="000000"/>
            </w:tcBorders>
            <w:vAlign w:val="center"/>
          </w:tcPr>
          <w:p>
            <w:pPr>
              <w:pStyle w:val="TableContents"/>
              <w:bidi w:val="0"/>
              <w:spacing w:before="0" w:after="283"/>
              <w:jc w:val="right"/>
              <w:rPr/>
            </w:pPr>
            <w:r>
              <w:rPr/>
              <w:t>229,937</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jc w:val="left"/>
        <w:rPr>
          <w:caps w:val="false"/>
          <w:smallCaps w:val="false"/>
        </w:rPr>
      </w:pPr>
      <w:r>
        <w:rPr>
          <w:caps w:val="false"/>
          <w:smallCaps w:val="false"/>
        </w:rPr>
        <w:t> </w:t>
      </w:r>
    </w:p>
    <w:tbl>
      <w:tblPr>
        <w:tblW w:w="12560"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06"/>
        <w:gridCol w:w="939"/>
        <w:gridCol w:w="95"/>
        <w:gridCol w:w="60"/>
        <w:gridCol w:w="141"/>
        <w:gridCol w:w="809"/>
        <w:gridCol w:w="95"/>
        <w:gridCol w:w="60"/>
        <w:gridCol w:w="251"/>
        <w:gridCol w:w="1359"/>
        <w:gridCol w:w="95"/>
        <w:gridCol w:w="60"/>
        <w:gridCol w:w="150"/>
        <w:gridCol w:w="815"/>
        <w:gridCol w:w="95"/>
        <w:gridCol w:w="60"/>
        <w:gridCol w:w="340"/>
        <w:gridCol w:w="1360"/>
        <w:gridCol w:w="95"/>
        <w:gridCol w:w="60"/>
        <w:gridCol w:w="215"/>
        <w:gridCol w:w="1230"/>
        <w:gridCol w:w="110"/>
      </w:tblGrid>
      <w:tr>
        <w:trPr/>
        <w:tc>
          <w:tcPr>
            <w:tcW w:w="12560" w:type="dxa"/>
            <w:gridSpan w:val="33"/>
            <w:tcBorders>
              <w:bottom w:val="single" w:sz="8" w:space="0" w:color="000000"/>
            </w:tcBorders>
            <w:vAlign w:val="center"/>
          </w:tcPr>
          <w:p>
            <w:pPr>
              <w:pStyle w:val="TableContents"/>
              <w:bidi w:val="0"/>
              <w:spacing w:before="0" w:after="283"/>
              <w:jc w:val="center"/>
              <w:rPr>
                <w:b/>
              </w:rPr>
            </w:pPr>
            <w:r>
              <w:rPr>
                <w:b/>
              </w:rPr>
              <w:t>Three Months Ended September 30, 2022</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 xml:space="preserve">Common </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Employee</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 xml:space="preserve">Other </w:t>
              <w:br/>
              <w:t xml:space="preserve">Comprehensive </w:t>
              <w:br/>
              <w:t>Income (Loss),</w:t>
              <w:br/>
              <w:t xml:space="preserve">Net of Income </w:t>
              <w:br/>
              <w:t>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 July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96,827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939" w:type="dxa"/>
            <w:tcBorders/>
            <w:shd w:fill="CCEEFF" w:val="clear"/>
            <w:tcMar>
              <w:bottom w:w="0" w:type="dxa"/>
            </w:tcMar>
            <w:vAlign w:val="center"/>
          </w:tcPr>
          <w:p>
            <w:pPr>
              <w:pStyle w:val="TableContents"/>
              <w:bidi w:val="0"/>
              <w:spacing w:before="0" w:after="283"/>
              <w:jc w:val="right"/>
              <w:rPr/>
            </w:pPr>
            <w:r>
              <w:rPr/>
              <w:t>(1,184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223,217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(22,482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(26,569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w:t>
            </w:r>
          </w:p>
        </w:tc>
        <w:tc>
          <w:tcPr>
            <w:tcW w:w="1360" w:type="dxa"/>
            <w:tcBorders/>
            <w:shd w:fill="CCEEFF" w:val="clear"/>
            <w:tcMar>
              <w:bottom w:w="0" w:type="dxa"/>
            </w:tcMar>
            <w:vAlign w:val="center"/>
          </w:tcPr>
          <w:p>
            <w:pPr>
              <w:pStyle w:val="TableContents"/>
              <w:bidi w:val="0"/>
              <w:spacing w:before="0" w:after="283"/>
              <w:jc w:val="right"/>
              <w:rPr/>
            </w:pPr>
            <w:r>
              <w:rPr/>
              <w:t>2,572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272,611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(9,985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(184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(10,169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Other comprehensive loss, net of income taxes</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(9,504</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(330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(9,834</w:t>
            </w:r>
          </w:p>
        </w:tc>
        <w:tc>
          <w:tcPr>
            <w:tcW w:w="110" w:type="dxa"/>
            <w:tcBorders/>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(939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(939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Share-based compensation</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(645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(645</w:t>
            </w:r>
          </w:p>
        </w:tc>
        <w:tc>
          <w:tcPr>
            <w:tcW w:w="110" w:type="dxa"/>
            <w:tcBorders/>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(202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939"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bottom w:val="single" w:sz="8" w:space="0" w:color="000000"/>
            </w:tcBorders>
            <w:shd w:fill="CCEEFF" w:val="clear"/>
            <w:vAlign w:val="center"/>
          </w:tcPr>
          <w:p>
            <w:pPr>
              <w:pStyle w:val="TableContents"/>
              <w:bidi w:val="0"/>
              <w:spacing w:before="0" w:after="283"/>
              <w:jc w:val="left"/>
              <w:rPr/>
            </w:pPr>
            <w:r>
              <w:rPr/>
              <w:t> </w:t>
            </w:r>
          </w:p>
        </w:tc>
        <w:tc>
          <w:tcPr>
            <w:tcW w:w="1360"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(203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Balance, September 30, 2022</w:t>
            </w:r>
          </w:p>
        </w:tc>
        <w:tc>
          <w:tcPr>
            <w:tcW w:w="60" w:type="dxa"/>
            <w:tcBorders/>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vAlign w:val="center"/>
          </w:tcPr>
          <w:p>
            <w:pPr>
              <w:pStyle w:val="TableContents"/>
              <w:bidi w:val="0"/>
              <w:spacing w:before="0" w:after="283"/>
              <w:jc w:val="left"/>
              <w:rPr/>
            </w:pPr>
            <w:r>
              <w:rPr/>
              <w:t>$</w:t>
            </w:r>
          </w:p>
        </w:tc>
        <w:tc>
          <w:tcPr>
            <w:tcW w:w="706" w:type="dxa"/>
            <w:tcBorders>
              <w:bottom w:val="double" w:sz="6" w:space="0" w:color="000000"/>
            </w:tcBorders>
            <w:vAlign w:val="center"/>
          </w:tcPr>
          <w:p>
            <w:pPr>
              <w:pStyle w:val="TableContents"/>
              <w:bidi w:val="0"/>
              <w:spacing w:before="0" w:after="283"/>
              <w:jc w:val="right"/>
              <w:rPr/>
            </w:pPr>
            <w:r>
              <w:rPr/>
              <w:t>230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vAlign w:val="center"/>
          </w:tcPr>
          <w:p>
            <w:pPr>
              <w:pStyle w:val="TableContents"/>
              <w:bidi w:val="0"/>
              <w:spacing w:before="0" w:after="283"/>
              <w:jc w:val="left"/>
              <w:rPr/>
            </w:pPr>
            <w:r>
              <w:rPr/>
              <w:t>$</w:t>
            </w:r>
          </w:p>
        </w:tc>
        <w:tc>
          <w:tcPr>
            <w:tcW w:w="913" w:type="dxa"/>
            <w:tcBorders>
              <w:bottom w:val="double" w:sz="6" w:space="0" w:color="000000"/>
            </w:tcBorders>
            <w:vAlign w:val="center"/>
          </w:tcPr>
          <w:p>
            <w:pPr>
              <w:pStyle w:val="TableContents"/>
              <w:bidi w:val="0"/>
              <w:spacing w:before="0" w:after="283"/>
              <w:jc w:val="right"/>
              <w:rPr/>
            </w:pPr>
            <w:r>
              <w:rPr/>
              <w:t>95,980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vAlign w:val="center"/>
          </w:tcPr>
          <w:p>
            <w:pPr>
              <w:pStyle w:val="TableContents"/>
              <w:bidi w:val="0"/>
              <w:spacing w:before="0" w:after="283"/>
              <w:jc w:val="left"/>
              <w:rPr/>
            </w:pPr>
            <w:r>
              <w:rPr/>
              <w:t>$</w:t>
            </w:r>
          </w:p>
        </w:tc>
        <w:tc>
          <w:tcPr>
            <w:tcW w:w="939" w:type="dxa"/>
            <w:tcBorders>
              <w:bottom w:val="double" w:sz="6" w:space="0" w:color="000000"/>
            </w:tcBorders>
            <w:vAlign w:val="center"/>
          </w:tcPr>
          <w:p>
            <w:pPr>
              <w:pStyle w:val="TableContents"/>
              <w:bidi w:val="0"/>
              <w:spacing w:before="0" w:after="283"/>
              <w:jc w:val="right"/>
              <w:rPr/>
            </w:pPr>
            <w:r>
              <w:rPr/>
              <w:t>(1,184</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vAlign w:val="center"/>
          </w:tcPr>
          <w:p>
            <w:pPr>
              <w:pStyle w:val="TableContents"/>
              <w:bidi w:val="0"/>
              <w:spacing w:before="0" w:after="283"/>
              <w:jc w:val="left"/>
              <w:rPr/>
            </w:pPr>
            <w:r>
              <w:rPr/>
              <w:t>$</w:t>
            </w:r>
          </w:p>
        </w:tc>
        <w:tc>
          <w:tcPr>
            <w:tcW w:w="809" w:type="dxa"/>
            <w:tcBorders>
              <w:bottom w:val="double" w:sz="6" w:space="0" w:color="000000"/>
            </w:tcBorders>
            <w:vAlign w:val="center"/>
          </w:tcPr>
          <w:p>
            <w:pPr>
              <w:pStyle w:val="TableContents"/>
              <w:bidi w:val="0"/>
              <w:spacing w:before="0" w:after="283"/>
              <w:jc w:val="right"/>
              <w:rPr/>
            </w:pPr>
            <w:r>
              <w:rPr/>
              <w:t>213,231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vAlign w:val="center"/>
          </w:tcPr>
          <w:p>
            <w:pPr>
              <w:pStyle w:val="TableContents"/>
              <w:bidi w:val="0"/>
              <w:spacing w:before="0" w:after="283"/>
              <w:jc w:val="left"/>
              <w:rPr/>
            </w:pPr>
            <w:r>
              <w:rPr/>
              <w:t>$</w:t>
            </w:r>
          </w:p>
        </w:tc>
        <w:tc>
          <w:tcPr>
            <w:tcW w:w="1359" w:type="dxa"/>
            <w:tcBorders>
              <w:bottom w:val="double" w:sz="6" w:space="0" w:color="000000"/>
            </w:tcBorders>
            <w:vAlign w:val="center"/>
          </w:tcPr>
          <w:p>
            <w:pPr>
              <w:pStyle w:val="TableContents"/>
              <w:bidi w:val="0"/>
              <w:spacing w:before="0" w:after="283"/>
              <w:jc w:val="right"/>
              <w:rPr/>
            </w:pPr>
            <w:r>
              <w:rPr/>
              <w:t>(31,986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vAlign w:val="center"/>
          </w:tcPr>
          <w:p>
            <w:pPr>
              <w:pStyle w:val="TableContents"/>
              <w:bidi w:val="0"/>
              <w:spacing w:before="0" w:after="283"/>
              <w:jc w:val="left"/>
              <w:rPr/>
            </w:pPr>
            <w:r>
              <w:rPr/>
              <w:t>$</w:t>
            </w:r>
          </w:p>
        </w:tc>
        <w:tc>
          <w:tcPr>
            <w:tcW w:w="815" w:type="dxa"/>
            <w:tcBorders>
              <w:bottom w:val="double" w:sz="6" w:space="0" w:color="000000"/>
            </w:tcBorders>
            <w:vAlign w:val="center"/>
          </w:tcPr>
          <w:p>
            <w:pPr>
              <w:pStyle w:val="TableContents"/>
              <w:bidi w:val="0"/>
              <w:spacing w:before="0" w:after="283"/>
              <w:jc w:val="right"/>
              <w:rPr/>
            </w:pPr>
            <w:r>
              <w:rPr/>
              <w:t>(27,508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40" w:type="dxa"/>
            <w:tcBorders>
              <w:bottom w:val="double" w:sz="6" w:space="0" w:color="000000"/>
            </w:tcBorders>
            <w:vAlign w:val="center"/>
          </w:tcPr>
          <w:p>
            <w:pPr>
              <w:pStyle w:val="TableContents"/>
              <w:bidi w:val="0"/>
              <w:spacing w:before="0" w:after="283"/>
              <w:jc w:val="left"/>
              <w:rPr/>
            </w:pPr>
            <w:r>
              <w:rPr/>
              <w:t>$</w:t>
            </w:r>
          </w:p>
        </w:tc>
        <w:tc>
          <w:tcPr>
            <w:tcW w:w="1360" w:type="dxa"/>
            <w:tcBorders>
              <w:bottom w:val="double" w:sz="6" w:space="0" w:color="000000"/>
            </w:tcBorders>
            <w:vAlign w:val="center"/>
          </w:tcPr>
          <w:p>
            <w:pPr>
              <w:pStyle w:val="TableContents"/>
              <w:bidi w:val="0"/>
              <w:spacing w:before="0" w:after="283"/>
              <w:jc w:val="right"/>
              <w:rPr/>
            </w:pPr>
            <w:r>
              <w:rPr/>
              <w:t>2,058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vAlign w:val="center"/>
          </w:tcPr>
          <w:p>
            <w:pPr>
              <w:pStyle w:val="TableContents"/>
              <w:bidi w:val="0"/>
              <w:spacing w:before="0" w:after="283"/>
              <w:jc w:val="left"/>
              <w:rPr/>
            </w:pPr>
            <w:r>
              <w:rPr/>
              <w:t>$</w:t>
            </w:r>
          </w:p>
        </w:tc>
        <w:tc>
          <w:tcPr>
            <w:tcW w:w="1230" w:type="dxa"/>
            <w:tcBorders>
              <w:bottom w:val="double" w:sz="6" w:space="0" w:color="000000"/>
            </w:tcBorders>
            <w:vAlign w:val="center"/>
          </w:tcPr>
          <w:p>
            <w:pPr>
              <w:pStyle w:val="TableContents"/>
              <w:bidi w:val="0"/>
              <w:spacing w:before="0" w:after="283"/>
              <w:jc w:val="right"/>
              <w:rPr/>
            </w:pPr>
            <w:r>
              <w:rPr/>
              <w:t>250,821</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2560"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06"/>
        <w:gridCol w:w="939"/>
        <w:gridCol w:w="95"/>
        <w:gridCol w:w="60"/>
        <w:gridCol w:w="141"/>
        <w:gridCol w:w="809"/>
        <w:gridCol w:w="95"/>
        <w:gridCol w:w="60"/>
        <w:gridCol w:w="251"/>
        <w:gridCol w:w="1359"/>
        <w:gridCol w:w="95"/>
        <w:gridCol w:w="60"/>
        <w:gridCol w:w="150"/>
        <w:gridCol w:w="815"/>
        <w:gridCol w:w="95"/>
        <w:gridCol w:w="60"/>
        <w:gridCol w:w="307"/>
        <w:gridCol w:w="1393"/>
        <w:gridCol w:w="95"/>
        <w:gridCol w:w="60"/>
        <w:gridCol w:w="215"/>
        <w:gridCol w:w="1230"/>
        <w:gridCol w:w="110"/>
      </w:tblGrid>
      <w:tr>
        <w:trPr/>
        <w:tc>
          <w:tcPr>
            <w:tcW w:w="12560" w:type="dxa"/>
            <w:gridSpan w:val="33"/>
            <w:tcBorders>
              <w:bottom w:val="single" w:sz="8" w:space="0" w:color="000000"/>
            </w:tcBorders>
            <w:vAlign w:val="center"/>
          </w:tcPr>
          <w:p>
            <w:pPr>
              <w:pStyle w:val="TableContents"/>
              <w:bidi w:val="0"/>
              <w:spacing w:before="0" w:after="283"/>
              <w:jc w:val="center"/>
              <w:rPr>
                <w:b/>
              </w:rPr>
            </w:pPr>
            <w:r>
              <w:rPr>
                <w:b/>
              </w:rPr>
              <w:t>Nine Months Ended September 30, 2022</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 xml:space="preserve">Common </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 xml:space="preserve">Additional </w:t>
              <w:br/>
              <w:t xml:space="preserve">Paid-in </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 xml:space="preserve">Other </w:t>
              <w:br/>
              <w:t xml:space="preserve">Comprehensive </w:t>
              <w:br/>
              <w:t xml:space="preserve">Income (Loss), </w:t>
              <w:br/>
              <w:t xml:space="preserve">Net of Income </w:t>
              <w:br/>
              <w:t>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Treasury</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98,166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939" w:type="dxa"/>
            <w:tcBorders/>
            <w:shd w:fill="CCEEFF" w:val="clear"/>
            <w:tcMar>
              <w:bottom w:w="0" w:type="dxa"/>
            </w:tcMar>
            <w:vAlign w:val="center"/>
          </w:tcPr>
          <w:p>
            <w:pPr>
              <w:pStyle w:val="TableContents"/>
              <w:bidi w:val="0"/>
              <w:spacing w:before="0" w:after="283"/>
              <w:jc w:val="right"/>
              <w:rPr/>
            </w:pPr>
            <w:r>
              <w:rPr/>
              <w:t>(1,184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267,207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5,237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(26,452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w:t>
            </w:r>
          </w:p>
        </w:tc>
        <w:tc>
          <w:tcPr>
            <w:tcW w:w="1393" w:type="dxa"/>
            <w:tcBorders/>
            <w:shd w:fill="CCEEFF" w:val="clear"/>
            <w:tcMar>
              <w:bottom w:w="0" w:type="dxa"/>
            </w:tcMar>
            <w:vAlign w:val="center"/>
          </w:tcPr>
          <w:p>
            <w:pPr>
              <w:pStyle w:val="TableContents"/>
              <w:bidi w:val="0"/>
              <w:spacing w:before="0" w:after="283"/>
              <w:jc w:val="right"/>
              <w:rPr/>
            </w:pPr>
            <w:r>
              <w:rPr/>
              <w:t>4,209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347,413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(53,986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right"/>
              <w:rPr/>
            </w:pPr>
            <w:r>
              <w:rPr/>
              <w:t>(780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(54,766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Other comprehensive loss, net of income taxes</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283"/>
              <w:jc w:val="right"/>
              <w:rPr/>
            </w:pPr>
            <w:r>
              <w:rPr/>
              <w:t>(37,223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right"/>
              <w:rPr/>
            </w:pPr>
            <w:r>
              <w:rPr/>
              <w:t>(1,371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(38,594</w:t>
            </w:r>
          </w:p>
        </w:tc>
        <w:tc>
          <w:tcPr>
            <w:tcW w:w="110" w:type="dxa"/>
            <w:tcBorders/>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(2,870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(2,870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Share-based compensation</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tcMar>
              <w:bottom w:w="0" w:type="dxa"/>
            </w:tcMar>
            <w:vAlign w:val="center"/>
          </w:tcPr>
          <w:p>
            <w:pPr>
              <w:pStyle w:val="TableContents"/>
              <w:bidi w:val="0"/>
              <w:spacing w:before="0" w:after="283"/>
              <w:jc w:val="left"/>
              <w:rPr/>
            </w:pPr>
            <w:r>
              <w:rPr/>
              <w:t> </w:t>
            </w:r>
          </w:p>
        </w:tc>
        <w:tc>
          <w:tcPr>
            <w:tcW w:w="913" w:type="dxa"/>
            <w:tcBorders/>
            <w:tcMar>
              <w:bottom w:w="0" w:type="dxa"/>
            </w:tcMar>
            <w:vAlign w:val="center"/>
          </w:tcPr>
          <w:p>
            <w:pPr>
              <w:pStyle w:val="TableContents"/>
              <w:bidi w:val="0"/>
              <w:spacing w:before="0" w:after="283"/>
              <w:jc w:val="right"/>
              <w:rPr/>
            </w:pPr>
            <w:r>
              <w:rPr/>
              <w:t>406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135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406</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(2,592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939"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1,814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bottom w:val="single" w:sz="8" w:space="0" w:color="000000"/>
            </w:tcBorders>
            <w:shd w:fill="CCEEFF" w:val="clear"/>
            <w:vAlign w:val="center"/>
          </w:tcPr>
          <w:p>
            <w:pPr>
              <w:pStyle w:val="TableContents"/>
              <w:bidi w:val="0"/>
              <w:spacing w:before="0" w:after="283"/>
              <w:jc w:val="left"/>
              <w:rPr/>
            </w:pPr>
            <w:r>
              <w:rPr/>
              <w:t> </w:t>
            </w:r>
          </w:p>
        </w:tc>
        <w:tc>
          <w:tcPr>
            <w:tcW w:w="1393" w:type="dxa"/>
            <w:tcBorders>
              <w:bottom w:val="single" w:sz="8"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(768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tcMar>
              <w:bottom w:w="0" w:type="dxa"/>
            </w:tcMar>
            <w:vAlign w:val="center"/>
          </w:tcPr>
          <w:p>
            <w:pPr>
              <w:pStyle w:val="TableContents"/>
              <w:bidi w:val="0"/>
              <w:spacing w:before="0" w:after="283"/>
              <w:jc w:val="left"/>
              <w:rPr/>
            </w:pPr>
            <w:r>
              <w:rPr/>
              <w:t>Balance, September 30, 2022</w:t>
            </w:r>
          </w:p>
        </w:tc>
        <w:tc>
          <w:tcPr>
            <w:tcW w:w="60" w:type="dxa"/>
            <w:tcBorders/>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vAlign w:val="center"/>
          </w:tcPr>
          <w:p>
            <w:pPr>
              <w:pStyle w:val="TableContents"/>
              <w:bidi w:val="0"/>
              <w:spacing w:before="0" w:after="283"/>
              <w:jc w:val="left"/>
              <w:rPr/>
            </w:pPr>
            <w:r>
              <w:rPr/>
              <w:t>$</w:t>
            </w:r>
          </w:p>
        </w:tc>
        <w:tc>
          <w:tcPr>
            <w:tcW w:w="706" w:type="dxa"/>
            <w:tcBorders>
              <w:bottom w:val="double" w:sz="6" w:space="0" w:color="000000"/>
            </w:tcBorders>
            <w:vAlign w:val="center"/>
          </w:tcPr>
          <w:p>
            <w:pPr>
              <w:pStyle w:val="TableContents"/>
              <w:bidi w:val="0"/>
              <w:spacing w:before="0" w:after="283"/>
              <w:jc w:val="right"/>
              <w:rPr/>
            </w:pPr>
            <w:r>
              <w:rPr/>
              <w:t>230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vAlign w:val="center"/>
          </w:tcPr>
          <w:p>
            <w:pPr>
              <w:pStyle w:val="TableContents"/>
              <w:bidi w:val="0"/>
              <w:spacing w:before="0" w:after="283"/>
              <w:jc w:val="left"/>
              <w:rPr/>
            </w:pPr>
            <w:r>
              <w:rPr/>
              <w:t>$</w:t>
            </w:r>
          </w:p>
        </w:tc>
        <w:tc>
          <w:tcPr>
            <w:tcW w:w="913" w:type="dxa"/>
            <w:tcBorders>
              <w:bottom w:val="double" w:sz="6" w:space="0" w:color="000000"/>
            </w:tcBorders>
            <w:vAlign w:val="center"/>
          </w:tcPr>
          <w:p>
            <w:pPr>
              <w:pStyle w:val="TableContents"/>
              <w:bidi w:val="0"/>
              <w:spacing w:before="0" w:after="283"/>
              <w:jc w:val="right"/>
              <w:rPr/>
            </w:pPr>
            <w:r>
              <w:rPr/>
              <w:t>95,980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vAlign w:val="center"/>
          </w:tcPr>
          <w:p>
            <w:pPr>
              <w:pStyle w:val="TableContents"/>
              <w:bidi w:val="0"/>
              <w:spacing w:before="0" w:after="283"/>
              <w:jc w:val="left"/>
              <w:rPr/>
            </w:pPr>
            <w:r>
              <w:rPr/>
              <w:t>$</w:t>
            </w:r>
          </w:p>
        </w:tc>
        <w:tc>
          <w:tcPr>
            <w:tcW w:w="939" w:type="dxa"/>
            <w:tcBorders>
              <w:bottom w:val="double" w:sz="6" w:space="0" w:color="000000"/>
            </w:tcBorders>
            <w:vAlign w:val="center"/>
          </w:tcPr>
          <w:p>
            <w:pPr>
              <w:pStyle w:val="TableContents"/>
              <w:bidi w:val="0"/>
              <w:spacing w:before="0" w:after="283"/>
              <w:jc w:val="right"/>
              <w:rPr/>
            </w:pPr>
            <w:r>
              <w:rPr/>
              <w:t>(1,184</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vAlign w:val="center"/>
          </w:tcPr>
          <w:p>
            <w:pPr>
              <w:pStyle w:val="TableContents"/>
              <w:bidi w:val="0"/>
              <w:spacing w:before="0" w:after="283"/>
              <w:jc w:val="left"/>
              <w:rPr/>
            </w:pPr>
            <w:r>
              <w:rPr/>
              <w:t>$</w:t>
            </w:r>
          </w:p>
        </w:tc>
        <w:tc>
          <w:tcPr>
            <w:tcW w:w="809" w:type="dxa"/>
            <w:tcBorders>
              <w:bottom w:val="double" w:sz="6" w:space="0" w:color="000000"/>
            </w:tcBorders>
            <w:vAlign w:val="center"/>
          </w:tcPr>
          <w:p>
            <w:pPr>
              <w:pStyle w:val="TableContents"/>
              <w:bidi w:val="0"/>
              <w:spacing w:before="0" w:after="283"/>
              <w:jc w:val="right"/>
              <w:rPr/>
            </w:pPr>
            <w:r>
              <w:rPr/>
              <w:t>213,231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vAlign w:val="center"/>
          </w:tcPr>
          <w:p>
            <w:pPr>
              <w:pStyle w:val="TableContents"/>
              <w:bidi w:val="0"/>
              <w:spacing w:before="0" w:after="283"/>
              <w:jc w:val="left"/>
              <w:rPr/>
            </w:pPr>
            <w:r>
              <w:rPr/>
              <w:t>$</w:t>
            </w:r>
          </w:p>
        </w:tc>
        <w:tc>
          <w:tcPr>
            <w:tcW w:w="1359" w:type="dxa"/>
            <w:tcBorders>
              <w:bottom w:val="double" w:sz="6" w:space="0" w:color="000000"/>
            </w:tcBorders>
            <w:vAlign w:val="center"/>
          </w:tcPr>
          <w:p>
            <w:pPr>
              <w:pStyle w:val="TableContents"/>
              <w:bidi w:val="0"/>
              <w:spacing w:before="0" w:after="283"/>
              <w:jc w:val="right"/>
              <w:rPr/>
            </w:pPr>
            <w:r>
              <w:rPr/>
              <w:t>(31,986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vAlign w:val="center"/>
          </w:tcPr>
          <w:p>
            <w:pPr>
              <w:pStyle w:val="TableContents"/>
              <w:bidi w:val="0"/>
              <w:spacing w:before="0" w:after="283"/>
              <w:jc w:val="left"/>
              <w:rPr/>
            </w:pPr>
            <w:r>
              <w:rPr/>
              <w:t>$</w:t>
            </w:r>
          </w:p>
        </w:tc>
        <w:tc>
          <w:tcPr>
            <w:tcW w:w="815" w:type="dxa"/>
            <w:tcBorders>
              <w:bottom w:val="double" w:sz="6" w:space="0" w:color="000000"/>
            </w:tcBorders>
            <w:vAlign w:val="center"/>
          </w:tcPr>
          <w:p>
            <w:pPr>
              <w:pStyle w:val="TableContents"/>
              <w:bidi w:val="0"/>
              <w:spacing w:before="0" w:after="283"/>
              <w:jc w:val="right"/>
              <w:rPr/>
            </w:pPr>
            <w:r>
              <w:rPr/>
              <w:t>(27,508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07" w:type="dxa"/>
            <w:tcBorders>
              <w:bottom w:val="double" w:sz="6" w:space="0" w:color="000000"/>
            </w:tcBorders>
            <w:vAlign w:val="center"/>
          </w:tcPr>
          <w:p>
            <w:pPr>
              <w:pStyle w:val="TableContents"/>
              <w:bidi w:val="0"/>
              <w:spacing w:before="0" w:after="283"/>
              <w:jc w:val="left"/>
              <w:rPr/>
            </w:pPr>
            <w:r>
              <w:rPr/>
              <w:t>$</w:t>
            </w:r>
          </w:p>
        </w:tc>
        <w:tc>
          <w:tcPr>
            <w:tcW w:w="1393" w:type="dxa"/>
            <w:tcBorders>
              <w:bottom w:val="double" w:sz="6" w:space="0" w:color="000000"/>
            </w:tcBorders>
            <w:vAlign w:val="center"/>
          </w:tcPr>
          <w:p>
            <w:pPr>
              <w:pStyle w:val="TableContents"/>
              <w:bidi w:val="0"/>
              <w:spacing w:before="0" w:after="283"/>
              <w:jc w:val="right"/>
              <w:rPr/>
            </w:pPr>
            <w:r>
              <w:rPr/>
              <w:t>2,058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vAlign w:val="center"/>
          </w:tcPr>
          <w:p>
            <w:pPr>
              <w:pStyle w:val="TableContents"/>
              <w:bidi w:val="0"/>
              <w:spacing w:before="0" w:after="283"/>
              <w:jc w:val="left"/>
              <w:rPr/>
            </w:pPr>
            <w:r>
              <w:rPr/>
              <w:t>$</w:t>
            </w:r>
          </w:p>
        </w:tc>
        <w:tc>
          <w:tcPr>
            <w:tcW w:w="1230" w:type="dxa"/>
            <w:tcBorders>
              <w:bottom w:val="double" w:sz="6" w:space="0" w:color="000000"/>
            </w:tcBorders>
            <w:vAlign w:val="center"/>
          </w:tcPr>
          <w:p>
            <w:pPr>
              <w:pStyle w:val="TableContents"/>
              <w:bidi w:val="0"/>
              <w:spacing w:before="0" w:after="283"/>
              <w:jc w:val="right"/>
              <w:rPr/>
            </w:pPr>
            <w:r>
              <w:rPr/>
              <w:t>250,821</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Consolidated Statements of Cash Flows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6"/>
        <w:gridCol w:w="60"/>
        <w:gridCol w:w="236"/>
        <w:gridCol w:w="1279"/>
        <w:gridCol w:w="160"/>
        <w:gridCol w:w="101"/>
        <w:gridCol w:w="236"/>
        <w:gridCol w:w="1279"/>
        <w:gridCol w:w="708"/>
      </w:tblGrid>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708" w:type="dxa"/>
            <w:tcBorders/>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283"/>
              <w:jc w:val="right"/>
              <w:rPr/>
            </w:pPr>
            <w:r>
              <w:rPr/>
              <w:t>(12,437</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279" w:type="dxa"/>
            <w:tcBorders/>
            <w:vAlign w:val="center"/>
          </w:tcPr>
          <w:p>
            <w:pPr>
              <w:pStyle w:val="TableContents"/>
              <w:bidi w:val="0"/>
              <w:spacing w:before="0" w:after="283"/>
              <w:jc w:val="right"/>
              <w:rPr/>
            </w:pPr>
            <w:r>
              <w:rPr/>
              <w:t>(54,766</w:t>
            </w:r>
          </w:p>
        </w:tc>
        <w:tc>
          <w:tcPr>
            <w:tcW w:w="708" w:type="dxa"/>
            <w:tcBorders/>
            <w:vAlign w:val="center"/>
          </w:tcPr>
          <w:p>
            <w:pPr>
              <w:pStyle w:val="TableContents"/>
              <w:bidi w:val="0"/>
              <w:spacing w:before="0" w:after="283"/>
              <w:jc w:val="left"/>
              <w:rPr/>
            </w:pPr>
            <w:r>
              <w:rPr/>
              <w:t>)</w:t>
            </w:r>
          </w:p>
        </w:tc>
      </w:tr>
      <w:tr>
        <w:trPr/>
        <w:tc>
          <w:tcPr>
            <w:tcW w:w="6146" w:type="dxa"/>
            <w:tcBorders/>
            <w:shd w:fill="CCEEFF" w:val="clear"/>
            <w:vAlign w:val="center"/>
          </w:tcPr>
          <w:p>
            <w:pPr>
              <w:pStyle w:val="TableContents"/>
              <w:bidi w:val="0"/>
              <w:spacing w:before="0" w:after="283"/>
              <w:jc w:val="left"/>
              <w:rPr/>
            </w:pPr>
            <w:r>
              <w:rPr/>
              <w:t>Adjustments to reconcile net loss to 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Net investment losses (gains)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(15</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19,532</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(3,881</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(6,128</w:t>
            </w:r>
          </w:p>
        </w:tc>
        <w:tc>
          <w:tcPr>
            <w:tcW w:w="708" w:type="dxa"/>
            <w:tcBorders/>
            <w:shd w:fill="CCEEFF" w:val="clear"/>
            <w:vAlign w:val="center"/>
          </w:tcPr>
          <w:p>
            <w:pPr>
              <w:pStyle w:val="TableContents"/>
              <w:bidi w:val="0"/>
              <w:spacing w:before="0" w:after="283"/>
              <w:jc w:val="left"/>
              <w:rPr/>
            </w:pPr>
            <w:r>
              <w:rPr/>
              <w:t>)</w:t>
            </w:r>
          </w:p>
        </w:tc>
      </w:tr>
      <w:tr>
        <w:trPr/>
        <w:tc>
          <w:tcPr>
            <w:tcW w:w="6146" w:type="dxa"/>
            <w:tcBorders/>
            <w:vAlign w:val="center"/>
          </w:tcPr>
          <w:p>
            <w:pPr>
              <w:pStyle w:val="TableContents"/>
              <w:bidi w:val="0"/>
              <w:spacing w:before="0" w:after="283"/>
              <w:jc w:val="left"/>
              <w:rPr/>
            </w:pPr>
            <w:r>
              <w:rPr/>
              <w:t>Depreciation of property and equipment</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558</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517</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Amortization of intangibles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349</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354</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Share-based compensation</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1,310</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406</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59,529</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49,456</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Deferral of policy acquisition costs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(61,938</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(54,328</w:t>
            </w:r>
          </w:p>
        </w:tc>
        <w:tc>
          <w:tcPr>
            <w:tcW w:w="708" w:type="dxa"/>
            <w:tcBorders/>
            <w:vAlign w:val="center"/>
          </w:tcPr>
          <w:p>
            <w:pPr>
              <w:pStyle w:val="TableContents"/>
              <w:bidi w:val="0"/>
              <w:spacing w:before="0" w:after="283"/>
              <w:jc w:val="left"/>
              <w:rPr/>
            </w:pPr>
            <w:r>
              <w:rPr/>
              <w:t>)</w:t>
            </w:r>
          </w:p>
        </w:tc>
      </w:tr>
      <w:tr>
        <w:trPr/>
        <w:tc>
          <w:tcPr>
            <w:tcW w:w="6146" w:type="dxa"/>
            <w:tcBorders/>
            <w:shd w:fill="CCEEFF" w:val="clear"/>
            <w:vAlign w:val="center"/>
          </w:tcPr>
          <w:p>
            <w:pPr>
              <w:pStyle w:val="TableContents"/>
              <w:bidi w:val="0"/>
              <w:spacing w:before="0" w:after="283"/>
              <w:jc w:val="left"/>
              <w:rPr/>
            </w:pPr>
            <w:r>
              <w:rPr/>
              <w:t>Net amortization of premiums and discounts on investments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793</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1,251</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Gain on sale of property and equipment</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(44</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(186</w:t>
            </w:r>
          </w:p>
        </w:tc>
        <w:tc>
          <w:tcPr>
            <w:tcW w:w="708" w:type="dxa"/>
            <w:tcBorders/>
            <w:vAlign w:val="center"/>
          </w:tcPr>
          <w:p>
            <w:pPr>
              <w:pStyle w:val="TableContents"/>
              <w:bidi w:val="0"/>
              <w:spacing w:before="0" w:after="283"/>
              <w:ind w:left="0" w:right="0" w:hanging="216"/>
              <w:jc w:val="left"/>
              <w:rPr/>
            </w:pPr>
            <w:r>
              <w:rPr/>
              <w:t>)</w:t>
            </w:r>
          </w:p>
        </w:tc>
      </w:tr>
      <w:tr>
        <w:trPr/>
        <w:tc>
          <w:tcPr>
            <w:tcW w:w="6146"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708" w:type="dxa"/>
            <w:tcBorders/>
            <w:shd w:fill="CCEEFF" w:val="clear"/>
            <w:vAlign w:val="center"/>
          </w:tcPr>
          <w:p>
            <w:pPr>
              <w:pStyle w:val="TableContents"/>
              <w:bidi w:val="0"/>
              <w:spacing w:before="0" w:after="283"/>
              <w:ind w:left="0" w:right="0" w:hanging="288"/>
              <w:jc w:val="left"/>
              <w:rPr/>
            </w:pPr>
            <w:r>
              <w:rPr/>
              <w:t> </w:t>
            </w:r>
          </w:p>
        </w:tc>
      </w:tr>
      <w:tr>
        <w:trPr/>
        <w:tc>
          <w:tcPr>
            <w:tcW w:w="6146" w:type="dxa"/>
            <w:tcBorders/>
            <w:vAlign w:val="center"/>
          </w:tcPr>
          <w:p>
            <w:pPr>
              <w:pStyle w:val="TableContents"/>
              <w:bidi w:val="0"/>
              <w:spacing w:before="0" w:after="283"/>
              <w:jc w:val="left"/>
              <w:rPr/>
            </w:pPr>
            <w:r>
              <w:rPr/>
              <w:t>Premiums and agents’ balances receivable</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(37,452</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(51,518</w:t>
            </w:r>
          </w:p>
        </w:tc>
        <w:tc>
          <w:tcPr>
            <w:tcW w:w="708" w:type="dxa"/>
            <w:tcBorders/>
            <w:vAlign w:val="center"/>
          </w:tcPr>
          <w:p>
            <w:pPr>
              <w:pStyle w:val="TableContents"/>
              <w:bidi w:val="0"/>
              <w:spacing w:before="0" w:after="283"/>
              <w:ind w:left="0" w:right="0" w:hanging="288"/>
              <w:jc w:val="left"/>
              <w:rPr/>
            </w:pPr>
            <w:r>
              <w:rPr/>
              <w:t>)</w:t>
            </w:r>
          </w:p>
        </w:tc>
      </w:tr>
      <w:tr>
        <w:trPr/>
        <w:tc>
          <w:tcPr>
            <w:tcW w:w="6146" w:type="dxa"/>
            <w:tcBorders/>
            <w:shd w:fill="CCEEFF" w:val="clear"/>
            <w:vAlign w:val="center"/>
          </w:tcPr>
          <w:p>
            <w:pPr>
              <w:pStyle w:val="TableContents"/>
              <w:bidi w:val="0"/>
              <w:spacing w:before="0" w:after="283"/>
              <w:jc w:val="left"/>
              <w:rPr/>
            </w:pPr>
            <w:r>
              <w:rPr/>
              <w:t>Reinsurance premiums receivable / payable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1,050</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1,223</w:t>
            </w:r>
          </w:p>
        </w:tc>
        <w:tc>
          <w:tcPr>
            <w:tcW w:w="708" w:type="dxa"/>
            <w:tcBorders/>
            <w:shd w:fill="CCEEFF" w:val="clear"/>
            <w:vAlign w:val="center"/>
          </w:tcPr>
          <w:p>
            <w:pPr>
              <w:pStyle w:val="TableContents"/>
              <w:bidi w:val="0"/>
              <w:spacing w:before="0" w:after="283"/>
              <w:ind w:left="0" w:right="0" w:hanging="288"/>
              <w:jc w:val="left"/>
              <w:rPr/>
            </w:pPr>
            <w:r>
              <w:rPr/>
              <w:t> </w:t>
            </w:r>
          </w:p>
        </w:tc>
      </w:tr>
      <w:tr>
        <w:trPr/>
        <w:tc>
          <w:tcPr>
            <w:tcW w:w="6146" w:type="dxa"/>
            <w:tcBorders/>
            <w:vAlign w:val="center"/>
          </w:tcPr>
          <w:p>
            <w:pPr>
              <w:pStyle w:val="TableContents"/>
              <w:bidi w:val="0"/>
              <w:spacing w:before="0" w:after="283"/>
              <w:jc w:val="left"/>
              <w:rPr/>
            </w:pPr>
            <w:r>
              <w:rPr/>
              <w:t>Reinsurance recoverables on losses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(19,215</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(11,790</w:t>
            </w:r>
          </w:p>
        </w:tc>
        <w:tc>
          <w:tcPr>
            <w:tcW w:w="708" w:type="dxa"/>
            <w:tcBorders/>
            <w:vAlign w:val="center"/>
          </w:tcPr>
          <w:p>
            <w:pPr>
              <w:pStyle w:val="TableContents"/>
              <w:bidi w:val="0"/>
              <w:spacing w:before="0" w:after="283"/>
              <w:ind w:left="0" w:right="0" w:hanging="288"/>
              <w:jc w:val="left"/>
              <w:rPr/>
            </w:pPr>
            <w:r>
              <w:rPr/>
              <w:t>)</w:t>
            </w:r>
          </w:p>
        </w:tc>
      </w:tr>
      <w:tr>
        <w:trPr/>
        <w:tc>
          <w:tcPr>
            <w:tcW w:w="6146" w:type="dxa"/>
            <w:tcBorders/>
            <w:shd w:fill="CCEEFF" w:val="clear"/>
            <w:vAlign w:val="center"/>
          </w:tcPr>
          <w:p>
            <w:pPr>
              <w:pStyle w:val="TableContents"/>
              <w:bidi w:val="0"/>
              <w:spacing w:before="0" w:after="283"/>
              <w:jc w:val="left"/>
              <w:rPr/>
            </w:pPr>
            <w:r>
              <w:rPr/>
              <w:t>Income tax recoverable / payable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1,575</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(11,020</w:t>
            </w:r>
          </w:p>
        </w:tc>
        <w:tc>
          <w:tcPr>
            <w:tcW w:w="708" w:type="dxa"/>
            <w:tcBorders/>
            <w:shd w:fill="CCEEFF" w:val="clear"/>
            <w:vAlign w:val="center"/>
          </w:tcPr>
          <w:p>
            <w:pPr>
              <w:pStyle w:val="TableContents"/>
              <w:bidi w:val="0"/>
              <w:spacing w:before="0" w:after="283"/>
              <w:ind w:left="0" w:right="0" w:hanging="288"/>
              <w:jc w:val="left"/>
              <w:rPr/>
            </w:pPr>
            <w:r>
              <w:rPr/>
              <w:t>)</w:t>
            </w:r>
          </w:p>
        </w:tc>
      </w:tr>
      <w:tr>
        <w:trPr/>
        <w:tc>
          <w:tcPr>
            <w:tcW w:w="6146" w:type="dxa"/>
            <w:tcBorders/>
            <w:vAlign w:val="center"/>
          </w:tcPr>
          <w:p>
            <w:pPr>
              <w:pStyle w:val="TableContents"/>
              <w:bidi w:val="0"/>
              <w:spacing w:before="0" w:after="283"/>
              <w:jc w:val="left"/>
              <w:rPr/>
            </w:pPr>
            <w:r>
              <w:rPr/>
              <w:t>Accrued investment income</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(268</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327</w:t>
            </w:r>
          </w:p>
        </w:tc>
        <w:tc>
          <w:tcPr>
            <w:tcW w:w="708" w:type="dxa"/>
            <w:tcBorders/>
            <w:vAlign w:val="center"/>
          </w:tcPr>
          <w:p>
            <w:pPr>
              <w:pStyle w:val="TableContents"/>
              <w:bidi w:val="0"/>
              <w:spacing w:before="0" w:after="283"/>
              <w:ind w:left="0" w:right="0" w:hanging="288"/>
              <w:jc w:val="left"/>
              <w:rPr/>
            </w:pPr>
            <w:r>
              <w:rPr/>
              <w:t> </w:t>
            </w:r>
          </w:p>
        </w:tc>
      </w:tr>
      <w:tr>
        <w:trPr/>
        <w:tc>
          <w:tcPr>
            <w:tcW w:w="6146" w:type="dxa"/>
            <w:tcBorders/>
            <w:shd w:fill="CCEEFF" w:val="clear"/>
            <w:vAlign w:val="center"/>
          </w:tcPr>
          <w:p>
            <w:pPr>
              <w:pStyle w:val="TableContents"/>
              <w:bidi w:val="0"/>
              <w:spacing w:before="0" w:after="283"/>
              <w:jc w:val="left"/>
              <w:rPr/>
            </w:pPr>
            <w:r>
              <w:rPr/>
              <w:t>Federal Crop Insurance Corporation receivable / payable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983</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(262</w:t>
            </w:r>
          </w:p>
        </w:tc>
        <w:tc>
          <w:tcPr>
            <w:tcW w:w="708" w:type="dxa"/>
            <w:tcBorders/>
            <w:shd w:fill="CCEEFF" w:val="clear"/>
            <w:vAlign w:val="center"/>
          </w:tcPr>
          <w:p>
            <w:pPr>
              <w:pStyle w:val="TableContents"/>
              <w:bidi w:val="0"/>
              <w:spacing w:before="0" w:after="283"/>
              <w:ind w:left="0" w:right="0" w:hanging="288"/>
              <w:jc w:val="left"/>
              <w:rPr/>
            </w:pPr>
            <w:r>
              <w:rPr/>
              <w:t>)</w:t>
            </w:r>
          </w:p>
        </w:tc>
      </w:tr>
      <w:tr>
        <w:trPr/>
        <w:tc>
          <w:tcPr>
            <w:tcW w:w="6146" w:type="dxa"/>
            <w:tcBorders/>
            <w:vAlign w:val="center"/>
          </w:tcPr>
          <w:p>
            <w:pPr>
              <w:pStyle w:val="TableContents"/>
              <w:bidi w:val="0"/>
              <w:spacing w:before="0" w:after="283"/>
              <w:jc w:val="left"/>
              <w:rPr/>
            </w:pPr>
            <w:r>
              <w:rPr/>
              <w:t>Other assets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(50</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(305</w:t>
            </w:r>
          </w:p>
        </w:tc>
        <w:tc>
          <w:tcPr>
            <w:tcW w:w="708" w:type="dxa"/>
            <w:tcBorders/>
            <w:vAlign w:val="center"/>
          </w:tcPr>
          <w:p>
            <w:pPr>
              <w:pStyle w:val="TableContents"/>
              <w:bidi w:val="0"/>
              <w:spacing w:before="0" w:after="283"/>
              <w:ind w:left="0" w:right="0" w:hanging="288"/>
              <w:jc w:val="left"/>
              <w:rPr/>
            </w:pPr>
            <w:r>
              <w:rPr/>
              <w:t>)</w:t>
            </w:r>
          </w:p>
        </w:tc>
      </w:tr>
      <w:tr>
        <w:trPr/>
        <w:tc>
          <w:tcPr>
            <w:tcW w:w="6146" w:type="dxa"/>
            <w:tcBorders/>
            <w:shd w:fill="CCEEFF" w:val="clear"/>
            <w:vAlign w:val="center"/>
          </w:tcPr>
          <w:p>
            <w:pPr>
              <w:pStyle w:val="TableContents"/>
              <w:bidi w:val="0"/>
              <w:spacing w:before="0" w:after="283"/>
              <w:jc w:val="left"/>
              <w:rPr/>
            </w:pPr>
            <w:r>
              <w:rPr/>
              <w:t>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50,289</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46,275</w:t>
            </w:r>
          </w:p>
        </w:tc>
        <w:tc>
          <w:tcPr>
            <w:tcW w:w="708" w:type="dxa"/>
            <w:tcBorders/>
            <w:shd w:fill="CCEEFF" w:val="clear"/>
            <w:vAlign w:val="center"/>
          </w:tcPr>
          <w:p>
            <w:pPr>
              <w:pStyle w:val="TableContents"/>
              <w:bidi w:val="0"/>
              <w:spacing w:before="0" w:after="283"/>
              <w:ind w:left="0" w:right="0" w:hanging="288"/>
              <w:jc w:val="left"/>
              <w:rPr/>
            </w:pPr>
            <w:r>
              <w:rPr/>
              <w:t> </w:t>
            </w:r>
          </w:p>
        </w:tc>
      </w:tr>
      <w:tr>
        <w:trPr/>
        <w:tc>
          <w:tcPr>
            <w:tcW w:w="6146" w:type="dxa"/>
            <w:tcBorders/>
            <w:vAlign w:val="center"/>
          </w:tcPr>
          <w:p>
            <w:pPr>
              <w:pStyle w:val="TableContents"/>
              <w:bidi w:val="0"/>
              <w:spacing w:before="0" w:after="283"/>
              <w:jc w:val="left"/>
              <w:rPr/>
            </w:pPr>
            <w:r>
              <w:rPr/>
              <w:t>Unearned premiums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16,985</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26,620</w:t>
            </w:r>
          </w:p>
        </w:tc>
        <w:tc>
          <w:tcPr>
            <w:tcW w:w="708" w:type="dxa"/>
            <w:tcBorders/>
            <w:vAlign w:val="center"/>
          </w:tcPr>
          <w:p>
            <w:pPr>
              <w:pStyle w:val="TableContents"/>
              <w:bidi w:val="0"/>
              <w:spacing w:before="0" w:after="283"/>
              <w:ind w:left="0" w:right="0" w:hanging="288"/>
              <w:jc w:val="left"/>
              <w:rPr/>
            </w:pPr>
            <w:r>
              <w:rPr/>
              <w:t> </w:t>
            </w:r>
          </w:p>
        </w:tc>
      </w:tr>
      <w:tr>
        <w:trPr/>
        <w:tc>
          <w:tcPr>
            <w:tcW w:w="6146"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(1,142</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19,662</w:t>
            </w:r>
          </w:p>
        </w:tc>
        <w:tc>
          <w:tcPr>
            <w:tcW w:w="708" w:type="dxa"/>
            <w:tcBorders/>
            <w:shd w:fill="CCEEFF" w:val="clear"/>
            <w:vAlign w:val="center"/>
          </w:tcPr>
          <w:p>
            <w:pPr>
              <w:pStyle w:val="TableContents"/>
              <w:bidi w:val="0"/>
              <w:spacing w:before="0" w:after="283"/>
              <w:ind w:left="0" w:right="0" w:firstLine="630"/>
              <w:jc w:val="left"/>
              <w:rPr/>
            </w:pPr>
            <w:r>
              <w:rPr/>
              <w:t> </w:t>
            </w:r>
          </w:p>
        </w:tc>
      </w:tr>
      <w:tr>
        <w:trPr/>
        <w:tc>
          <w:tcPr>
            <w:tcW w:w="6146" w:type="dxa"/>
            <w:tcBorders/>
            <w:vAlign w:val="center"/>
          </w:tcPr>
          <w:p>
            <w:pPr>
              <w:pStyle w:val="TableContents"/>
              <w:bidi w:val="0"/>
              <w:spacing w:before="0" w:after="283"/>
              <w:jc w:val="left"/>
              <w:rPr/>
            </w:pPr>
            <w:r>
              <w:rPr/>
              <w:t>Net cash flows from operating activities</w:t>
            </w:r>
          </w:p>
        </w:tc>
        <w:tc>
          <w:tcPr>
            <w:tcW w:w="6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tcMar>
              <w:bottom w:w="28" w:type="dxa"/>
            </w:tcMar>
            <w:vAlign w:val="center"/>
          </w:tcPr>
          <w:p>
            <w:pPr>
              <w:pStyle w:val="TableContents"/>
              <w:bidi w:val="0"/>
              <w:spacing w:before="0" w:after="283"/>
              <w:jc w:val="right"/>
              <w:rPr/>
            </w:pPr>
            <w:r>
              <w:rPr/>
              <w:t>(3,021</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tcMar>
              <w:bottom w:w="28" w:type="dxa"/>
            </w:tcMar>
            <w:vAlign w:val="center"/>
          </w:tcPr>
          <w:p>
            <w:pPr>
              <w:pStyle w:val="TableContents"/>
              <w:bidi w:val="0"/>
              <w:spacing w:before="0" w:after="283"/>
              <w:jc w:val="right"/>
              <w:rPr/>
            </w:pPr>
            <w:r>
              <w:rPr/>
              <w:t>(24,680</w:t>
            </w:r>
          </w:p>
        </w:tc>
        <w:tc>
          <w:tcPr>
            <w:tcW w:w="708" w:type="dxa"/>
            <w:tcBorders/>
            <w:vAlign w:val="center"/>
          </w:tcPr>
          <w:p>
            <w:pPr>
              <w:pStyle w:val="TableContents"/>
              <w:bidi w:val="0"/>
              <w:spacing w:before="0" w:after="283"/>
              <w:jc w:val="left"/>
              <w:rPr/>
            </w:pPr>
            <w:r>
              <w:rPr/>
              <w:t>)</w:t>
            </w:r>
          </w:p>
        </w:tc>
      </w:tr>
      <w:tr>
        <w:trPr/>
        <w:tc>
          <w:tcPr>
            <w:tcW w:w="6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Cash flows from investing activities: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Proceeds from maturities and sales of fixed income securities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24,828</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68,584</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Proceeds from sales of equity securities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38,388</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13,598</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Purchases of fixed income securities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(54,027</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(49,444</w:t>
            </w:r>
          </w:p>
        </w:tc>
        <w:tc>
          <w:tcPr>
            <w:tcW w:w="708" w:type="dxa"/>
            <w:tcBorders/>
            <w:shd w:fill="CCEEFF" w:val="clear"/>
            <w:vAlign w:val="center"/>
          </w:tcPr>
          <w:p>
            <w:pPr>
              <w:pStyle w:val="TableContents"/>
              <w:bidi w:val="0"/>
              <w:spacing w:before="0" w:after="283"/>
              <w:jc w:val="left"/>
              <w:rPr/>
            </w:pPr>
            <w:r>
              <w:rPr/>
              <w:t>)</w:t>
            </w:r>
          </w:p>
        </w:tc>
      </w:tr>
      <w:tr>
        <w:trPr/>
        <w:tc>
          <w:tcPr>
            <w:tcW w:w="6146" w:type="dxa"/>
            <w:tcBorders/>
            <w:vAlign w:val="center"/>
          </w:tcPr>
          <w:p>
            <w:pPr>
              <w:pStyle w:val="TableContents"/>
              <w:bidi w:val="0"/>
              <w:spacing w:before="0" w:after="283"/>
              <w:jc w:val="left"/>
              <w:rPr/>
            </w:pPr>
            <w:r>
              <w:rPr/>
              <w:t>Purchases of equity securities</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(10,338</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(13,715</w:t>
            </w:r>
          </w:p>
        </w:tc>
        <w:tc>
          <w:tcPr>
            <w:tcW w:w="708" w:type="dxa"/>
            <w:tcBorders/>
            <w:vAlign w:val="center"/>
          </w:tcPr>
          <w:p>
            <w:pPr>
              <w:pStyle w:val="TableContents"/>
              <w:bidi w:val="0"/>
              <w:spacing w:before="0" w:after="283"/>
              <w:jc w:val="left"/>
              <w:rPr/>
            </w:pPr>
            <w:r>
              <w:rPr/>
              <w:t>)</w:t>
            </w:r>
          </w:p>
        </w:tc>
      </w:tr>
      <w:tr>
        <w:trPr/>
        <w:tc>
          <w:tcPr>
            <w:tcW w:w="6146"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(1,001</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(1,052</w:t>
            </w:r>
          </w:p>
        </w:tc>
        <w:tc>
          <w:tcPr>
            <w:tcW w:w="708" w:type="dxa"/>
            <w:tcBorders/>
            <w:shd w:fill="CCEEFF" w:val="clear"/>
            <w:vAlign w:val="center"/>
          </w:tcPr>
          <w:p>
            <w:pPr>
              <w:pStyle w:val="TableContents"/>
              <w:bidi w:val="0"/>
              <w:spacing w:before="0" w:after="283"/>
              <w:ind w:left="0" w:right="0" w:hanging="216"/>
              <w:jc w:val="left"/>
              <w:rPr/>
            </w:pPr>
            <w:r>
              <w:rPr/>
              <w:t>)</w:t>
            </w:r>
          </w:p>
        </w:tc>
      </w:tr>
      <w:tr>
        <w:trPr/>
        <w:tc>
          <w:tcPr>
            <w:tcW w:w="6146" w:type="dxa"/>
            <w:tcBorders/>
            <w:vAlign w:val="center"/>
          </w:tcPr>
          <w:p>
            <w:pPr>
              <w:pStyle w:val="TableContents"/>
              <w:bidi w:val="0"/>
              <w:spacing w:before="0" w:after="283"/>
              <w:jc w:val="left"/>
              <w:rPr/>
            </w:pPr>
            <w:r>
              <w:rPr/>
              <w:t>Proceeds from sales of property and equipment</w:t>
            </w:r>
          </w:p>
        </w:tc>
        <w:tc>
          <w:tcPr>
            <w:tcW w:w="6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tcMar>
              <w:bottom w:w="28" w:type="dxa"/>
            </w:tcMar>
            <w:vAlign w:val="center"/>
          </w:tcPr>
          <w:p>
            <w:pPr>
              <w:pStyle w:val="TableContents"/>
              <w:bidi w:val="0"/>
              <w:spacing w:before="0" w:after="283"/>
              <w:jc w:val="right"/>
              <w:rPr/>
            </w:pPr>
            <w:r>
              <w:rPr/>
              <w:t>129</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tcMar>
              <w:bottom w:w="28" w:type="dxa"/>
            </w:tcMar>
            <w:vAlign w:val="center"/>
          </w:tcPr>
          <w:p>
            <w:pPr>
              <w:pStyle w:val="TableContents"/>
              <w:bidi w:val="0"/>
              <w:spacing w:before="0" w:after="283"/>
              <w:jc w:val="right"/>
              <w:rPr/>
            </w:pPr>
            <w:r>
              <w:rPr/>
              <w:t>668</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Net 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(2,021</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18,639</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Purchases of treasury stock</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(7,280</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(2,870</w:t>
            </w:r>
          </w:p>
        </w:tc>
        <w:tc>
          <w:tcPr>
            <w:tcW w:w="708" w:type="dxa"/>
            <w:tcBorders/>
            <w:vAlign w:val="center"/>
          </w:tcPr>
          <w:p>
            <w:pPr>
              <w:pStyle w:val="TableContents"/>
              <w:bidi w:val="0"/>
              <w:spacing w:before="0" w:after="283"/>
              <w:jc w:val="left"/>
              <w:rPr/>
            </w:pPr>
            <w:r>
              <w:rPr/>
              <w:t>)</w:t>
            </w:r>
          </w:p>
        </w:tc>
      </w:tr>
      <w:tr>
        <w:trPr/>
        <w:tc>
          <w:tcPr>
            <w:tcW w:w="6146" w:type="dxa"/>
            <w:tcBorders/>
            <w:shd w:fill="CCEEFF" w:val="clear"/>
            <w:vAlign w:val="center"/>
          </w:tcPr>
          <w:p>
            <w:pPr>
              <w:pStyle w:val="TableContents"/>
              <w:bidi w:val="0"/>
              <w:spacing w:before="0" w:after="283"/>
              <w:jc w:val="left"/>
              <w:rPr/>
            </w:pPr>
            <w:r>
              <w:rPr/>
              <w:t>Installment payment on Westminster consideration payable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0"/>
              <w:jc w:val="right"/>
              <w:rPr/>
            </w:pPr>
            <w:r>
              <w:rPr/>
              <w:t>—</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(6,667</w:t>
            </w:r>
          </w:p>
        </w:tc>
        <w:tc>
          <w:tcPr>
            <w:tcW w:w="708" w:type="dxa"/>
            <w:tcBorders/>
            <w:shd w:fill="CCEEFF" w:val="clear"/>
            <w:vAlign w:val="center"/>
          </w:tcPr>
          <w:p>
            <w:pPr>
              <w:pStyle w:val="TableContents"/>
              <w:bidi w:val="0"/>
              <w:spacing w:before="0" w:after="283"/>
              <w:jc w:val="left"/>
              <w:rPr/>
            </w:pPr>
            <w:r>
              <w:rPr/>
              <w:t>)</w:t>
            </w:r>
          </w:p>
        </w:tc>
      </w:tr>
      <w:tr>
        <w:trPr/>
        <w:tc>
          <w:tcPr>
            <w:tcW w:w="6146" w:type="dxa"/>
            <w:tcBorders/>
            <w:vAlign w:val="center"/>
          </w:tcPr>
          <w:p>
            <w:pPr>
              <w:pStyle w:val="TableContents"/>
              <w:bidi w:val="0"/>
              <w:spacing w:before="0" w:after="283"/>
              <w:jc w:val="left"/>
              <w:rPr/>
            </w:pPr>
            <w:r>
              <w:rPr/>
              <w:t>Issuance of vested award shares</w:t>
            </w:r>
          </w:p>
        </w:tc>
        <w:tc>
          <w:tcPr>
            <w:tcW w:w="6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tcMar>
              <w:bottom w:w="28" w:type="dxa"/>
            </w:tcMar>
            <w:vAlign w:val="center"/>
          </w:tcPr>
          <w:p>
            <w:pPr>
              <w:pStyle w:val="TableContents"/>
              <w:bidi w:val="0"/>
              <w:spacing w:before="0" w:after="283"/>
              <w:jc w:val="right"/>
              <w:rPr/>
            </w:pPr>
            <w:r>
              <w:rPr/>
              <w:t>(174</w:t>
            </w:r>
          </w:p>
        </w:tc>
        <w:tc>
          <w:tcPr>
            <w:tcW w:w="16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tcMar>
              <w:bottom w:w="28" w:type="dxa"/>
            </w:tcMar>
            <w:vAlign w:val="center"/>
          </w:tcPr>
          <w:p>
            <w:pPr>
              <w:pStyle w:val="TableContents"/>
              <w:bidi w:val="0"/>
              <w:spacing w:before="0" w:after="283"/>
              <w:jc w:val="right"/>
              <w:rPr/>
            </w:pPr>
            <w:r>
              <w:rPr/>
              <w:t>(768</w:t>
            </w:r>
          </w:p>
        </w:tc>
        <w:tc>
          <w:tcPr>
            <w:tcW w:w="708" w:type="dxa"/>
            <w:tcBorders/>
            <w:vAlign w:val="center"/>
          </w:tcPr>
          <w:p>
            <w:pPr>
              <w:pStyle w:val="TableContents"/>
              <w:bidi w:val="0"/>
              <w:spacing w:before="0" w:after="283"/>
              <w:jc w:val="left"/>
              <w:rPr/>
            </w:pPr>
            <w:r>
              <w:rPr/>
              <w:t>)</w:t>
            </w:r>
          </w:p>
        </w:tc>
      </w:tr>
      <w:tr>
        <w:trPr/>
        <w:tc>
          <w:tcPr>
            <w:tcW w:w="6146"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(7,454</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(10,305</w:t>
            </w:r>
          </w:p>
        </w:tc>
        <w:tc>
          <w:tcPr>
            <w:tcW w:w="708" w:type="dxa"/>
            <w:tcBorders/>
            <w:shd w:fill="CCEEFF" w:val="clear"/>
            <w:vAlign w:val="center"/>
          </w:tcPr>
          <w:p>
            <w:pPr>
              <w:pStyle w:val="TableContents"/>
              <w:bidi w:val="0"/>
              <w:spacing w:before="0" w:after="283"/>
              <w:jc w:val="left"/>
              <w:rPr/>
            </w:pPr>
            <w:r>
              <w:rPr/>
              <w:t>)</w:t>
            </w:r>
          </w:p>
        </w:tc>
      </w:tr>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(12,496</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(16,346</w:t>
            </w:r>
          </w:p>
        </w:tc>
        <w:tc>
          <w:tcPr>
            <w:tcW w:w="708" w:type="dxa"/>
            <w:tcBorders/>
            <w:shd w:fill="CCEEFF" w:val="clear"/>
            <w:vAlign w:val="center"/>
          </w:tcPr>
          <w:p>
            <w:pPr>
              <w:pStyle w:val="TableContents"/>
              <w:bidi w:val="0"/>
              <w:spacing w:before="0" w:after="283"/>
              <w:jc w:val="left"/>
              <w:rPr/>
            </w:pPr>
            <w:r>
              <w:rPr/>
              <w:t>)</w:t>
            </w:r>
          </w:p>
        </w:tc>
      </w:tr>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47,002</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70,623</w:t>
            </w:r>
          </w:p>
        </w:tc>
        <w:tc>
          <w:tcPr>
            <w:tcW w:w="708" w:type="dxa"/>
            <w:tcBorders/>
            <w:shd w:fill="CCEEFF" w:val="clear"/>
            <w:vAlign w:val="center"/>
          </w:tcPr>
          <w:p>
            <w:pPr>
              <w:pStyle w:val="TableContents"/>
              <w:bidi w:val="0"/>
              <w:spacing w:before="0" w:after="283"/>
              <w:jc w:val="left"/>
              <w:rPr/>
            </w:pPr>
            <w:r>
              <w:rPr/>
              <w:t> </w:t>
            </w:r>
          </w:p>
        </w:tc>
      </w:tr>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708" w:type="dxa"/>
            <w:tcBorders/>
            <w:vAlign w:val="center"/>
          </w:tcPr>
          <w:p>
            <w:pPr>
              <w:pStyle w:val="TableContents"/>
              <w:bidi w:val="0"/>
              <w:spacing w:before="0" w:after="283"/>
              <w:jc w:val="left"/>
              <w:rPr/>
            </w:pPr>
            <w:r>
              <w:rPr/>
              <w:t> </w:t>
            </w:r>
          </w:p>
        </w:tc>
      </w:tr>
      <w:tr>
        <w:trPr/>
        <w:tc>
          <w:tcPr>
            <w:tcW w:w="6146"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CCEEFF" w:val="clear"/>
            <w:tcMar>
              <w:bottom w:w="28" w:type="dxa"/>
            </w:tcMar>
            <w:vAlign w:val="center"/>
          </w:tcPr>
          <w:p>
            <w:pPr>
              <w:pStyle w:val="TableContents"/>
              <w:bidi w:val="0"/>
              <w:spacing w:before="0" w:after="283"/>
              <w:jc w:val="right"/>
              <w:rPr/>
            </w:pPr>
            <w:r>
              <w:rPr/>
              <w:t>34,506</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CCEEFF" w:val="clear"/>
            <w:tcMar>
              <w:bottom w:w="28" w:type="dxa"/>
            </w:tcMar>
            <w:vAlign w:val="center"/>
          </w:tcPr>
          <w:p>
            <w:pPr>
              <w:pStyle w:val="TableContents"/>
              <w:bidi w:val="0"/>
              <w:spacing w:before="0" w:after="283"/>
              <w:jc w:val="right"/>
              <w:rPr/>
            </w:pPr>
            <w:r>
              <w:rPr/>
              <w:t>54,277</w:t>
            </w:r>
          </w:p>
        </w:tc>
        <w:tc>
          <w:tcPr>
            <w:tcW w:w="708" w:type="dxa"/>
            <w:tcBorders/>
            <w:shd w:fill="CCEEFF" w:val="clear"/>
            <w:vAlign w:val="center"/>
          </w:tcPr>
          <w:p>
            <w:pPr>
              <w:pStyle w:val="TableContents"/>
              <w:bidi w:val="0"/>
              <w:spacing w:before="0" w:after="283"/>
              <w:ind w:left="0" w:right="0" w:hanging="216"/>
              <w:jc w:val="left"/>
              <w:rPr/>
            </w:pPr>
            <w:r>
              <w:rPr/>
              <w:t> </w:t>
            </w:r>
          </w:p>
        </w:tc>
      </w:tr>
      <w:tr>
        <w:trPr/>
        <w:tc>
          <w:tcPr>
            <w:tcW w:w="6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708" w:type="dxa"/>
            <w:tcBorders/>
            <w:vAlign w:val="center"/>
          </w:tcPr>
          <w:p>
            <w:pPr>
              <w:pStyle w:val="TableContents"/>
              <w:bidi w:val="0"/>
              <w:spacing w:before="0" w:after="283"/>
              <w:ind w:left="0" w:right="0" w:hanging="216"/>
              <w:jc w:val="left"/>
              <w:rPr/>
            </w:pPr>
            <w:r>
              <w:rPr/>
              <w:t> </w:t>
            </w:r>
          </w:p>
        </w:tc>
      </w:tr>
      <w:tr>
        <w:trPr/>
        <w:tc>
          <w:tcPr>
            <w:tcW w:w="6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708" w:type="dxa"/>
            <w:tcBorders/>
            <w:shd w:fill="CCEEFF" w:val="clear"/>
            <w:vAlign w:val="center"/>
          </w:tcPr>
          <w:p>
            <w:pPr>
              <w:pStyle w:val="TableContents"/>
              <w:bidi w:val="0"/>
              <w:spacing w:before="0" w:after="283"/>
              <w:ind w:left="0" w:right="0" w:hanging="216"/>
              <w:jc w:val="left"/>
              <w:rPr/>
            </w:pPr>
            <w:r>
              <w:rPr/>
              <w:t> </w:t>
            </w:r>
          </w:p>
        </w:tc>
      </w:tr>
      <w:tr>
        <w:trPr/>
        <w:tc>
          <w:tcPr>
            <w:tcW w:w="6146" w:type="dxa"/>
            <w:tcBorders/>
            <w:vAlign w:val="center"/>
          </w:tcPr>
          <w:p>
            <w:pPr>
              <w:pStyle w:val="TableContents"/>
              <w:bidi w:val="0"/>
              <w:spacing w:before="0" w:after="283"/>
              <w:jc w:val="left"/>
              <w:rPr/>
            </w:pPr>
            <w:r>
              <w:rPr/>
              <w:t>Federal and state income taxes paid</w:t>
            </w:r>
          </w:p>
        </w:tc>
        <w:tc>
          <w:tcPr>
            <w:tcW w:w="60" w:type="dxa"/>
            <w:tcBorders/>
            <w:vAlign w:val="center"/>
          </w:tcPr>
          <w:p>
            <w:pPr>
              <w:pStyle w:val="TableContents"/>
              <w:bidi w:val="0"/>
              <w:spacing w:before="0" w:after="283"/>
              <w:jc w:val="left"/>
              <w:rPr/>
            </w:pPr>
            <w:r>
              <w:rPr/>
              <w:t> </w:t>
            </w:r>
          </w:p>
        </w:tc>
        <w:tc>
          <w:tcPr>
            <w:tcW w:w="236" w:type="dxa"/>
            <w:tcBorders>
              <w:bottom w:val="double" w:sz="6" w:space="0" w:color="000000"/>
            </w:tcBorders>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tcMar>
              <w:bottom w:w="28" w:type="dxa"/>
            </w:tcMar>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bottom w:val="double" w:sz="6" w:space="0" w:color="000000"/>
            </w:tcBorders>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tcMar>
              <w:bottom w:w="28" w:type="dxa"/>
            </w:tcMar>
            <w:vAlign w:val="center"/>
          </w:tcPr>
          <w:p>
            <w:pPr>
              <w:pStyle w:val="TableContents"/>
              <w:bidi w:val="0"/>
              <w:spacing w:before="0" w:after="283"/>
              <w:jc w:val="right"/>
              <w:rPr/>
            </w:pPr>
            <w:r>
              <w:rPr/>
              <w:t>2,360</w:t>
            </w:r>
          </w:p>
        </w:tc>
        <w:tc>
          <w:tcPr>
            <w:tcW w:w="70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Notes to Unaudited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Normal"/>
        <w:bidi w:val="0"/>
        <w:spacing w:before="0" w:after="0"/>
        <w:jc w:val="left"/>
        <w:rPr>
          <w:sz w:val="4"/>
          <w:szCs w:val="4"/>
        </w:rPr>
      </w:pPr>
      <w:r>
        <w:rPr>
          <w:sz w:val="4"/>
          <w:szCs w:val="4"/>
        </w:rPr>
      </w:r>
      <w:bookmarkStart w:id="10" w:name="a_009"/>
      <w:bookmarkStart w:id="11" w:name="a_009"/>
      <w:bookmarkEnd w:id="11"/>
    </w:p>
    <w:tbl>
      <w:tblPr>
        <w:tblW w:w="5000" w:type="pct"/>
        <w:jc w:val="left"/>
        <w:tblInd w:w="0" w:type="dxa"/>
        <w:tblLayout w:type="fixed"/>
        <w:tblCellMar>
          <w:top w:w="0" w:type="dxa"/>
          <w:left w:w="0" w:type="dxa"/>
          <w:bottom w:w="0" w:type="dxa"/>
          <w:right w:w="0" w:type="dxa"/>
        </w:tblCellMar>
      </w:tblPr>
      <w:tblGrid>
        <w:gridCol w:w="241"/>
        <w:gridCol w:w="1269"/>
        <w:gridCol w:w="8695"/>
      </w:tblGrid>
      <w:tr>
        <w:trPr/>
        <w:tc>
          <w:tcPr>
            <w:tcW w:w="24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b/>
              </w:rPr>
            </w:pPr>
            <w:r>
              <w:rPr>
                <w:b/>
              </w:rPr>
              <w:t>1.</w:t>
            </w:r>
          </w:p>
        </w:tc>
        <w:tc>
          <w:tcPr>
            <w:tcW w:w="8695" w:type="dxa"/>
            <w:tcBorders/>
            <w:vAlign w:val="center"/>
          </w:tcPr>
          <w:p>
            <w:pPr>
              <w:pStyle w:val="TableContents"/>
              <w:bidi w:val="0"/>
              <w:spacing w:before="0" w:after="283"/>
              <w:jc w:val="both"/>
              <w:rPr>
                <w:b/>
              </w:rPr>
            </w:pPr>
            <w:r>
              <w:rPr>
                <w:b/>
              </w:rPr>
              <w:t>Organization</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consolidated financial statements include the financial position and results of operations of NI Holdings and the following other entities: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Agency, Inc.</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American West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personal auto coverage in North Dakota, as well as crop hail and Federal multi-peril crop insurance coverages in Minnesota and South Dakota.</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Primero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Mutual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Creek is a property and casualty insurance company writing private passenger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Consolidated Balance Sheets for NI Holdings (“Consolidated Balance Sheets”) and its net income or loss is excluded from net income or loss attributed to NI Holdings in our Consolidated Statements of Operations for NI Holdings (“Consolidated Statements of Operations”).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Auto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licensed in Illinois. Direct Auto began writing non-standard automobile coverage in 2007, and was acquired by NI Holdings on August 31, 2018, via a stock purchase agreement.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Westminster American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acquired by NI Holdings on January 1, 2020, via a stock purchase agreement.</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 a global credit rating agency specializing in the insurance industry.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tbl>
      <w:tblPr>
        <w:tblW w:w="5000" w:type="pct"/>
        <w:jc w:val="left"/>
        <w:tblInd w:w="0" w:type="dxa"/>
        <w:tblLayout w:type="fixed"/>
        <w:tblCellMar>
          <w:top w:w="0" w:type="dxa"/>
          <w:left w:w="0" w:type="dxa"/>
          <w:bottom w:w="0" w:type="dxa"/>
          <w:right w:w="0" w:type="dxa"/>
        </w:tblCellMar>
      </w:tblPr>
      <w:tblGrid>
        <w:gridCol w:w="79"/>
        <w:gridCol w:w="418"/>
        <w:gridCol w:w="9708"/>
      </w:tblGrid>
      <w:tr>
        <w:trPr/>
        <w:tc>
          <w:tcPr>
            <w:tcW w:w="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b/>
              </w:rPr>
            </w:pPr>
            <w:r>
              <w:rPr>
                <w:b/>
              </w:rPr>
              <w:t>2.</w:t>
            </w:r>
          </w:p>
        </w:tc>
        <w:tc>
          <w:tcPr>
            <w:tcW w:w="9708" w:type="dxa"/>
            <w:tcBorders/>
            <w:vAlign w:val="center"/>
          </w:tcPr>
          <w:p>
            <w:pPr>
              <w:pStyle w:val="TableContents"/>
              <w:bidi w:val="0"/>
              <w:spacing w:before="0" w:after="283"/>
              <w:jc w:val="left"/>
              <w:rPr>
                <w:b/>
              </w:rPr>
            </w:pPr>
            <w:r>
              <w:rPr>
                <w:b/>
              </w:rPr>
              <w:t>Basis of Presentation and Accounting Policies</w:t>
            </w:r>
          </w:p>
        </w:tc>
      </w:tr>
    </w:tbl>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2022 Annual Report.</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at December 31, 2022, has been derived from the audited consolidated financial statements at that date but does not include all of the information and footnotes required by GAAP for complete financial statements.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periods ended September 30, 2023, are not necessarily indicative of the results that may be expected for the year ended December 31, 2023.</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2022 Annual Report describes the accounting policies and estimates that are critical to the understanding of our results of operations, financial condition, and liquidity. The accounting policies and estimation processes described in the 2022 Annual Report were consistently applied to the unaudited consolidated financial statements as of and for the nine months ended September 30, 2023 and 2022.</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31, 2022, we were classified as an emerging growth company (“EGC”) and elected to use the extended transition period for complying with certain new or revised financial accounting standards from the Financial Accounting Standards Board (“FASB”) pursuant to Section 13(a) of the Exchange Act. However, beginning on December 31, 2022, we are no longer an EGC and are now unable to delay adoption of these new or revised accounting standards, or to take advantage of reduced corporate governance disclosures.</w:t>
      </w:r>
    </w:p>
    <w:p>
      <w:pPr>
        <w:pStyle w:val="TextBody"/>
        <w:bidi w:val="0"/>
        <w:spacing w:before="0" w:after="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accounting pronouncements that the Company adopted during the periods presented, see Item II, Part 8, Note 2 “Recent Accounting Pronouncements” section of the 2022 Annual Report.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16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20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1250" w:type="dxa"/>
            <w:tcBorders/>
            <w:vAlign w:val="center"/>
          </w:tcPr>
          <w:p>
            <w:pPr>
              <w:pStyle w:val="TableContents"/>
              <w:bidi w:val="0"/>
              <w:spacing w:before="0" w:after="283"/>
              <w:jc w:val="left"/>
              <w:rPr>
                <w:b/>
              </w:rPr>
            </w:pPr>
            <w:r>
              <w:rPr>
                <w:b/>
              </w:rPr>
              <w:t>Investments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as of September 30, 2023, and December 31, 2022, were as follows:</w:t>
      </w:r>
    </w:p>
    <w:tbl>
      <w:tblPr>
        <w:tblW w:w="10205" w:type="dxa"/>
        <w:jc w:val="left"/>
        <w:tblInd w:w="0" w:type="dxa"/>
        <w:tblLayout w:type="fixed"/>
        <w:tblCellMar>
          <w:top w:w="0" w:type="dxa"/>
          <w:left w:w="0" w:type="dxa"/>
          <w:bottom w:w="0" w:type="dxa"/>
          <w:right w:w="0" w:type="dxa"/>
        </w:tblCellMar>
      </w:tblPr>
      <w:tblGrid>
        <w:gridCol w:w="3620"/>
        <w:gridCol w:w="60"/>
        <w:gridCol w:w="168"/>
        <w:gridCol w:w="973"/>
        <w:gridCol w:w="60"/>
        <w:gridCol w:w="60"/>
        <w:gridCol w:w="483"/>
        <w:gridCol w:w="901"/>
        <w:gridCol w:w="60"/>
        <w:gridCol w:w="60"/>
        <w:gridCol w:w="409"/>
        <w:gridCol w:w="762"/>
        <w:gridCol w:w="60"/>
        <w:gridCol w:w="60"/>
        <w:gridCol w:w="182"/>
        <w:gridCol w:w="989"/>
        <w:gridCol w:w="95"/>
        <w:gridCol w:w="60"/>
        <w:gridCol w:w="158"/>
        <w:gridCol w:w="905"/>
        <w:gridCol w:w="8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U.S. Government and agencies</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73" w:type="dxa"/>
            <w:tcBorders/>
            <w:vAlign w:val="center"/>
          </w:tcPr>
          <w:p>
            <w:pPr>
              <w:pStyle w:val="TableContents"/>
              <w:bidi w:val="0"/>
              <w:spacing w:before="0" w:after="283"/>
              <w:jc w:val="right"/>
              <w:rPr/>
            </w:pPr>
            <w:r>
              <w:rPr/>
              <w:t>9,941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w:t>
            </w:r>
          </w:p>
        </w:tc>
        <w:tc>
          <w:tcPr>
            <w:tcW w:w="90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89" w:type="dxa"/>
            <w:tcBorders/>
            <w:vAlign w:val="center"/>
          </w:tcPr>
          <w:p>
            <w:pPr>
              <w:pStyle w:val="TableContents"/>
              <w:bidi w:val="0"/>
              <w:spacing w:before="0" w:after="283"/>
              <w:jc w:val="right"/>
              <w:rPr/>
            </w:pPr>
            <w:r>
              <w:rPr/>
              <w:t>(1,019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8,922</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57,007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(7,534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49,474</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Corporate securities</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151,844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(17,099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134,805</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64,767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(8,628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56,139</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Commercial mortgage-backed securities</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30,289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(5,432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24,857</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52,295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(5,159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47,154</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Redeemable preferred stocks</w:t>
            </w:r>
          </w:p>
        </w:tc>
        <w:tc>
          <w:tcPr>
            <w:tcW w:w="60" w:type="dxa"/>
            <w:tcBorders/>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tcMar>
              <w:bottom w:w="28" w:type="dxa"/>
            </w:tcMar>
            <w:vAlign w:val="center"/>
          </w:tcPr>
          <w:p>
            <w:pPr>
              <w:pStyle w:val="TableContents"/>
              <w:bidi w:val="0"/>
              <w:spacing w:before="0" w:after="283"/>
              <w:jc w:val="right"/>
              <w:rPr/>
            </w:pPr>
            <w:r>
              <w:rPr/>
              <w:t>4,747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 w:type="dxa"/>
            <w:tcBorders>
              <w:bottom w:val="single" w:sz="8" w:space="0" w:color="000000"/>
            </w:tcBorders>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 w:type="dxa"/>
            <w:tcBorders>
              <w:bottom w:val="single" w:sz="8" w:space="0" w:color="000000"/>
            </w:tcBorders>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bottom w:val="single" w:sz="8" w:space="0" w:color="000000"/>
            </w:tcBorders>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tcMar>
              <w:bottom w:w="28" w:type="dxa"/>
            </w:tcMar>
            <w:vAlign w:val="center"/>
          </w:tcPr>
          <w:p>
            <w:pPr>
              <w:pStyle w:val="TableContents"/>
              <w:bidi w:val="0"/>
              <w:spacing w:before="0" w:after="283"/>
              <w:jc w:val="right"/>
              <w:rPr/>
            </w:pPr>
            <w:r>
              <w:rPr/>
              <w:t>(930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3,817</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pPr>
            <w:r>
              <w:rPr/>
              <w:t>370,890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jc w:val="right"/>
              <w:rPr/>
            </w:pPr>
            <w:r>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pPr>
            <w:r>
              <w:rPr/>
              <w:t>(45,801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325,168</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3"/>
        <w:gridCol w:w="60"/>
        <w:gridCol w:w="163"/>
        <w:gridCol w:w="937"/>
        <w:gridCol w:w="60"/>
        <w:gridCol w:w="60"/>
        <w:gridCol w:w="485"/>
        <w:gridCol w:w="904"/>
        <w:gridCol w:w="60"/>
        <w:gridCol w:w="60"/>
        <w:gridCol w:w="315"/>
        <w:gridCol w:w="857"/>
        <w:gridCol w:w="60"/>
        <w:gridCol w:w="60"/>
        <w:gridCol w:w="182"/>
        <w:gridCol w:w="990"/>
        <w:gridCol w:w="95"/>
        <w:gridCol w:w="60"/>
        <w:gridCol w:w="158"/>
        <w:gridCol w:w="907"/>
        <w:gridCol w:w="79"/>
      </w:tblGrid>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1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9" w:type="dxa"/>
            <w:tcBorders/>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Amortized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9" w:type="dxa"/>
            <w:tcBorders/>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U.S. Government and agencies</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11,174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857"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(1,008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07" w:type="dxa"/>
            <w:tcBorders/>
            <w:vAlign w:val="center"/>
          </w:tcPr>
          <w:p>
            <w:pPr>
              <w:pStyle w:val="TableContents"/>
              <w:bidi w:val="0"/>
              <w:spacing w:before="0" w:after="283"/>
              <w:jc w:val="right"/>
              <w:rPr/>
            </w:pPr>
            <w:r>
              <w:rPr/>
              <w:t>10,167</w:t>
            </w:r>
          </w:p>
        </w:tc>
        <w:tc>
          <w:tcPr>
            <w:tcW w:w="79" w:type="dxa"/>
            <w:tcBorders/>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(6,454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53,926</w:t>
            </w:r>
          </w:p>
        </w:tc>
        <w:tc>
          <w:tcPr>
            <w:tcW w:w="79" w:type="dxa"/>
            <w:tcBorders/>
            <w:shd w:fill="CCEEFF" w:val="clear"/>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Corporate securities</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136,837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109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(15,787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121,159</w:t>
            </w:r>
          </w:p>
        </w:tc>
        <w:tc>
          <w:tcPr>
            <w:tcW w:w="79" w:type="dxa"/>
            <w:tcBorders/>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53,254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(5,846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47,493</w:t>
            </w:r>
          </w:p>
        </w:tc>
        <w:tc>
          <w:tcPr>
            <w:tcW w:w="79" w:type="dxa"/>
            <w:tcBorders/>
            <w:shd w:fill="CCEEFF" w:val="clear"/>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Commercial mortgage-backed securities</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30,837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(4,702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26,135</w:t>
            </w:r>
          </w:p>
        </w:tc>
        <w:tc>
          <w:tcPr>
            <w:tcW w:w="79" w:type="dxa"/>
            <w:tcBorders/>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45,786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(5,061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40,725</w:t>
            </w:r>
          </w:p>
        </w:tc>
        <w:tc>
          <w:tcPr>
            <w:tcW w:w="79" w:type="dxa"/>
            <w:tcBorders/>
            <w:shd w:fill="CCEEFF" w:val="clear"/>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Redeemable preferred stocks</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tcMar>
              <w:bottom w:w="28" w:type="dxa"/>
            </w:tcMar>
            <w:vAlign w:val="center"/>
          </w:tcPr>
          <w:p>
            <w:pPr>
              <w:pStyle w:val="TableContents"/>
              <w:bidi w:val="0"/>
              <w:spacing w:before="0" w:after="283"/>
              <w:jc w:val="right"/>
              <w:rPr/>
            </w:pPr>
            <w:r>
              <w:rPr/>
              <w:t>4,747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bottom w:val="single" w:sz="8" w:space="0" w:color="000000"/>
            </w:tcBorders>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tcMar>
              <w:bottom w:w="28" w:type="dxa"/>
            </w:tcMar>
            <w:vAlign w:val="center"/>
          </w:tcPr>
          <w:p>
            <w:pPr>
              <w:pStyle w:val="TableContents"/>
              <w:bidi w:val="0"/>
              <w:spacing w:before="0" w:after="283"/>
              <w:jc w:val="right"/>
              <w:rPr/>
            </w:pPr>
            <w:r>
              <w:rPr/>
              <w:t>(1,028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tcMar>
              <w:bottom w:w="28" w:type="dxa"/>
            </w:tcMar>
            <w:vAlign w:val="center"/>
          </w:tcPr>
          <w:p>
            <w:pPr>
              <w:pStyle w:val="TableContents"/>
              <w:bidi w:val="0"/>
              <w:spacing w:before="0" w:after="283"/>
              <w:jc w:val="right"/>
              <w:rPr/>
            </w:pPr>
            <w:r>
              <w:rPr/>
              <w:t>3,719</w:t>
            </w:r>
          </w:p>
        </w:tc>
        <w:tc>
          <w:tcPr>
            <w:tcW w:w="79" w:type="dxa"/>
            <w:tcBorders/>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342,977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4"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pPr>
            <w:r>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pPr>
            <w:r>
              <w:rPr/>
              <w:t>(39,886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pPr>
            <w:r>
              <w:rPr/>
              <w:t>303,324</w:t>
            </w:r>
          </w:p>
        </w:tc>
        <w:tc>
          <w:tcPr>
            <w:tcW w:w="7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by contractual maturity are shown below. Actual maturities could differ from contractual maturities because issuers may have the right to call or prepay these securities.</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One year or less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384" w:type="dxa"/>
            <w:tcBorders/>
            <w:vAlign w:val="center"/>
          </w:tcPr>
          <w:p>
            <w:pPr>
              <w:pStyle w:val="TableContents"/>
              <w:bidi w:val="0"/>
              <w:spacing w:before="0" w:after="283"/>
              <w:jc w:val="right"/>
              <w:rPr/>
            </w:pPr>
            <w:r>
              <w:rPr/>
              <w:t>13,605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13,354</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77,699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72,443</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After five years through ten years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85,106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73,366</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42,382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34,038</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Mortgage / asset-backed securities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147,351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128,150</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4,747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3,817</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vAlign w:val="center"/>
          </w:tcPr>
          <w:p>
            <w:pPr>
              <w:pStyle w:val="TableContents"/>
              <w:bidi w:val="0"/>
              <w:spacing w:before="0" w:after="283"/>
              <w:jc w:val="left"/>
              <w:rPr/>
            </w:pPr>
            <w:r>
              <w:rPr/>
              <w:t>Total fixed income securities</w:t>
            </w:r>
          </w:p>
        </w:tc>
        <w:tc>
          <w:tcPr>
            <w:tcW w:w="60" w:type="dxa"/>
            <w:tcBorders/>
            <w:vAlign w:val="center"/>
          </w:tcPr>
          <w:p>
            <w:pPr>
              <w:pStyle w:val="TableContents"/>
              <w:bidi w:val="0"/>
              <w:spacing w:before="0" w:after="283"/>
              <w:jc w:val="left"/>
              <w:rPr/>
            </w:pPr>
            <w:r>
              <w:rPr/>
              <w:t> </w:t>
            </w:r>
          </w:p>
        </w:tc>
        <w:tc>
          <w:tcPr>
            <w:tcW w:w="240" w:type="dxa"/>
            <w:tcBorders>
              <w:bottom w:val="double" w:sz="6" w:space="0" w:color="000000"/>
            </w:tcBorders>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tcMar>
              <w:bottom w:w="28" w:type="dxa"/>
            </w:tcMar>
            <w:vAlign w:val="center"/>
          </w:tcPr>
          <w:p>
            <w:pPr>
              <w:pStyle w:val="TableContents"/>
              <w:bidi w:val="0"/>
              <w:spacing w:before="0" w:after="283"/>
              <w:jc w:val="right"/>
              <w:rPr/>
            </w:pPr>
            <w:r>
              <w:rPr/>
              <w:t>370,890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bottom w:val="double" w:sz="6" w:space="0" w:color="000000"/>
            </w:tcBorders>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tcMar>
              <w:bottom w:w="28" w:type="dxa"/>
            </w:tcMar>
            <w:vAlign w:val="center"/>
          </w:tcPr>
          <w:p>
            <w:pPr>
              <w:pStyle w:val="TableContents"/>
              <w:bidi w:val="0"/>
              <w:spacing w:before="0" w:after="283"/>
              <w:jc w:val="right"/>
              <w:rPr/>
            </w:pPr>
            <w:r>
              <w:rPr/>
              <w:t>325,168</w:t>
            </w:r>
          </w:p>
        </w:tc>
        <w:tc>
          <w:tcPr>
            <w:tcW w:w="8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One year or less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384" w:type="dxa"/>
            <w:tcBorders/>
            <w:vAlign w:val="center"/>
          </w:tcPr>
          <w:p>
            <w:pPr>
              <w:pStyle w:val="TableContents"/>
              <w:bidi w:val="0"/>
              <w:spacing w:before="0" w:after="283"/>
              <w:jc w:val="right"/>
              <w:rPr/>
            </w:pPr>
            <w:r>
              <w:rPr/>
              <w:t>10,130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9,971</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81,879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77,031</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After five years through ten years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76,648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65,966</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39,696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32,284</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Mortgage / asset-backed securities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129,877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114,353</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4,747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3,719</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vAlign w:val="center"/>
          </w:tcPr>
          <w:p>
            <w:pPr>
              <w:pStyle w:val="TableContents"/>
              <w:bidi w:val="0"/>
              <w:spacing w:before="0" w:after="283"/>
              <w:jc w:val="left"/>
              <w:rPr/>
            </w:pPr>
            <w:r>
              <w:rPr/>
              <w:t>Total fixed income securities</w:t>
            </w:r>
          </w:p>
        </w:tc>
        <w:tc>
          <w:tcPr>
            <w:tcW w:w="60" w:type="dxa"/>
            <w:tcBorders/>
            <w:vAlign w:val="center"/>
          </w:tcPr>
          <w:p>
            <w:pPr>
              <w:pStyle w:val="TableContents"/>
              <w:bidi w:val="0"/>
              <w:spacing w:before="0" w:after="283"/>
              <w:jc w:val="left"/>
              <w:rPr/>
            </w:pPr>
            <w:r>
              <w:rPr/>
              <w:t> </w:t>
            </w:r>
          </w:p>
        </w:tc>
        <w:tc>
          <w:tcPr>
            <w:tcW w:w="240" w:type="dxa"/>
            <w:tcBorders>
              <w:bottom w:val="double" w:sz="6" w:space="0" w:color="000000"/>
            </w:tcBorders>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tcMar>
              <w:bottom w:w="28" w:type="dxa"/>
            </w:tcMar>
            <w:vAlign w:val="center"/>
          </w:tcPr>
          <w:p>
            <w:pPr>
              <w:pStyle w:val="TableContents"/>
              <w:bidi w:val="0"/>
              <w:spacing w:before="0" w:after="283"/>
              <w:jc w:val="right"/>
              <w:rPr/>
            </w:pPr>
            <w:r>
              <w:rPr/>
              <w:t>342,977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bottom w:val="double" w:sz="6" w:space="0" w:color="000000"/>
            </w:tcBorders>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tcMar>
              <w:bottom w:w="28" w:type="dxa"/>
            </w:tcMar>
            <w:vAlign w:val="center"/>
          </w:tcPr>
          <w:p>
            <w:pPr>
              <w:pStyle w:val="TableContents"/>
              <w:bidi w:val="0"/>
              <w:spacing w:before="0" w:after="283"/>
              <w:jc w:val="right"/>
              <w:rPr/>
            </w:pPr>
            <w:r>
              <w:rPr/>
              <w:t>303,324</w:t>
            </w:r>
          </w:p>
        </w:tc>
        <w:tc>
          <w:tcPr>
            <w:tcW w:w="8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income securities with a fair value of $5,734 at September 30, 2023, and $6,613 at December 31, 2022, were deposited with various state regulatory agencies as required by law. The Company has not pledged any assets to secure any obligations.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tbl>
      <w:tblPr>
        <w:tblW w:w="10205" w:type="dxa"/>
        <w:jc w:val="left"/>
        <w:tblInd w:w="0" w:type="dxa"/>
        <w:tblLayout w:type="fixed"/>
        <w:tblCellMar>
          <w:top w:w="0" w:type="dxa"/>
          <w:left w:w="0" w:type="dxa"/>
          <w:bottom w:w="0" w:type="dxa"/>
          <w:right w:w="0" w:type="dxa"/>
        </w:tblCellMar>
      </w:tblPr>
      <w:tblGrid>
        <w:gridCol w:w="3028"/>
        <w:gridCol w:w="60"/>
        <w:gridCol w:w="156"/>
        <w:gridCol w:w="762"/>
        <w:gridCol w:w="66"/>
        <w:gridCol w:w="66"/>
        <w:gridCol w:w="204"/>
        <w:gridCol w:w="926"/>
        <w:gridCol w:w="95"/>
        <w:gridCol w:w="60"/>
        <w:gridCol w:w="157"/>
        <w:gridCol w:w="900"/>
        <w:gridCol w:w="67"/>
        <w:gridCol w:w="67"/>
        <w:gridCol w:w="176"/>
        <w:gridCol w:w="954"/>
        <w:gridCol w:w="95"/>
        <w:gridCol w:w="60"/>
        <w:gridCol w:w="140"/>
        <w:gridCol w:w="800"/>
        <w:gridCol w:w="60"/>
        <w:gridCol w:w="60"/>
        <w:gridCol w:w="176"/>
        <w:gridCol w:w="954"/>
        <w:gridCol w:w="116"/>
      </w:tblGrid>
      <w:tr>
        <w:trPr/>
        <w:tc>
          <w:tcPr>
            <w:tcW w:w="3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116" w:type="dxa"/>
            <w:tcBorders/>
            <w:vAlign w:val="center"/>
          </w:tcPr>
          <w:p>
            <w:pPr>
              <w:pStyle w:val="TableContents"/>
              <w:bidi w:val="0"/>
              <w:spacing w:before="0" w:after="283"/>
              <w:jc w:val="left"/>
              <w:rPr/>
            </w:pPr>
            <w:r>
              <w:rPr/>
              <w:t> </w:t>
            </w:r>
          </w:p>
        </w:tc>
      </w:tr>
      <w:tr>
        <w:trPr/>
        <w:tc>
          <w:tcPr>
            <w:tcW w:w="3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3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16" w:type="dxa"/>
            <w:tcBorders/>
            <w:vAlign w:val="center"/>
          </w:tcPr>
          <w:p>
            <w:pPr>
              <w:pStyle w:val="TableContents"/>
              <w:bidi w:val="0"/>
              <w:spacing w:before="0" w:after="283"/>
              <w:jc w:val="left"/>
              <w:rPr/>
            </w:pPr>
            <w:r>
              <w:rPr/>
              <w:t> </w:t>
            </w:r>
          </w:p>
        </w:tc>
      </w:tr>
      <w:tr>
        <w:trPr/>
        <w:tc>
          <w:tcPr>
            <w:tcW w:w="3028"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028" w:type="dxa"/>
            <w:tcBorders/>
            <w:vAlign w:val="center"/>
          </w:tcPr>
          <w:p>
            <w:pPr>
              <w:pStyle w:val="TableContents"/>
              <w:bidi w:val="0"/>
              <w:spacing w:before="0" w:after="283"/>
              <w:jc w:val="left"/>
              <w:rPr/>
            </w:pPr>
            <w:r>
              <w:rPr/>
              <w:t>U.S. Government and agencies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before="0" w:after="0"/>
              <w:jc w:val="right"/>
              <w:rPr/>
            </w:pPr>
            <w:r>
              <w:rPr/>
              <w: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8,922</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(1,019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(1,019</w:t>
            </w:r>
          </w:p>
        </w:tc>
        <w:tc>
          <w:tcPr>
            <w:tcW w:w="116" w:type="dxa"/>
            <w:tcBorders/>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8,706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39,242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(6,577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(7,534</w:t>
            </w:r>
          </w:p>
        </w:tc>
        <w:tc>
          <w:tcPr>
            <w:tcW w:w="116" w:type="dxa"/>
            <w:tcBorders/>
            <w:shd w:fill="CCEEFF" w:val="clear"/>
            <w:vAlign w:val="center"/>
          </w:tcPr>
          <w:p>
            <w:pPr>
              <w:pStyle w:val="TableContents"/>
              <w:bidi w:val="0"/>
              <w:spacing w:before="0" w:after="283"/>
              <w:jc w:val="left"/>
              <w:rPr/>
            </w:pPr>
            <w:r>
              <w:rPr/>
              <w:t>)</w:t>
            </w:r>
          </w:p>
        </w:tc>
      </w:tr>
      <w:tr>
        <w:trPr/>
        <w:tc>
          <w:tcPr>
            <w:tcW w:w="3028" w:type="dxa"/>
            <w:tcBorders/>
            <w:vAlign w:val="center"/>
          </w:tcPr>
          <w:p>
            <w:pPr>
              <w:pStyle w:val="TableContents"/>
              <w:bidi w:val="0"/>
              <w:spacing w:before="0" w:after="283"/>
              <w:jc w:val="left"/>
              <w:rPr/>
            </w:pPr>
            <w:r>
              <w:rPr/>
              <w:t>Corporate securities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23,227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(1,294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108,062</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(15,805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131,289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(17,099</w:t>
            </w:r>
          </w:p>
        </w:tc>
        <w:tc>
          <w:tcPr>
            <w:tcW w:w="116" w:type="dxa"/>
            <w:tcBorders/>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24,639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31,500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(7,484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(8,628</w:t>
            </w:r>
          </w:p>
        </w:tc>
        <w:tc>
          <w:tcPr>
            <w:tcW w:w="116" w:type="dxa"/>
            <w:tcBorders/>
            <w:shd w:fill="CCEEFF" w:val="clear"/>
            <w:vAlign w:val="center"/>
          </w:tcPr>
          <w:p>
            <w:pPr>
              <w:pStyle w:val="TableContents"/>
              <w:bidi w:val="0"/>
              <w:spacing w:before="0" w:after="283"/>
              <w:jc w:val="left"/>
              <w:rPr/>
            </w:pPr>
            <w:r>
              <w:rPr/>
              <w:t>)</w:t>
            </w:r>
          </w:p>
        </w:tc>
      </w:tr>
      <w:tr>
        <w:trPr/>
        <w:tc>
          <w:tcPr>
            <w:tcW w:w="3028" w:type="dxa"/>
            <w:tcBorders/>
            <w:vAlign w:val="center"/>
          </w:tcPr>
          <w:p>
            <w:pPr>
              <w:pStyle w:val="TableContents"/>
              <w:bidi w:val="0"/>
              <w:spacing w:before="0" w:after="283"/>
              <w:jc w:val="left"/>
              <w:rPr/>
            </w:pPr>
            <w:r>
              <w:rPr/>
              <w:t>Commercial mortgage-backed securities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1,908</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22,949</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(5,365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24,857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(5,432</w:t>
            </w:r>
          </w:p>
        </w:tc>
        <w:tc>
          <w:tcPr>
            <w:tcW w:w="116" w:type="dxa"/>
            <w:tcBorders/>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10,817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33,134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(5,159</w:t>
            </w:r>
          </w:p>
        </w:tc>
        <w:tc>
          <w:tcPr>
            <w:tcW w:w="116" w:type="dxa"/>
            <w:tcBorders/>
            <w:shd w:fill="CCEEFF" w:val="clear"/>
            <w:vAlign w:val="center"/>
          </w:tcPr>
          <w:p>
            <w:pPr>
              <w:pStyle w:val="TableContents"/>
              <w:bidi w:val="0"/>
              <w:spacing w:before="0" w:after="283"/>
              <w:jc w:val="left"/>
              <w:rPr/>
            </w:pPr>
            <w:r>
              <w:rPr/>
              <w:t>)</w:t>
            </w:r>
          </w:p>
        </w:tc>
      </w:tr>
      <w:tr>
        <w:trPr/>
        <w:tc>
          <w:tcPr>
            <w:tcW w:w="3028" w:type="dxa"/>
            <w:tcBorders/>
            <w:vAlign w:val="center"/>
          </w:tcPr>
          <w:p>
            <w:pPr>
              <w:pStyle w:val="TableContents"/>
              <w:bidi w:val="0"/>
              <w:spacing w:before="0" w:after="283"/>
              <w:jc w:val="left"/>
              <w:rPr/>
            </w:pPr>
            <w:r>
              <w:rPr/>
              <w:t>Redeemable preferred stocks</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tcMar>
              <w:bottom w:w="28" w:type="dxa"/>
            </w:tcMar>
            <w:vAlign w:val="center"/>
          </w:tcPr>
          <w:p>
            <w:pPr>
              <w:pStyle w:val="TableContents"/>
              <w:bidi w:val="0"/>
              <w:spacing w:before="0" w:after="0"/>
              <w:jc w:val="right"/>
              <w:rPr/>
            </w:pPr>
            <w:r>
              <w:rPr/>
              <w: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tcMar>
              <w:bottom w:w="28" w:type="dxa"/>
            </w:tcMar>
            <w:vAlign w:val="center"/>
          </w:tcPr>
          <w:p>
            <w:pPr>
              <w:pStyle w:val="TableContents"/>
              <w:bidi w:val="0"/>
              <w:spacing w:before="0" w:after="283"/>
              <w:jc w:val="right"/>
              <w:rPr/>
            </w:pPr>
            <w:r>
              <w:rPr/>
              <w:t>3,817</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(930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(930</w:t>
            </w:r>
          </w:p>
        </w:tc>
        <w:tc>
          <w:tcPr>
            <w:tcW w:w="116" w:type="dxa"/>
            <w:tcBorders/>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69,297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single" w:sz="8" w:space="0" w:color="000000"/>
            </w:tcBorders>
            <w:shd w:fill="CCEEFF" w:val="clear"/>
            <w:tcMar>
              <w:bottom w:w="28" w:type="dxa"/>
            </w:tcMar>
            <w:vAlign w:val="center"/>
          </w:tcPr>
          <w:p>
            <w:pPr>
              <w:pStyle w:val="TableContents"/>
              <w:bidi w:val="0"/>
              <w:spacing w:before="0" w:after="283"/>
              <w:jc w:val="right"/>
              <w:rPr/>
            </w:pPr>
            <w:r>
              <w:rPr/>
              <w:t>(3,678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247,626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(42,123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316,923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(45,801</w:t>
            </w:r>
          </w:p>
        </w:tc>
        <w:tc>
          <w:tcPr>
            <w:tcW w:w="116"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8"/>
        <w:gridCol w:w="60"/>
        <w:gridCol w:w="146"/>
        <w:gridCol w:w="836"/>
        <w:gridCol w:w="62"/>
        <w:gridCol w:w="62"/>
        <w:gridCol w:w="176"/>
        <w:gridCol w:w="954"/>
        <w:gridCol w:w="95"/>
        <w:gridCol w:w="60"/>
        <w:gridCol w:w="163"/>
        <w:gridCol w:w="793"/>
        <w:gridCol w:w="70"/>
        <w:gridCol w:w="70"/>
        <w:gridCol w:w="186"/>
        <w:gridCol w:w="976"/>
        <w:gridCol w:w="95"/>
        <w:gridCol w:w="60"/>
        <w:gridCol w:w="140"/>
        <w:gridCol w:w="800"/>
        <w:gridCol w:w="60"/>
        <w:gridCol w:w="60"/>
        <w:gridCol w:w="176"/>
        <w:gridCol w:w="954"/>
        <w:gridCol w:w="113"/>
      </w:tblGrid>
      <w:tr>
        <w:trPr/>
        <w:tc>
          <w:tcPr>
            <w:tcW w:w="3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4"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113" w:type="dxa"/>
            <w:tcBorders/>
            <w:vAlign w:val="center"/>
          </w:tcPr>
          <w:p>
            <w:pPr>
              <w:pStyle w:val="TableContents"/>
              <w:bidi w:val="0"/>
              <w:spacing w:before="0" w:after="283"/>
              <w:jc w:val="left"/>
              <w:rPr/>
            </w:pPr>
            <w:r>
              <w:rPr/>
              <w:t> </w:t>
            </w:r>
          </w:p>
        </w:tc>
      </w:tr>
      <w:tr>
        <w:trPr/>
        <w:tc>
          <w:tcPr>
            <w:tcW w:w="3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3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13" w:type="dxa"/>
            <w:tcBorders/>
            <w:vAlign w:val="center"/>
          </w:tcPr>
          <w:p>
            <w:pPr>
              <w:pStyle w:val="TableContents"/>
              <w:bidi w:val="0"/>
              <w:spacing w:before="0" w:after="283"/>
              <w:jc w:val="left"/>
              <w:rPr/>
            </w:pPr>
            <w:r>
              <w:rPr/>
              <w:t> </w:t>
            </w:r>
          </w:p>
        </w:tc>
      </w:tr>
      <w:tr>
        <w:trPr/>
        <w:tc>
          <w:tcPr>
            <w:tcW w:w="3038"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038" w:type="dxa"/>
            <w:tcBorders/>
            <w:vAlign w:val="center"/>
          </w:tcPr>
          <w:p>
            <w:pPr>
              <w:pStyle w:val="TableContents"/>
              <w:bidi w:val="0"/>
              <w:spacing w:before="0" w:after="283"/>
              <w:jc w:val="left"/>
              <w:rPr/>
            </w:pPr>
            <w:r>
              <w:rPr/>
              <w:t>U.S. Government and agencies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7,078</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(537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2,587</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(471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9,665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(1,008</w:t>
            </w:r>
          </w:p>
        </w:tc>
        <w:tc>
          <w:tcPr>
            <w:tcW w:w="113" w:type="dxa"/>
            <w:tcBorders/>
            <w:vAlign w:val="center"/>
          </w:tcPr>
          <w:p>
            <w:pPr>
              <w:pStyle w:val="TableContents"/>
              <w:bidi w:val="0"/>
              <w:spacing w:before="0" w:after="283"/>
              <w:jc w:val="left"/>
              <w:rPr/>
            </w:pPr>
            <w:r>
              <w:rPr/>
              <w:t>)</w:t>
            </w:r>
          </w:p>
        </w:tc>
      </w:tr>
      <w:tr>
        <w:trPr/>
        <w:tc>
          <w:tcPr>
            <w:tcW w:w="3038"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40,213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9,045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(2,900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(6,454</w:t>
            </w:r>
          </w:p>
        </w:tc>
        <w:tc>
          <w:tcPr>
            <w:tcW w:w="113" w:type="dxa"/>
            <w:tcBorders/>
            <w:shd w:fill="CCEEFF" w:val="clear"/>
            <w:vAlign w:val="center"/>
          </w:tcPr>
          <w:p>
            <w:pPr>
              <w:pStyle w:val="TableContents"/>
              <w:bidi w:val="0"/>
              <w:spacing w:before="0" w:after="283"/>
              <w:jc w:val="left"/>
              <w:rPr/>
            </w:pPr>
            <w:r>
              <w:rPr/>
              <w:t>)</w:t>
            </w:r>
          </w:p>
        </w:tc>
      </w:tr>
      <w:tr>
        <w:trPr/>
        <w:tc>
          <w:tcPr>
            <w:tcW w:w="3038" w:type="dxa"/>
            <w:tcBorders/>
            <w:vAlign w:val="center"/>
          </w:tcPr>
          <w:p>
            <w:pPr>
              <w:pStyle w:val="TableContents"/>
              <w:bidi w:val="0"/>
              <w:spacing w:before="0" w:after="283"/>
              <w:jc w:val="left"/>
              <w:rPr/>
            </w:pPr>
            <w:r>
              <w:rPr/>
              <w:t>Corporate securities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76,645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(7,944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pPr>
            <w:r>
              <w:rPr/>
              <w:t>39,683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(7,843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116,328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(15,787</w:t>
            </w:r>
          </w:p>
        </w:tc>
        <w:tc>
          <w:tcPr>
            <w:tcW w:w="113" w:type="dxa"/>
            <w:tcBorders/>
            <w:vAlign w:val="center"/>
          </w:tcPr>
          <w:p>
            <w:pPr>
              <w:pStyle w:val="TableContents"/>
              <w:bidi w:val="0"/>
              <w:spacing w:before="0" w:after="283"/>
              <w:jc w:val="left"/>
              <w:rPr/>
            </w:pPr>
            <w:r>
              <w:rPr/>
              <w:t>)</w:t>
            </w:r>
          </w:p>
        </w:tc>
      </w:tr>
      <w:tr>
        <w:trPr/>
        <w:tc>
          <w:tcPr>
            <w:tcW w:w="3038"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21,017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18,519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(4,041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(5,846</w:t>
            </w:r>
          </w:p>
        </w:tc>
        <w:tc>
          <w:tcPr>
            <w:tcW w:w="113" w:type="dxa"/>
            <w:tcBorders/>
            <w:shd w:fill="CCEEFF" w:val="clear"/>
            <w:vAlign w:val="center"/>
          </w:tcPr>
          <w:p>
            <w:pPr>
              <w:pStyle w:val="TableContents"/>
              <w:bidi w:val="0"/>
              <w:spacing w:before="0" w:after="283"/>
              <w:jc w:val="left"/>
              <w:rPr/>
            </w:pPr>
            <w:r>
              <w:rPr/>
              <w:t>)</w:t>
            </w:r>
          </w:p>
        </w:tc>
      </w:tr>
      <w:tr>
        <w:trPr/>
        <w:tc>
          <w:tcPr>
            <w:tcW w:w="3038" w:type="dxa"/>
            <w:tcBorders/>
            <w:vAlign w:val="center"/>
          </w:tcPr>
          <w:p>
            <w:pPr>
              <w:pStyle w:val="TableContents"/>
              <w:bidi w:val="0"/>
              <w:spacing w:before="0" w:after="283"/>
              <w:jc w:val="left"/>
              <w:rPr/>
            </w:pPr>
            <w:r>
              <w:rPr/>
              <w:t>Commercial mortgage-backed securities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18,932</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(2,674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right"/>
              <w:rPr/>
            </w:pPr>
            <w:r>
              <w:rPr/>
              <w:t>7,204</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(2,028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(4,702</w:t>
            </w:r>
          </w:p>
        </w:tc>
        <w:tc>
          <w:tcPr>
            <w:tcW w:w="113" w:type="dxa"/>
            <w:tcBorders/>
            <w:vAlign w:val="center"/>
          </w:tcPr>
          <w:p>
            <w:pPr>
              <w:pStyle w:val="TableContents"/>
              <w:bidi w:val="0"/>
              <w:spacing w:before="0" w:after="283"/>
              <w:jc w:val="left"/>
              <w:rPr/>
            </w:pPr>
            <w:r>
              <w:rPr/>
              <w:t>)</w:t>
            </w:r>
          </w:p>
        </w:tc>
      </w:tr>
      <w:tr>
        <w:trPr/>
        <w:tc>
          <w:tcPr>
            <w:tcW w:w="3038"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18,904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21,809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(5,061</w:t>
            </w:r>
          </w:p>
        </w:tc>
        <w:tc>
          <w:tcPr>
            <w:tcW w:w="113" w:type="dxa"/>
            <w:tcBorders/>
            <w:shd w:fill="CCEEFF" w:val="clear"/>
            <w:vAlign w:val="center"/>
          </w:tcPr>
          <w:p>
            <w:pPr>
              <w:pStyle w:val="TableContents"/>
              <w:bidi w:val="0"/>
              <w:spacing w:before="0" w:after="283"/>
              <w:jc w:val="left"/>
              <w:rPr/>
            </w:pPr>
            <w:r>
              <w:rPr/>
              <w:t>)</w:t>
            </w:r>
          </w:p>
        </w:tc>
      </w:tr>
      <w:tr>
        <w:trPr/>
        <w:tc>
          <w:tcPr>
            <w:tcW w:w="3038" w:type="dxa"/>
            <w:tcBorders/>
            <w:vAlign w:val="center"/>
          </w:tcPr>
          <w:p>
            <w:pPr>
              <w:pStyle w:val="TableContents"/>
              <w:bidi w:val="0"/>
              <w:spacing w:before="0" w:after="283"/>
              <w:jc w:val="left"/>
              <w:rPr/>
            </w:pPr>
            <w:r>
              <w:rPr/>
              <w:t>Redeemable preferred stocks</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tcMar>
              <w:bottom w:w="28" w:type="dxa"/>
            </w:tcMar>
            <w:vAlign w:val="center"/>
          </w:tcPr>
          <w:p>
            <w:pPr>
              <w:pStyle w:val="TableContents"/>
              <w:bidi w:val="0"/>
              <w:spacing w:before="0" w:after="283"/>
              <w:jc w:val="right"/>
              <w:rPr/>
            </w:pPr>
            <w:r>
              <w:rPr/>
              <w:t>3,015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(732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793" w:type="dxa"/>
            <w:tcBorders>
              <w:bottom w:val="single" w:sz="8" w:space="0" w:color="000000"/>
            </w:tcBorders>
            <w:tcMar>
              <w:bottom w:w="28" w:type="dxa"/>
            </w:tcMar>
            <w:vAlign w:val="center"/>
          </w:tcPr>
          <w:p>
            <w:pPr>
              <w:pStyle w:val="TableContents"/>
              <w:bidi w:val="0"/>
              <w:spacing w:before="0" w:after="283"/>
              <w:jc w:val="right"/>
              <w:rPr/>
            </w:pPr>
            <w:r>
              <w:rPr/>
              <w:t>705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tcMar>
              <w:bottom w:w="28" w:type="dxa"/>
            </w:tcMar>
            <w:vAlign w:val="center"/>
          </w:tcPr>
          <w:p>
            <w:pPr>
              <w:pStyle w:val="TableContents"/>
              <w:bidi w:val="0"/>
              <w:spacing w:before="0" w:after="283"/>
              <w:jc w:val="right"/>
              <w:rPr/>
            </w:pPr>
            <w:r>
              <w:rPr/>
              <w:t>(296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(1,028</w:t>
            </w:r>
          </w:p>
        </w:tc>
        <w:tc>
          <w:tcPr>
            <w:tcW w:w="113" w:type="dxa"/>
            <w:tcBorders/>
            <w:vAlign w:val="center"/>
          </w:tcPr>
          <w:p>
            <w:pPr>
              <w:pStyle w:val="TableContents"/>
              <w:bidi w:val="0"/>
              <w:spacing w:before="0" w:after="283"/>
              <w:jc w:val="left"/>
              <w:rPr/>
            </w:pPr>
            <w:r>
              <w:rPr/>
              <w:t>)</w:t>
            </w:r>
          </w:p>
        </w:tc>
      </w:tr>
      <w:tr>
        <w:trPr/>
        <w:tc>
          <w:tcPr>
            <w:tcW w:w="3038"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185,804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(18,768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single" w:sz="8" w:space="0" w:color="000000"/>
            </w:tcBorders>
            <w:shd w:fill="CCEEFF" w:val="clear"/>
            <w:tcMar>
              <w:bottom w:w="28" w:type="dxa"/>
            </w:tcMar>
            <w:vAlign w:val="center"/>
          </w:tcPr>
          <w:p>
            <w:pPr>
              <w:pStyle w:val="TableContents"/>
              <w:bidi w:val="0"/>
              <w:spacing w:before="0" w:after="283"/>
              <w:jc w:val="right"/>
              <w:rPr/>
            </w:pPr>
            <w:r>
              <w:rPr/>
              <w:t>99,552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pPr>
            <w:r>
              <w:rPr/>
              <w:t>(21,118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285,356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(39,886</w:t>
            </w:r>
          </w:p>
        </w:tc>
        <w:tc>
          <w:tcPr>
            <w:tcW w:w="113"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along with our investment advisors,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maturity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or during the three or nine months ended September 30, 2023. Therefore, there was no beginning or ending balance of credit losses for the three or nine months ended September 30, 2023, or the year ended December 31, 2022. See Item II, Part 8, Note 3 “Summary of Significant Accounting Policies” section of the 2022 Annual Report for additional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consisted of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1"/>
        <w:gridCol w:w="60"/>
        <w:gridCol w:w="333"/>
        <w:gridCol w:w="1334"/>
        <w:gridCol w:w="142"/>
        <w:gridCol w:w="142"/>
        <w:gridCol w:w="333"/>
        <w:gridCol w:w="1334"/>
        <w:gridCol w:w="60"/>
        <w:gridCol w:w="60"/>
        <w:gridCol w:w="298"/>
        <w:gridCol w:w="1450"/>
        <w:gridCol w:w="127"/>
        <w:gridCol w:w="127"/>
        <w:gridCol w:w="298"/>
        <w:gridCol w:w="1194"/>
        <w:gridCol w:w="82"/>
      </w:tblGrid>
      <w:tr>
        <w:trPr/>
        <w:tc>
          <w:tcPr>
            <w:tcW w:w="28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82" w:type="dxa"/>
            <w:tcBorders/>
            <w:vAlign w:val="center"/>
          </w:tcPr>
          <w:p>
            <w:pPr>
              <w:pStyle w:val="TableContents"/>
              <w:bidi w:val="0"/>
              <w:spacing w:before="0" w:after="283"/>
              <w:jc w:val="left"/>
              <w:rPr/>
            </w:pPr>
            <w:r>
              <w:rPr/>
              <w:t> </w:t>
            </w:r>
          </w:p>
        </w:tc>
      </w:tr>
      <w:tr>
        <w:trPr/>
        <w:tc>
          <w:tcPr>
            <w:tcW w:w="28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2" w:type="dxa"/>
            <w:tcBorders/>
            <w:vAlign w:val="center"/>
          </w:tcPr>
          <w:p>
            <w:pPr>
              <w:pStyle w:val="TableContents"/>
              <w:bidi w:val="0"/>
              <w:spacing w:before="0" w:after="283"/>
              <w:jc w:val="left"/>
              <w:rPr/>
            </w:pPr>
            <w:r>
              <w:rPr/>
              <w:t> </w:t>
            </w:r>
          </w:p>
        </w:tc>
      </w:tr>
      <w:tr>
        <w:trPr/>
        <w:tc>
          <w:tcPr>
            <w:tcW w:w="2831"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2,906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2,303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450" w:type="dxa"/>
            <w:tcBorders/>
            <w:shd w:fill="CCEEFF" w:val="clear"/>
            <w:vAlign w:val="center"/>
          </w:tcPr>
          <w:p>
            <w:pPr>
              <w:pStyle w:val="TableContents"/>
              <w:bidi w:val="0"/>
              <w:spacing w:before="0" w:after="283"/>
              <w:jc w:val="right"/>
              <w:rPr/>
            </w:pPr>
            <w:r>
              <w:rPr/>
              <w:t>8,317</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6,870</w:t>
            </w:r>
          </w:p>
        </w:tc>
        <w:tc>
          <w:tcPr>
            <w:tcW w:w="82" w:type="dxa"/>
            <w:tcBorders/>
            <w:shd w:fill="CCEEFF" w:val="clear"/>
            <w:vAlign w:val="center"/>
          </w:tcPr>
          <w:p>
            <w:pPr>
              <w:pStyle w:val="TableContents"/>
              <w:bidi w:val="0"/>
              <w:spacing w:before="0" w:after="283"/>
              <w:jc w:val="left"/>
              <w:rPr/>
            </w:pPr>
            <w:r>
              <w:rPr/>
              <w:t> </w:t>
            </w:r>
          </w:p>
        </w:tc>
      </w:tr>
      <w:tr>
        <w:trPr/>
        <w:tc>
          <w:tcPr>
            <w:tcW w:w="2831" w:type="dxa"/>
            <w:tcBorders/>
            <w:vAlign w:val="center"/>
          </w:tcPr>
          <w:p>
            <w:pPr>
              <w:pStyle w:val="TableContents"/>
              <w:bidi w:val="0"/>
              <w:spacing w:before="0" w:after="283"/>
              <w:jc w:val="left"/>
              <w:rPr/>
            </w:pPr>
            <w:r>
              <w:rPr/>
              <w:t>Equity securities</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355</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402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right"/>
              <w:rPr/>
            </w:pPr>
            <w:r>
              <w:rPr/>
              <w:t>958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1,126</w:t>
            </w:r>
          </w:p>
        </w:tc>
        <w:tc>
          <w:tcPr>
            <w:tcW w:w="82" w:type="dxa"/>
            <w:tcBorders/>
            <w:vAlign w:val="center"/>
          </w:tcPr>
          <w:p>
            <w:pPr>
              <w:pStyle w:val="TableContents"/>
              <w:bidi w:val="0"/>
              <w:spacing w:before="0" w:after="283"/>
              <w:jc w:val="left"/>
              <w:rPr/>
            </w:pPr>
            <w:r>
              <w:rPr/>
              <w:t> </w:t>
            </w:r>
          </w:p>
        </w:tc>
      </w:tr>
      <w:tr>
        <w:trPr/>
        <w:tc>
          <w:tcPr>
            <w:tcW w:w="2831"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158</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464</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390</w:t>
            </w:r>
          </w:p>
        </w:tc>
        <w:tc>
          <w:tcPr>
            <w:tcW w:w="82" w:type="dxa"/>
            <w:tcBorders/>
            <w:shd w:fill="CCEEFF" w:val="clear"/>
            <w:vAlign w:val="center"/>
          </w:tcPr>
          <w:p>
            <w:pPr>
              <w:pStyle w:val="TableContents"/>
              <w:bidi w:val="0"/>
              <w:spacing w:before="0" w:after="283"/>
              <w:jc w:val="left"/>
              <w:rPr/>
            </w:pPr>
            <w:r>
              <w:rPr/>
              <w:t> </w:t>
            </w:r>
          </w:p>
        </w:tc>
      </w:tr>
      <w:tr>
        <w:trPr/>
        <w:tc>
          <w:tcPr>
            <w:tcW w:w="2831" w:type="dxa"/>
            <w:tcBorders/>
            <w:vAlign w:val="center"/>
          </w:tcPr>
          <w:p>
            <w:pPr>
              <w:pStyle w:val="TableContents"/>
              <w:bidi w:val="0"/>
              <w:spacing w:before="0" w:after="283"/>
              <w:jc w:val="left"/>
              <w:rPr/>
            </w:pPr>
            <w:r>
              <w:rPr/>
              <w:t>Cash and cash equivalents</w:t>
            </w:r>
          </w:p>
        </w:tc>
        <w:tc>
          <w:tcPr>
            <w:tcW w:w="6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tcMar>
              <w:bottom w:w="28" w:type="dxa"/>
            </w:tcMar>
            <w:vAlign w:val="center"/>
          </w:tcPr>
          <w:p>
            <w:pPr>
              <w:pStyle w:val="TableContents"/>
              <w:bidi w:val="0"/>
              <w:spacing w:before="0" w:after="283"/>
              <w:jc w:val="right"/>
              <w:rPr/>
            </w:pPr>
            <w:r>
              <w:rPr/>
              <w:t>154</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tcMar>
              <w:bottom w:w="28" w:type="dxa"/>
            </w:tcMar>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bottom w:val="single" w:sz="8" w:space="0" w:color="000000"/>
            </w:tcBorders>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tcMar>
              <w:bottom w:w="28" w:type="dxa"/>
            </w:tcMar>
            <w:vAlign w:val="center"/>
          </w:tcPr>
          <w:p>
            <w:pPr>
              <w:pStyle w:val="TableContents"/>
              <w:bidi w:val="0"/>
              <w:spacing w:before="0" w:after="283"/>
              <w:jc w:val="right"/>
              <w:rPr/>
            </w:pPr>
            <w:r>
              <w:rPr/>
              <w:t>300</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tcMar>
              <w:bottom w:w="28" w:type="dxa"/>
            </w:tcMar>
            <w:vAlign w:val="center"/>
          </w:tcPr>
          <w:p>
            <w:pPr>
              <w:pStyle w:val="TableContents"/>
              <w:bidi w:val="0"/>
              <w:spacing w:before="0" w:after="283"/>
              <w:jc w:val="right"/>
              <w:rPr/>
            </w:pPr>
            <w:r>
              <w:rPr/>
              <w:t>30</w:t>
            </w:r>
          </w:p>
        </w:tc>
        <w:tc>
          <w:tcPr>
            <w:tcW w:w="82" w:type="dxa"/>
            <w:tcBorders/>
            <w:vAlign w:val="center"/>
          </w:tcPr>
          <w:p>
            <w:pPr>
              <w:pStyle w:val="TableContents"/>
              <w:bidi w:val="0"/>
              <w:spacing w:before="0" w:after="283"/>
              <w:jc w:val="left"/>
              <w:rPr/>
            </w:pPr>
            <w:r>
              <w:rPr/>
              <w:t> </w:t>
            </w:r>
          </w:p>
        </w:tc>
      </w:tr>
      <w:tr>
        <w:trPr/>
        <w:tc>
          <w:tcPr>
            <w:tcW w:w="2831" w:type="dxa"/>
            <w:tcBorders/>
            <w:shd w:fill="CCEEFF" w:val="clear"/>
            <w:vAlign w:val="center"/>
          </w:tcPr>
          <w:p>
            <w:pPr>
              <w:pStyle w:val="TableContents"/>
              <w:bidi w:val="0"/>
              <w:spacing w:before="0" w:after="283"/>
              <w:jc w:val="left"/>
              <w:rPr/>
            </w:pPr>
            <w:r>
              <w:rPr/>
              <w:t>Total gross investment income</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3,573</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10,039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8,416</w:t>
            </w:r>
          </w:p>
        </w:tc>
        <w:tc>
          <w:tcPr>
            <w:tcW w:w="82" w:type="dxa"/>
            <w:tcBorders/>
            <w:shd w:fill="CCEEFF" w:val="clear"/>
            <w:vAlign w:val="center"/>
          </w:tcPr>
          <w:p>
            <w:pPr>
              <w:pStyle w:val="TableContents"/>
              <w:bidi w:val="0"/>
              <w:spacing w:before="0" w:after="283"/>
              <w:jc w:val="left"/>
              <w:rPr/>
            </w:pPr>
            <w:r>
              <w:rPr/>
              <w:t> </w:t>
            </w:r>
          </w:p>
        </w:tc>
      </w:tr>
      <w:tr>
        <w:trPr/>
        <w:tc>
          <w:tcPr>
            <w:tcW w:w="2831" w:type="dxa"/>
            <w:tcBorders/>
            <w:vAlign w:val="center"/>
          </w:tcPr>
          <w:p>
            <w:pPr>
              <w:pStyle w:val="TableContents"/>
              <w:bidi w:val="0"/>
              <w:spacing w:before="0" w:after="283"/>
              <w:jc w:val="left"/>
              <w:rPr/>
            </w:pPr>
            <w:r>
              <w:rPr/>
              <w:t>Investment expenses</w:t>
            </w:r>
          </w:p>
        </w:tc>
        <w:tc>
          <w:tcPr>
            <w:tcW w:w="6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tcMar>
              <w:bottom w:w="28" w:type="dxa"/>
            </w:tcMar>
            <w:vAlign w:val="center"/>
          </w:tcPr>
          <w:p>
            <w:pPr>
              <w:pStyle w:val="TableContents"/>
              <w:bidi w:val="0"/>
              <w:spacing w:before="0" w:after="283"/>
              <w:jc w:val="right"/>
              <w:rPr/>
            </w:pPr>
            <w:r>
              <w:rPr/>
              <w:t>822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tcMar>
              <w:bottom w:w="28" w:type="dxa"/>
            </w:tcMar>
            <w:vAlign w:val="center"/>
          </w:tcPr>
          <w:p>
            <w:pPr>
              <w:pStyle w:val="TableContents"/>
              <w:bidi w:val="0"/>
              <w:spacing w:before="0" w:after="283"/>
              <w:jc w:val="right"/>
              <w:rPr/>
            </w:pPr>
            <w:r>
              <w:rPr/>
              <w:t>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bottom w:val="single" w:sz="8" w:space="0" w:color="000000"/>
            </w:tcBorders>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tcMar>
              <w:bottom w:w="28" w:type="dxa"/>
            </w:tcMar>
            <w:vAlign w:val="center"/>
          </w:tcPr>
          <w:p>
            <w:pPr>
              <w:pStyle w:val="TableContents"/>
              <w:bidi w:val="0"/>
              <w:spacing w:before="0" w:after="283"/>
              <w:jc w:val="right"/>
              <w:rPr/>
            </w:pPr>
            <w:r>
              <w:rPr/>
              <w:t>2,544</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tcMar>
              <w:bottom w:w="28" w:type="dxa"/>
            </w:tcMar>
            <w:vAlign w:val="center"/>
          </w:tcPr>
          <w:p>
            <w:pPr>
              <w:pStyle w:val="TableContents"/>
              <w:bidi w:val="0"/>
              <w:spacing w:before="0" w:after="283"/>
              <w:jc w:val="right"/>
              <w:rPr/>
            </w:pPr>
            <w:r>
              <w:rPr/>
              <w:t>2,713</w:t>
            </w:r>
          </w:p>
        </w:tc>
        <w:tc>
          <w:tcPr>
            <w:tcW w:w="82" w:type="dxa"/>
            <w:tcBorders/>
            <w:vAlign w:val="center"/>
          </w:tcPr>
          <w:p>
            <w:pPr>
              <w:pStyle w:val="TableContents"/>
              <w:bidi w:val="0"/>
              <w:spacing w:before="0" w:after="283"/>
              <w:jc w:val="left"/>
              <w:rPr/>
            </w:pPr>
            <w:r>
              <w:rPr/>
              <w:t> </w:t>
            </w:r>
          </w:p>
        </w:tc>
      </w:tr>
      <w:tr>
        <w:trPr/>
        <w:tc>
          <w:tcPr>
            <w:tcW w:w="2831"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pPr>
            <w:r>
              <w:rPr/>
              <w:t>2,751</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pPr>
            <w:r>
              <w:rPr/>
              <w:t>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0" w:type="dxa"/>
            <w:tcBorders>
              <w:bottom w:val="double" w:sz="6" w:space="0" w:color="000000"/>
            </w:tcBorders>
            <w:shd w:fill="CCEEFF" w:val="clear"/>
            <w:tcMar>
              <w:bottom w:w="28" w:type="dxa"/>
            </w:tcMar>
            <w:vAlign w:val="center"/>
          </w:tcPr>
          <w:p>
            <w:pPr>
              <w:pStyle w:val="TableContents"/>
              <w:bidi w:val="0"/>
              <w:spacing w:before="0" w:after="283"/>
              <w:jc w:val="right"/>
              <w:rPr/>
            </w:pPr>
            <w:r>
              <w:rPr/>
              <w:t>7,495</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CCEEFF" w:val="clear"/>
            <w:tcMar>
              <w:bottom w:w="28" w:type="dxa"/>
            </w:tcMar>
            <w:vAlign w:val="center"/>
          </w:tcPr>
          <w:p>
            <w:pPr>
              <w:pStyle w:val="TableContents"/>
              <w:bidi w:val="0"/>
              <w:spacing w:before="0" w:after="283"/>
              <w:jc w:val="right"/>
              <w:rPr/>
            </w:pPr>
            <w:r>
              <w:rPr/>
              <w:t>5,703</w:t>
            </w:r>
          </w:p>
        </w:tc>
        <w:tc>
          <w:tcPr>
            <w:tcW w:w="82" w:type="dxa"/>
            <w:tcBorders/>
            <w:shd w:fill="CCEEFF" w:val="clear"/>
            <w:vAlign w:val="center"/>
          </w:tcPr>
          <w:p>
            <w:pPr>
              <w:pStyle w:val="TableContents"/>
              <w:bidi w:val="0"/>
              <w:spacing w:before="0" w:after="283"/>
              <w:jc w:val="left"/>
              <w:rPr/>
            </w:pPr>
            <w:r>
              <w:rPr/>
              <w:t> </w:t>
            </w:r>
          </w:p>
        </w:tc>
      </w:tr>
    </w:tbl>
    <w:p>
      <w:pPr>
        <w:pStyle w:val="TextBody"/>
        <w:bidi w:val="0"/>
        <w:ind w:left="15" w:right="15"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tbl>
      <w:tblPr>
        <w:tblW w:w="10205" w:type="dxa"/>
        <w:jc w:val="left"/>
        <w:tblInd w:w="0" w:type="dxa"/>
        <w:tblLayout w:type="fixed"/>
        <w:tblCellMar>
          <w:top w:w="0" w:type="dxa"/>
          <w:left w:w="0" w:type="dxa"/>
          <w:bottom w:w="0" w:type="dxa"/>
          <w:right w:w="0" w:type="dxa"/>
        </w:tblCellMar>
      </w:tblPr>
      <w:tblGrid>
        <w:gridCol w:w="4003"/>
        <w:gridCol w:w="60"/>
        <w:gridCol w:w="240"/>
        <w:gridCol w:w="1092"/>
        <w:gridCol w:w="163"/>
        <w:gridCol w:w="103"/>
        <w:gridCol w:w="240"/>
        <w:gridCol w:w="1092"/>
        <w:gridCol w:w="95"/>
        <w:gridCol w:w="60"/>
        <w:gridCol w:w="211"/>
        <w:gridCol w:w="1143"/>
        <w:gridCol w:w="143"/>
        <w:gridCol w:w="90"/>
        <w:gridCol w:w="211"/>
        <w:gridCol w:w="1143"/>
        <w:gridCol w:w="116"/>
      </w:tblGrid>
      <w:tr>
        <w:trPr/>
        <w:tc>
          <w:tcPr>
            <w:tcW w:w="40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6" w:type="dxa"/>
            <w:tcBorders/>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Fixed income securities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092" w:type="dxa"/>
            <w:tcBorders/>
            <w:vAlign w:val="center"/>
          </w:tcPr>
          <w:p>
            <w:pPr>
              <w:pStyle w:val="TableContents"/>
              <w:bidi w:val="0"/>
              <w:spacing w:before="0" w:after="0"/>
              <w:jc w:val="right"/>
              <w:rPr/>
            </w:pPr>
            <w:r>
              <w:rPr/>
              <w:t>—</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092" w:type="dxa"/>
            <w:tcBorders/>
            <w:vAlign w:val="center"/>
          </w:tcPr>
          <w:p>
            <w:pPr>
              <w:pStyle w:val="TableContents"/>
              <w:bidi w:val="0"/>
              <w:spacing w:before="0" w:after="283"/>
              <w:jc w:val="right"/>
              <w:rPr/>
            </w:pPr>
            <w:r>
              <w:rPr/>
              <w:t>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118</w:t>
            </w:r>
          </w:p>
        </w:tc>
        <w:tc>
          <w:tcPr>
            <w:tcW w:w="116"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722</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1,219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13,810</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3,488</w:t>
            </w:r>
          </w:p>
        </w:tc>
        <w:tc>
          <w:tcPr>
            <w:tcW w:w="116"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Total gross realized gains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722</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1,286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13,810</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3,606</w:t>
            </w:r>
          </w:p>
        </w:tc>
        <w:tc>
          <w:tcPr>
            <w:tcW w:w="116"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Gross realized losses, excluding credit impairment losses: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(8</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(495</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(219</w:t>
            </w:r>
          </w:p>
        </w:tc>
        <w:tc>
          <w:tcPr>
            <w:tcW w:w="116" w:type="dxa"/>
            <w:tcBorders/>
            <w:shd w:fill="CCEEFF" w:val="clear"/>
            <w:vAlign w:val="center"/>
          </w:tcPr>
          <w:p>
            <w:pPr>
              <w:pStyle w:val="TableContents"/>
              <w:bidi w:val="0"/>
              <w:spacing w:before="0" w:after="283"/>
              <w:jc w:val="left"/>
              <w:rPr/>
            </w:pPr>
            <w:r>
              <w:rPr/>
              <w:t>)</w:t>
            </w:r>
          </w:p>
        </w:tc>
      </w:tr>
      <w:tr>
        <w:trPr/>
        <w:tc>
          <w:tcPr>
            <w:tcW w:w="4003" w:type="dxa"/>
            <w:tcBorders/>
            <w:vAlign w:val="center"/>
          </w:tcPr>
          <w:p>
            <w:pPr>
              <w:pStyle w:val="TableContents"/>
              <w:bidi w:val="0"/>
              <w:spacing w:before="0" w:after="283"/>
              <w:jc w:val="left"/>
              <w:rPr/>
            </w:pPr>
            <w:r>
              <w:rPr/>
              <w:t>Equity securities</w:t>
            </w:r>
          </w:p>
        </w:tc>
        <w:tc>
          <w:tcPr>
            <w:tcW w:w="60" w:type="dxa"/>
            <w:tcBorders/>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(183</w:t>
            </w:r>
          </w:p>
        </w:tc>
        <w:tc>
          <w:tcPr>
            <w:tcW w:w="16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(1,097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tcMar>
              <w:bottom w:w="28" w:type="dxa"/>
            </w:tcMar>
            <w:vAlign w:val="center"/>
          </w:tcPr>
          <w:p>
            <w:pPr>
              <w:pStyle w:val="TableContents"/>
              <w:bidi w:val="0"/>
              <w:spacing w:before="0" w:after="283"/>
              <w:jc w:val="right"/>
              <w:rPr/>
            </w:pPr>
            <w:r>
              <w:rPr/>
              <w:t>(1,317</w:t>
            </w:r>
          </w:p>
        </w:tc>
        <w:tc>
          <w:tcPr>
            <w:tcW w:w="14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tcMar>
              <w:bottom w:w="28" w:type="dxa"/>
            </w:tcMar>
            <w:vAlign w:val="center"/>
          </w:tcPr>
          <w:p>
            <w:pPr>
              <w:pStyle w:val="TableContents"/>
              <w:bidi w:val="0"/>
              <w:spacing w:before="0" w:after="283"/>
              <w:jc w:val="right"/>
              <w:rPr/>
            </w:pPr>
            <w:r>
              <w:rPr/>
              <w:t>(1,339</w:t>
            </w:r>
          </w:p>
        </w:tc>
        <w:tc>
          <w:tcPr>
            <w:tcW w:w="116" w:type="dxa"/>
            <w:tcBorders/>
            <w:vAlign w:val="center"/>
          </w:tcPr>
          <w:p>
            <w:pPr>
              <w:pStyle w:val="TableContents"/>
              <w:bidi w:val="0"/>
              <w:spacing w:before="0" w:after="283"/>
              <w:jc w:val="left"/>
              <w:rPr/>
            </w:pPr>
            <w:r>
              <w:rPr/>
              <w:t>)</w:t>
            </w:r>
          </w:p>
        </w:tc>
      </w:tr>
      <w:tr>
        <w:trPr/>
        <w:tc>
          <w:tcPr>
            <w:tcW w:w="4003" w:type="dxa"/>
            <w:tcBorders/>
            <w:shd w:fill="CCEEFF" w:val="clear"/>
            <w:vAlign w:val="center"/>
          </w:tcPr>
          <w:p>
            <w:pPr>
              <w:pStyle w:val="TableContents"/>
              <w:bidi w:val="0"/>
              <w:spacing w:before="0" w:after="283"/>
              <w:jc w:val="left"/>
              <w:rPr/>
            </w:pPr>
            <w:r>
              <w:rPr/>
              <w:t>Total gross realized losses, excluding credit impairment losses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(191</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(1,812</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(1,558</w:t>
            </w:r>
          </w:p>
        </w:tc>
        <w:tc>
          <w:tcPr>
            <w:tcW w:w="116" w:type="dxa"/>
            <w:tcBorders/>
            <w:shd w:fill="CCEEFF" w:val="clear"/>
            <w:vAlign w:val="center"/>
          </w:tcPr>
          <w:p>
            <w:pPr>
              <w:pStyle w:val="TableContents"/>
              <w:bidi w:val="0"/>
              <w:spacing w:before="0" w:after="283"/>
              <w:jc w:val="left"/>
              <w:rPr/>
            </w:pPr>
            <w:r>
              <w:rPr/>
              <w:t>)</w:t>
            </w:r>
          </w:p>
        </w:tc>
      </w:tr>
      <w:tr>
        <w:trPr/>
        <w:tc>
          <w:tcPr>
            <w:tcW w:w="40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tcMar>
              <w:bottom w:w="28" w:type="dxa"/>
            </w:tcMar>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tcMar>
              <w:bottom w:w="28" w:type="dxa"/>
            </w:tcMar>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Net realized gains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531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11,998</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2,048</w:t>
            </w:r>
          </w:p>
        </w:tc>
        <w:tc>
          <w:tcPr>
            <w:tcW w:w="116" w:type="dxa"/>
            <w:tcBorders/>
            <w:shd w:fill="CCEEFF" w:val="clear"/>
            <w:vAlign w:val="center"/>
          </w:tcPr>
          <w:p>
            <w:pPr>
              <w:pStyle w:val="TableContents"/>
              <w:bidi w:val="0"/>
              <w:spacing w:before="0" w:after="283"/>
              <w:jc w:val="left"/>
              <w:rPr/>
            </w:pPr>
            <w:r>
              <w:rPr/>
              <w:t> </w:t>
            </w:r>
          </w:p>
        </w:tc>
      </w:tr>
      <w:tr>
        <w:trPr/>
        <w:tc>
          <w:tcPr>
            <w:tcW w:w="40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4003" w:type="dxa"/>
            <w:tcBorders/>
            <w:shd w:fill="CCEEFF" w:val="clear"/>
            <w:vAlign w:val="center"/>
          </w:tcPr>
          <w:p>
            <w:pPr>
              <w:pStyle w:val="TableContents"/>
              <w:bidi w:val="0"/>
              <w:spacing w:before="0" w:after="283"/>
              <w:jc w:val="left"/>
              <w:rPr/>
            </w:pPr>
            <w:r>
              <w:rPr/>
              <w:t>Change in net unrealized gains on equity securities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(1,758</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(2,951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(11,983</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(21,580</w:t>
            </w:r>
          </w:p>
        </w:tc>
        <w:tc>
          <w:tcPr>
            <w:tcW w:w="116" w:type="dxa"/>
            <w:tcBorders/>
            <w:shd w:fill="CCEEFF" w:val="clear"/>
            <w:vAlign w:val="center"/>
          </w:tcPr>
          <w:p>
            <w:pPr>
              <w:pStyle w:val="TableContents"/>
              <w:bidi w:val="0"/>
              <w:spacing w:before="0" w:after="283"/>
              <w:jc w:val="left"/>
              <w:rPr/>
            </w:pPr>
            <w:r>
              <w:rPr/>
              <w:t>)</w:t>
            </w:r>
          </w:p>
        </w:tc>
      </w:tr>
      <w:tr>
        <w:trPr/>
        <w:tc>
          <w:tcPr>
            <w:tcW w:w="4003" w:type="dxa"/>
            <w:tcBorders/>
            <w:vAlign w:val="center"/>
          </w:tcPr>
          <w:p>
            <w:pPr>
              <w:pStyle w:val="TableContents"/>
              <w:bidi w:val="0"/>
              <w:spacing w:before="0" w:after="283"/>
              <w:jc w:val="left"/>
              <w:rPr/>
            </w:pPr>
            <w:r>
              <w:rPr/>
              <w:t>Net investment gains (losses)</w:t>
            </w:r>
          </w:p>
        </w:tc>
        <w:tc>
          <w:tcPr>
            <w:tcW w:w="60" w:type="dxa"/>
            <w:tcBorders/>
            <w:vAlign w:val="center"/>
          </w:tcPr>
          <w:p>
            <w:pPr>
              <w:pStyle w:val="TableContents"/>
              <w:bidi w:val="0"/>
              <w:spacing w:before="0" w:after="283"/>
              <w:jc w:val="left"/>
              <w:rPr/>
            </w:pPr>
            <w:r>
              <w:rPr/>
              <w:t> </w:t>
            </w:r>
          </w:p>
        </w:tc>
        <w:tc>
          <w:tcPr>
            <w:tcW w:w="240" w:type="dxa"/>
            <w:tcBorders>
              <w:bottom w:val="double" w:sz="6" w:space="0" w:color="000000"/>
            </w:tcBorders>
            <w:tcMar>
              <w:bottom w:w="28" w:type="dxa"/>
            </w:tcMar>
            <w:vAlign w:val="center"/>
          </w:tcPr>
          <w:p>
            <w:pPr>
              <w:pStyle w:val="TableContents"/>
              <w:bidi w:val="0"/>
              <w:spacing w:before="0" w:after="283"/>
              <w:jc w:val="left"/>
              <w:rPr/>
            </w:pPr>
            <w:r>
              <w:rPr/>
              <w:t>$</w:t>
            </w:r>
          </w:p>
        </w:tc>
        <w:tc>
          <w:tcPr>
            <w:tcW w:w="1092" w:type="dxa"/>
            <w:tcBorders>
              <w:bottom w:val="double" w:sz="6" w:space="0" w:color="000000"/>
            </w:tcBorders>
            <w:tcMar>
              <w:bottom w:w="28" w:type="dxa"/>
            </w:tcMar>
            <w:vAlign w:val="center"/>
          </w:tcPr>
          <w:p>
            <w:pPr>
              <w:pStyle w:val="TableContents"/>
              <w:bidi w:val="0"/>
              <w:spacing w:before="0" w:after="283"/>
              <w:jc w:val="right"/>
              <w:rPr/>
            </w:pPr>
            <w:r>
              <w:rPr/>
              <w:t>(1,227</w:t>
            </w:r>
          </w:p>
        </w:tc>
        <w:tc>
          <w:tcPr>
            <w:tcW w:w="16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240" w:type="dxa"/>
            <w:tcBorders>
              <w:bottom w:val="double" w:sz="6" w:space="0" w:color="000000"/>
            </w:tcBorders>
            <w:tcMar>
              <w:bottom w:w="28" w:type="dxa"/>
            </w:tcMar>
            <w:vAlign w:val="center"/>
          </w:tcPr>
          <w:p>
            <w:pPr>
              <w:pStyle w:val="TableContents"/>
              <w:bidi w:val="0"/>
              <w:spacing w:before="0" w:after="283"/>
              <w:jc w:val="left"/>
              <w:rPr/>
            </w:pPr>
            <w:r>
              <w:rPr/>
              <w:t>$</w:t>
            </w:r>
          </w:p>
        </w:tc>
        <w:tc>
          <w:tcPr>
            <w:tcW w:w="1092" w:type="dxa"/>
            <w:tcBorders>
              <w:bottom w:val="double" w:sz="6" w:space="0" w:color="000000"/>
            </w:tcBorders>
            <w:tcMar>
              <w:bottom w:w="28" w:type="dxa"/>
            </w:tcMar>
            <w:vAlign w:val="center"/>
          </w:tcPr>
          <w:p>
            <w:pPr>
              <w:pStyle w:val="TableContents"/>
              <w:bidi w:val="0"/>
              <w:spacing w:before="0" w:after="283"/>
              <w:jc w:val="right"/>
              <w:rPr/>
            </w:pPr>
            <w:r>
              <w:rPr/>
              <w:t>(2,868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1" w:type="dxa"/>
            <w:tcBorders>
              <w:bottom w:val="double" w:sz="6" w:space="0" w:color="000000"/>
            </w:tcBorders>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tcMar>
              <w:bottom w:w="28" w:type="dxa"/>
            </w:tcMar>
            <w:vAlign w:val="center"/>
          </w:tcPr>
          <w:p>
            <w:pPr>
              <w:pStyle w:val="TableContents"/>
              <w:bidi w:val="0"/>
              <w:spacing w:before="0" w:after="283"/>
              <w:jc w:val="right"/>
              <w:rPr/>
            </w:pPr>
            <w:r>
              <w:rPr/>
              <w:t>15</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double" w:sz="6" w:space="0" w:color="000000"/>
            </w:tcBorders>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tcMar>
              <w:bottom w:w="28" w:type="dxa"/>
            </w:tcMar>
            <w:vAlign w:val="center"/>
          </w:tcPr>
          <w:p>
            <w:pPr>
              <w:pStyle w:val="TableContents"/>
              <w:bidi w:val="0"/>
              <w:spacing w:before="0" w:after="283"/>
              <w:jc w:val="right"/>
              <w:rPr/>
            </w:pPr>
            <w:r>
              <w:rPr/>
              <w:t>(19,532</w:t>
            </w:r>
          </w:p>
        </w:tc>
        <w:tc>
          <w:tcPr>
            <w:tcW w:w="116" w:type="dxa"/>
            <w:tcBorders/>
            <w:vAlign w:val="center"/>
          </w:tcPr>
          <w:p>
            <w:pPr>
              <w:pStyle w:val="TableContents"/>
              <w:bidi w:val="0"/>
              <w:spacing w:before="0" w:after="283"/>
              <w:jc w:val="left"/>
              <w:rPr/>
            </w:pPr>
            <w:r>
              <w:rPr/>
              <w:t>)</w:t>
            </w:r>
          </w:p>
        </w:tc>
      </w:tr>
    </w:tbl>
    <w:p>
      <w:pPr>
        <w:pStyle w:val="TextBody"/>
        <w:bidi w:val="0"/>
        <w:spacing w:before="0" w:after="0"/>
        <w:ind w:left="0" w:right="0" w:firstLine="705"/>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2913" w:type="dxa"/>
        <w:jc w:val="left"/>
        <w:tblInd w:w="0" w:type="dxa"/>
        <w:tblLayout w:type="fixed"/>
        <w:tblCellMar>
          <w:top w:w="0" w:type="dxa"/>
          <w:left w:w="0" w:type="dxa"/>
          <w:bottom w:w="0" w:type="dxa"/>
          <w:right w:w="0" w:type="dxa"/>
        </w:tblCellMar>
      </w:tblPr>
      <w:tblGrid>
        <w:gridCol w:w="38"/>
        <w:gridCol w:w="20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675" w:type="dxa"/>
            <w:tcBorders/>
            <w:vAlign w:val="center"/>
          </w:tcPr>
          <w:p>
            <w:pPr>
              <w:pStyle w:val="TableContents"/>
              <w:bidi w:val="0"/>
              <w:spacing w:before="0" w:after="283"/>
              <w:jc w:val="left"/>
              <w:rPr>
                <w:b/>
              </w:rPr>
            </w:pPr>
            <w:r>
              <w:rPr>
                <w:b/>
              </w:rPr>
              <w:t>Fair Value Measurements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tbl>
      <w:tblPr>
        <w:tblW w:w="10205" w:type="dxa"/>
        <w:jc w:val="left"/>
        <w:tblInd w:w="0" w:type="dxa"/>
        <w:tblLayout w:type="fixed"/>
        <w:tblCellMar>
          <w:top w:w="0" w:type="dxa"/>
          <w:left w:w="0" w:type="dxa"/>
          <w:bottom w:w="0" w:type="dxa"/>
          <w:right w:w="0" w:type="dxa"/>
        </w:tblCellMar>
      </w:tblPr>
      <w:tblGrid>
        <w:gridCol w:w="75"/>
        <w:gridCol w:w="490"/>
        <w:gridCol w:w="9640"/>
      </w:tblGrid>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i/>
                <w:sz w:val="20"/>
              </w:rPr>
            </w:pPr>
            <w:r>
              <w:rPr>
                <w:i/>
                <w:sz w:val="20"/>
              </w:rPr>
              <w:t>Level 1:</w:t>
            </w:r>
          </w:p>
        </w:tc>
        <w:tc>
          <w:tcPr>
            <w:tcW w:w="9640" w:type="dxa"/>
            <w:tcBorders/>
            <w:vAlign w:val="center"/>
          </w:tcPr>
          <w:p>
            <w:pPr>
              <w:pStyle w:val="TableContents"/>
              <w:bidi w:val="0"/>
              <w:spacing w:before="0" w:after="283"/>
              <w:jc w:val="left"/>
              <w:rPr>
                <w:sz w:val="20"/>
              </w:rPr>
            </w:pPr>
            <w:r>
              <w:rPr>
                <w:sz w:val="20"/>
              </w:rPr>
              <w:t>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2</w:t>
            </w:r>
            <w:r>
              <w:rPr>
                <w:sz w:val="20"/>
              </w:rPr>
              <w:t>:</w:t>
            </w:r>
          </w:p>
        </w:tc>
        <w:tc>
          <w:tcPr>
            <w:tcW w:w="9640" w:type="dxa"/>
            <w:tcBorders/>
            <w:vAlign w:val="center"/>
          </w:tcPr>
          <w:p>
            <w:pPr>
              <w:pStyle w:val="TableContents"/>
              <w:bidi w:val="0"/>
              <w:spacing w:before="0" w:after="283"/>
              <w:jc w:val="left"/>
              <w:rPr>
                <w:sz w:val="20"/>
              </w:rPr>
            </w:pPr>
            <w:r>
              <w:rPr>
                <w:sz w:val="20"/>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3</w:t>
            </w:r>
            <w:r>
              <w:rPr>
                <w:sz w:val="20"/>
              </w:rPr>
              <w:t>:</w:t>
            </w:r>
          </w:p>
        </w:tc>
        <w:tc>
          <w:tcPr>
            <w:tcW w:w="9640" w:type="dxa"/>
            <w:tcBorders/>
            <w:vAlign w:val="center"/>
          </w:tcPr>
          <w:p>
            <w:pPr>
              <w:pStyle w:val="TableContents"/>
              <w:bidi w:val="0"/>
              <w:spacing w:before="0" w:after="283"/>
              <w:jc w:val="left"/>
              <w:rPr>
                <w:sz w:val="20"/>
              </w:rPr>
            </w:pPr>
            <w:r>
              <w:rPr>
                <w:sz w:val="20"/>
              </w:rPr>
              <w:t>Prices or valuation techniques that require inputs that are both significant to the fair value measurement and unobservable (i.e., supported with little or no market activity).</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of our investments provided by the independent pricing service at each period-end were utilized, among other resources, in reaching a conclusion as to the fair value of its investments.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reasonableness of the pricing provided by the independent pricing service by employing various analytical procedures. We also use information from our third-party investment advisors who utilize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three or nine months ended September 30, 2023, or the year ended December 31, 2022. The classification within the fair value hierarchy is then confirmed based on the final conclusions from the pricing review.</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September 30, 2023, or December 31, 2022.</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assets which are measured on a recurring basis by the level within the fair value hierarchy in which fair value measurements fall:</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U.S. Government and agencies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Corporate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134,805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134,805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Commercial mortgage-backed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24,857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24,857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Redeemable preferred stock</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325,168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325,168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Non-redeemable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Total equity securities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24,853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24,853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ind w:left="0" w:right="0" w:hanging="216"/>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Money market accounts and cash equivalents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11,116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4,850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6,266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assets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361,137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29,703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331,434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firstLine="705"/>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U.S. Government and agencies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Corporate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Commercial mortgage-backed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Redeemable preferred stock</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3,719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3,719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303,324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303,324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50,699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50,699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Non-redeemable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Total equity securities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52,393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52,393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ind w:left="0" w:right="0" w:hanging="216"/>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Money market accounts and cash equivalents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27,255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27,255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assets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382,972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303,324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120" w:after="0"/>
        <w:ind w:left="0" w:right="15"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liabilities measured at fair value on a recurring basis at September 30, 2023, or December 31, 2022.</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b/>
              </w:rPr>
            </w:pPr>
            <w:r>
              <w:rPr>
                <w:b/>
              </w:rPr>
              <w:t>5.</w:t>
            </w:r>
          </w:p>
        </w:tc>
        <w:tc>
          <w:tcPr>
            <w:tcW w:w="8637" w:type="dxa"/>
            <w:tcBorders/>
            <w:vAlign w:val="center"/>
          </w:tcPr>
          <w:p>
            <w:pPr>
              <w:pStyle w:val="TableContents"/>
              <w:bidi w:val="0"/>
              <w:spacing w:before="0" w:after="283"/>
              <w:jc w:val="left"/>
              <w:rPr>
                <w:b/>
              </w:rPr>
            </w:pPr>
            <w:r>
              <w:rPr>
                <w:b/>
              </w:rPr>
              <w:t>Reinsurance</w:t>
            </w:r>
          </w:p>
        </w:tc>
      </w:tr>
    </w:tbl>
    <w:p>
      <w:pPr>
        <w:pStyle w:val="TextBody"/>
        <w:bidi w:val="0"/>
        <w:spacing w:before="0" w:after="20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Reinsurance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primary purpose of these agreements is to protect the Company, at a cost, from losses in excess of the amount it is prepared to accept and to protect the Company’s capital.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nine-month period ended September 30, 2023, the Company maintained property catastrophe reinsurance protection covering $133,000 in excess of a $20,000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Federal Crop Insurance Corporation (“FCIC”).</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maintained property catastrophe reinsurance protection covering $125,000 in excess of a $15,000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monitors and evaluates the financial condition of the reinsurers and develops estimates of the uncollectible amounts due from reinsurers. Beginning on December 31, 2022, credit losses are recognized through an allowance account developed using a new credit loss model (current expected credit losses or “CECL”). See the Part II, Item 8, Note 2 “Recent Accounting Pronouncements” section of the 2022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financial strength ratings. At September 30, 2023, and December 31, 2022, management has concluded that it is not necessary to record an allowance for expected credit losses related to reinsurance recoverables. All of our significant reinsurance partners are rated “A-” (Excellent) or better by AM Best, and there is no history of write-offs.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premiums on both a written and an earned basis is as follows:</w:t>
      </w:r>
    </w:p>
    <w:tbl>
      <w:tblPr>
        <w:tblW w:w="10205" w:type="dxa"/>
        <w:jc w:val="left"/>
        <w:tblInd w:w="0" w:type="dxa"/>
        <w:tblLayout w:type="fixed"/>
        <w:tblCellMar>
          <w:top w:w="0" w:type="dxa"/>
          <w:left w:w="0" w:type="dxa"/>
          <w:bottom w:w="0" w:type="dxa"/>
          <w:right w:w="0" w:type="dxa"/>
        </w:tblCellMar>
      </w:tblPr>
      <w:tblGrid>
        <w:gridCol w:w="1759"/>
        <w:gridCol w:w="60"/>
        <w:gridCol w:w="300"/>
        <w:gridCol w:w="1557"/>
        <w:gridCol w:w="195"/>
        <w:gridCol w:w="123"/>
        <w:gridCol w:w="296"/>
        <w:gridCol w:w="1649"/>
        <w:gridCol w:w="95"/>
        <w:gridCol w:w="60"/>
        <w:gridCol w:w="281"/>
        <w:gridCol w:w="1566"/>
        <w:gridCol w:w="185"/>
        <w:gridCol w:w="116"/>
        <w:gridCol w:w="281"/>
        <w:gridCol w:w="1565"/>
        <w:gridCol w:w="117"/>
      </w:tblGrid>
      <w:tr>
        <w:trPr/>
        <w:tc>
          <w:tcPr>
            <w:tcW w:w="1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2023</w:t>
            </w:r>
          </w:p>
        </w:tc>
        <w:tc>
          <w:tcPr>
            <w:tcW w:w="117"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8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8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17"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Direct premium</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557" w:type="dxa"/>
            <w:tcBorders/>
            <w:shd w:fill="CCEEFF" w:val="clear"/>
            <w:vAlign w:val="center"/>
          </w:tcPr>
          <w:p>
            <w:pPr>
              <w:pStyle w:val="TableContents"/>
              <w:bidi w:val="0"/>
              <w:spacing w:before="0" w:after="283"/>
              <w:jc w:val="right"/>
              <w:rPr/>
            </w:pPr>
            <w:r>
              <w:rPr/>
              <w:t>81,223</w:t>
            </w:r>
          </w:p>
        </w:tc>
        <w:tc>
          <w:tcPr>
            <w:tcW w:w="19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649" w:type="dxa"/>
            <w:tcBorders/>
            <w:shd w:fill="CCEEFF" w:val="clear"/>
            <w:vAlign w:val="center"/>
          </w:tcPr>
          <w:p>
            <w:pPr>
              <w:pStyle w:val="TableContents"/>
              <w:bidi w:val="0"/>
              <w:spacing w:before="0" w:after="283"/>
              <w:jc w:val="right"/>
              <w:rPr/>
            </w:pPr>
            <w:r>
              <w:rPr/>
              <w:t>104,540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316,029</w:t>
            </w:r>
          </w:p>
        </w:tc>
        <w:tc>
          <w:tcPr>
            <w:tcW w:w="18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296,176</w:t>
            </w:r>
          </w:p>
        </w:tc>
        <w:tc>
          <w:tcPr>
            <w:tcW w:w="117" w:type="dxa"/>
            <w:tcBorders/>
            <w:shd w:fill="CCEEFF" w:val="clear"/>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Assumed premium</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557" w:type="dxa"/>
            <w:tcBorders/>
            <w:vAlign w:val="center"/>
          </w:tcPr>
          <w:p>
            <w:pPr>
              <w:pStyle w:val="TableContents"/>
              <w:bidi w:val="0"/>
              <w:spacing w:before="0" w:after="283"/>
              <w:jc w:val="right"/>
              <w:rPr/>
            </w:pPr>
            <w:r>
              <w:rPr/>
              <w:t>175</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2,045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right"/>
              <w:rPr/>
            </w:pPr>
            <w:r>
              <w:rPr/>
              <w:t>3,014</w:t>
            </w:r>
          </w:p>
        </w:tc>
        <w:tc>
          <w:tcPr>
            <w:tcW w:w="18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3,448</w:t>
            </w:r>
          </w:p>
        </w:tc>
        <w:tc>
          <w:tcPr>
            <w:tcW w:w="117"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Ceded premium</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7" w:type="dxa"/>
            <w:tcBorders>
              <w:bottom w:val="single" w:sz="8" w:space="0" w:color="000000"/>
            </w:tcBorders>
            <w:shd w:fill="CCEEFF" w:val="clear"/>
            <w:tcMar>
              <w:bottom w:w="28" w:type="dxa"/>
            </w:tcMar>
            <w:vAlign w:val="center"/>
          </w:tcPr>
          <w:p>
            <w:pPr>
              <w:pStyle w:val="TableContents"/>
              <w:bidi w:val="0"/>
              <w:spacing w:before="0" w:after="283"/>
              <w:jc w:val="right"/>
              <w:rPr/>
            </w:pPr>
            <w:r>
              <w:rPr/>
              <w:t>(10,773</w:t>
            </w:r>
          </w:p>
        </w:tc>
        <w:tc>
          <w:tcPr>
            <w:tcW w:w="195"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(15,815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(39,671</w:t>
            </w:r>
          </w:p>
        </w:tc>
        <w:tc>
          <w:tcPr>
            <w:tcW w:w="185"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(37,081</w:t>
            </w:r>
          </w:p>
        </w:tc>
        <w:tc>
          <w:tcPr>
            <w:tcW w:w="117" w:type="dxa"/>
            <w:tcBorders/>
            <w:shd w:fill="CCEEFF" w:val="clear"/>
            <w:vAlign w:val="center"/>
          </w:tcPr>
          <w:p>
            <w:pPr>
              <w:pStyle w:val="TableContents"/>
              <w:bidi w:val="0"/>
              <w:spacing w:before="0" w:after="283"/>
              <w:jc w:val="left"/>
              <w:rPr/>
            </w:pPr>
            <w:r>
              <w:rPr/>
              <w:t>)</w:t>
            </w:r>
          </w:p>
        </w:tc>
      </w:tr>
      <w:tr>
        <w:trPr/>
        <w:tc>
          <w:tcPr>
            <w:tcW w:w="1759" w:type="dxa"/>
            <w:tcBorders/>
            <w:vAlign w:val="center"/>
          </w:tcPr>
          <w:p>
            <w:pPr>
              <w:pStyle w:val="TableContents"/>
              <w:bidi w:val="0"/>
              <w:spacing w:before="0" w:after="283"/>
              <w:jc w:val="left"/>
              <w:rPr/>
            </w:pPr>
            <w:r>
              <w:rPr/>
              <w:t>Net premiums</w:t>
            </w:r>
          </w:p>
        </w:tc>
        <w:tc>
          <w:tcPr>
            <w:tcW w:w="60" w:type="dxa"/>
            <w:tcBorders/>
            <w:vAlign w:val="center"/>
          </w:tcPr>
          <w:p>
            <w:pPr>
              <w:pStyle w:val="TableContents"/>
              <w:bidi w:val="0"/>
              <w:spacing w:before="0" w:after="283"/>
              <w:jc w:val="left"/>
              <w:rPr/>
            </w:pPr>
            <w:r>
              <w:rPr/>
              <w:t> </w:t>
            </w:r>
          </w:p>
        </w:tc>
        <w:tc>
          <w:tcPr>
            <w:tcW w:w="300" w:type="dxa"/>
            <w:tcBorders>
              <w:bottom w:val="double" w:sz="6" w:space="0" w:color="000000"/>
            </w:tcBorders>
            <w:tcMar>
              <w:bottom w:w="28" w:type="dxa"/>
            </w:tcMar>
            <w:vAlign w:val="center"/>
          </w:tcPr>
          <w:p>
            <w:pPr>
              <w:pStyle w:val="TableContents"/>
              <w:bidi w:val="0"/>
              <w:spacing w:before="0" w:after="283"/>
              <w:jc w:val="left"/>
              <w:rPr/>
            </w:pPr>
            <w:r>
              <w:rPr/>
              <w:t>$</w:t>
            </w:r>
          </w:p>
        </w:tc>
        <w:tc>
          <w:tcPr>
            <w:tcW w:w="1557" w:type="dxa"/>
            <w:tcBorders>
              <w:bottom w:val="double" w:sz="6" w:space="0" w:color="000000"/>
            </w:tcBorders>
            <w:tcMar>
              <w:bottom w:w="28" w:type="dxa"/>
            </w:tcMar>
            <w:vAlign w:val="center"/>
          </w:tcPr>
          <w:p>
            <w:pPr>
              <w:pStyle w:val="TableContents"/>
              <w:bidi w:val="0"/>
              <w:spacing w:before="0" w:after="283"/>
              <w:jc w:val="right"/>
              <w:rPr/>
            </w:pPr>
            <w:r>
              <w:rPr/>
              <w:t>70,625</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96" w:type="dxa"/>
            <w:tcBorders>
              <w:bottom w:val="double" w:sz="6" w:space="0" w:color="000000"/>
            </w:tcBorders>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tcMar>
              <w:bottom w:w="28" w:type="dxa"/>
            </w:tcMar>
            <w:vAlign w:val="center"/>
          </w:tcPr>
          <w:p>
            <w:pPr>
              <w:pStyle w:val="TableContents"/>
              <w:bidi w:val="0"/>
              <w:spacing w:before="0" w:after="283"/>
              <w:jc w:val="right"/>
              <w:rPr/>
            </w:pPr>
            <w:r>
              <w:rPr/>
              <w:t>90,770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tcMar>
              <w:bottom w:w="28" w:type="dxa"/>
            </w:tcMar>
            <w:vAlign w:val="center"/>
          </w:tcPr>
          <w:p>
            <w:pPr>
              <w:pStyle w:val="TableContents"/>
              <w:bidi w:val="0"/>
              <w:spacing w:before="0" w:after="283"/>
              <w:jc w:val="right"/>
              <w:rPr/>
            </w:pPr>
            <w:r>
              <w:rPr/>
              <w:t>279,372</w:t>
            </w:r>
          </w:p>
        </w:tc>
        <w:tc>
          <w:tcPr>
            <w:tcW w:w="18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tcMar>
              <w:bottom w:w="28" w:type="dxa"/>
            </w:tcMar>
            <w:vAlign w:val="center"/>
          </w:tcPr>
          <w:p>
            <w:pPr>
              <w:pStyle w:val="TableContents"/>
              <w:bidi w:val="0"/>
              <w:spacing w:before="0" w:after="283"/>
              <w:jc w:val="right"/>
              <w:rPr/>
            </w:pPr>
            <w:r>
              <w:rPr/>
              <w:t>262,543</w:t>
            </w:r>
          </w:p>
        </w:tc>
        <w:tc>
          <w:tcPr>
            <w:tcW w:w="117" w:type="dxa"/>
            <w:tcBorders/>
            <w:vAlign w:val="center"/>
          </w:tcPr>
          <w:p>
            <w:pPr>
              <w:pStyle w:val="TableContents"/>
              <w:bidi w:val="0"/>
              <w:spacing w:before="0" w:after="283"/>
              <w:jc w:val="left"/>
              <w:rPr/>
            </w:pPr>
            <w:r>
              <w:rPr/>
              <w:t> </w:t>
            </w:r>
          </w:p>
        </w:tc>
      </w:tr>
    </w:tbl>
    <w:p>
      <w:pPr>
        <w:pStyle w:val="TextBody"/>
        <w:bidi w:val="0"/>
        <w:ind w:left="15" w:right="15" w:firstLine="70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9"/>
        <w:gridCol w:w="60"/>
        <w:gridCol w:w="300"/>
        <w:gridCol w:w="1557"/>
        <w:gridCol w:w="195"/>
        <w:gridCol w:w="123"/>
        <w:gridCol w:w="296"/>
        <w:gridCol w:w="1649"/>
        <w:gridCol w:w="95"/>
        <w:gridCol w:w="60"/>
        <w:gridCol w:w="281"/>
        <w:gridCol w:w="1566"/>
        <w:gridCol w:w="185"/>
        <w:gridCol w:w="116"/>
        <w:gridCol w:w="281"/>
        <w:gridCol w:w="1565"/>
        <w:gridCol w:w="117"/>
      </w:tblGrid>
      <w:tr>
        <w:trPr/>
        <w:tc>
          <w:tcPr>
            <w:tcW w:w="1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2022</w:t>
            </w:r>
          </w:p>
        </w:tc>
        <w:tc>
          <w:tcPr>
            <w:tcW w:w="117"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8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8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17"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Direct premium</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557" w:type="dxa"/>
            <w:tcBorders/>
            <w:shd w:fill="CCEEFF" w:val="clear"/>
            <w:vAlign w:val="center"/>
          </w:tcPr>
          <w:p>
            <w:pPr>
              <w:pStyle w:val="TableContents"/>
              <w:bidi w:val="0"/>
              <w:spacing w:before="0" w:after="283"/>
              <w:jc w:val="right"/>
              <w:rPr/>
            </w:pPr>
            <w:r>
              <w:rPr/>
              <w:t>81,147</w:t>
            </w:r>
          </w:p>
        </w:tc>
        <w:tc>
          <w:tcPr>
            <w:tcW w:w="19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649" w:type="dxa"/>
            <w:tcBorders/>
            <w:shd w:fill="CCEEFF" w:val="clear"/>
            <w:vAlign w:val="center"/>
          </w:tcPr>
          <w:p>
            <w:pPr>
              <w:pStyle w:val="TableContents"/>
              <w:bidi w:val="0"/>
              <w:spacing w:before="0" w:after="283"/>
              <w:jc w:val="right"/>
              <w:rPr/>
            </w:pPr>
            <w:r>
              <w:rPr/>
              <w:t>102,173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301,642</w:t>
            </w:r>
          </w:p>
        </w:tc>
        <w:tc>
          <w:tcPr>
            <w:tcW w:w="18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269,823</w:t>
            </w:r>
          </w:p>
        </w:tc>
        <w:tc>
          <w:tcPr>
            <w:tcW w:w="117" w:type="dxa"/>
            <w:tcBorders/>
            <w:shd w:fill="CCEEFF" w:val="clear"/>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Assumed premium</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557" w:type="dxa"/>
            <w:tcBorders/>
            <w:vAlign w:val="center"/>
          </w:tcPr>
          <w:p>
            <w:pPr>
              <w:pStyle w:val="TableContents"/>
              <w:bidi w:val="0"/>
              <w:spacing w:before="0" w:after="283"/>
              <w:jc w:val="right"/>
              <w:rPr/>
            </w:pPr>
            <w:r>
              <w:rPr/>
              <w:t>680</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2,460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right"/>
              <w:rPr/>
            </w:pPr>
            <w:r>
              <w:rPr/>
              <w:t>5,767</w:t>
            </w:r>
          </w:p>
        </w:tc>
        <w:tc>
          <w:tcPr>
            <w:tcW w:w="18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6,012</w:t>
            </w:r>
          </w:p>
        </w:tc>
        <w:tc>
          <w:tcPr>
            <w:tcW w:w="117"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Ceded premium</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7" w:type="dxa"/>
            <w:tcBorders>
              <w:bottom w:val="single" w:sz="8" w:space="0" w:color="000000"/>
            </w:tcBorders>
            <w:shd w:fill="CCEEFF" w:val="clear"/>
            <w:tcMar>
              <w:bottom w:w="28" w:type="dxa"/>
            </w:tcMar>
            <w:vAlign w:val="center"/>
          </w:tcPr>
          <w:p>
            <w:pPr>
              <w:pStyle w:val="TableContents"/>
              <w:bidi w:val="0"/>
              <w:spacing w:before="0" w:after="283"/>
              <w:jc w:val="right"/>
              <w:rPr/>
            </w:pPr>
            <w:r>
              <w:rPr/>
              <w:t>(10,765</w:t>
            </w:r>
          </w:p>
        </w:tc>
        <w:tc>
          <w:tcPr>
            <w:tcW w:w="195"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(15,101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(36,600</w:t>
            </w:r>
          </w:p>
        </w:tc>
        <w:tc>
          <w:tcPr>
            <w:tcW w:w="185"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(32,220</w:t>
            </w:r>
          </w:p>
        </w:tc>
        <w:tc>
          <w:tcPr>
            <w:tcW w:w="117" w:type="dxa"/>
            <w:tcBorders/>
            <w:shd w:fill="CCEEFF" w:val="clear"/>
            <w:vAlign w:val="center"/>
          </w:tcPr>
          <w:p>
            <w:pPr>
              <w:pStyle w:val="TableContents"/>
              <w:bidi w:val="0"/>
              <w:spacing w:before="0" w:after="283"/>
              <w:jc w:val="left"/>
              <w:rPr/>
            </w:pPr>
            <w:r>
              <w:rPr/>
              <w:t>)</w:t>
            </w:r>
          </w:p>
        </w:tc>
      </w:tr>
      <w:tr>
        <w:trPr/>
        <w:tc>
          <w:tcPr>
            <w:tcW w:w="1759" w:type="dxa"/>
            <w:tcBorders/>
            <w:vAlign w:val="center"/>
          </w:tcPr>
          <w:p>
            <w:pPr>
              <w:pStyle w:val="TableContents"/>
              <w:bidi w:val="0"/>
              <w:spacing w:before="0" w:after="283"/>
              <w:jc w:val="left"/>
              <w:rPr/>
            </w:pPr>
            <w:r>
              <w:rPr/>
              <w:t>Net premiums</w:t>
            </w:r>
          </w:p>
        </w:tc>
        <w:tc>
          <w:tcPr>
            <w:tcW w:w="60" w:type="dxa"/>
            <w:tcBorders/>
            <w:vAlign w:val="center"/>
          </w:tcPr>
          <w:p>
            <w:pPr>
              <w:pStyle w:val="TableContents"/>
              <w:bidi w:val="0"/>
              <w:spacing w:before="0" w:after="283"/>
              <w:jc w:val="left"/>
              <w:rPr/>
            </w:pPr>
            <w:r>
              <w:rPr/>
              <w:t> </w:t>
            </w:r>
          </w:p>
        </w:tc>
        <w:tc>
          <w:tcPr>
            <w:tcW w:w="300" w:type="dxa"/>
            <w:tcBorders>
              <w:bottom w:val="double" w:sz="6" w:space="0" w:color="000000"/>
            </w:tcBorders>
            <w:tcMar>
              <w:bottom w:w="28" w:type="dxa"/>
            </w:tcMar>
            <w:vAlign w:val="center"/>
          </w:tcPr>
          <w:p>
            <w:pPr>
              <w:pStyle w:val="TableContents"/>
              <w:bidi w:val="0"/>
              <w:spacing w:before="0" w:after="283"/>
              <w:jc w:val="left"/>
              <w:rPr/>
            </w:pPr>
            <w:r>
              <w:rPr/>
              <w:t>$</w:t>
            </w:r>
          </w:p>
        </w:tc>
        <w:tc>
          <w:tcPr>
            <w:tcW w:w="1557" w:type="dxa"/>
            <w:tcBorders>
              <w:bottom w:val="double" w:sz="6" w:space="0" w:color="000000"/>
            </w:tcBorders>
            <w:tcMar>
              <w:bottom w:w="28" w:type="dxa"/>
            </w:tcMar>
            <w:vAlign w:val="center"/>
          </w:tcPr>
          <w:p>
            <w:pPr>
              <w:pStyle w:val="TableContents"/>
              <w:bidi w:val="0"/>
              <w:spacing w:before="0" w:after="283"/>
              <w:jc w:val="right"/>
              <w:rPr/>
            </w:pPr>
            <w:r>
              <w:rPr/>
              <w:t>71,062</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96" w:type="dxa"/>
            <w:tcBorders>
              <w:bottom w:val="double" w:sz="6" w:space="0" w:color="000000"/>
            </w:tcBorders>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tcMar>
              <w:bottom w:w="28" w:type="dxa"/>
            </w:tcMar>
            <w:vAlign w:val="center"/>
          </w:tcPr>
          <w:p>
            <w:pPr>
              <w:pStyle w:val="TableContents"/>
              <w:bidi w:val="0"/>
              <w:spacing w:before="0" w:after="283"/>
              <w:jc w:val="right"/>
              <w:rPr/>
            </w:pPr>
            <w:r>
              <w:rPr/>
              <w:t>89,532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tcMar>
              <w:bottom w:w="28" w:type="dxa"/>
            </w:tcMar>
            <w:vAlign w:val="center"/>
          </w:tcPr>
          <w:p>
            <w:pPr>
              <w:pStyle w:val="TableContents"/>
              <w:bidi w:val="0"/>
              <w:spacing w:before="0" w:after="283"/>
              <w:jc w:val="right"/>
              <w:rPr/>
            </w:pPr>
            <w:r>
              <w:rPr/>
              <w:t>270,809</w:t>
            </w:r>
          </w:p>
        </w:tc>
        <w:tc>
          <w:tcPr>
            <w:tcW w:w="18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tcMar>
              <w:bottom w:w="28" w:type="dxa"/>
            </w:tcMar>
            <w:vAlign w:val="center"/>
          </w:tcPr>
          <w:p>
            <w:pPr>
              <w:pStyle w:val="TableContents"/>
              <w:bidi w:val="0"/>
              <w:spacing w:before="0" w:after="283"/>
              <w:jc w:val="right"/>
              <w:rPr/>
            </w:pPr>
            <w:r>
              <w:rPr/>
              <w:t>243,615</w:t>
            </w:r>
          </w:p>
        </w:tc>
        <w:tc>
          <w:tcPr>
            <w:tcW w:w="117" w:type="dxa"/>
            <w:tcBorders/>
            <w:vAlign w:val="center"/>
          </w:tcPr>
          <w:p>
            <w:pPr>
              <w:pStyle w:val="TableContents"/>
              <w:bidi w:val="0"/>
              <w:spacing w:before="0" w:after="283"/>
              <w:jc w:val="left"/>
              <w:rPr/>
            </w:pPr>
            <w:r>
              <w:rPr/>
              <w:t> </w:t>
            </w:r>
          </w:p>
        </w:tc>
      </w:tr>
      <w:tr>
        <w:trPr/>
        <w:tc>
          <w:tcPr>
            <w:tcW w:w="1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557"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bl>
    <w:p>
      <w:pPr>
        <w:pStyle w:val="TextBody"/>
        <w:bidi w:val="0"/>
        <w:ind w:left="15" w:right="15" w:firstLine="705"/>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losses and loss adjustment expenses is as follows:</w:t>
      </w:r>
    </w:p>
    <w:tbl>
      <w:tblPr>
        <w:tblW w:w="10205" w:type="dxa"/>
        <w:jc w:val="left"/>
        <w:tblInd w:w="0" w:type="dxa"/>
        <w:tblLayout w:type="fixed"/>
        <w:tblCellMar>
          <w:top w:w="0" w:type="dxa"/>
          <w:left w:w="0" w:type="dxa"/>
          <w:bottom w:w="0" w:type="dxa"/>
          <w:right w:w="0" w:type="dxa"/>
        </w:tblCellMar>
      </w:tblPr>
      <w:tblGrid>
        <w:gridCol w:w="3477"/>
        <w:gridCol w:w="60"/>
        <w:gridCol w:w="241"/>
        <w:gridCol w:w="1174"/>
        <w:gridCol w:w="164"/>
        <w:gridCol w:w="103"/>
        <w:gridCol w:w="241"/>
        <w:gridCol w:w="1304"/>
        <w:gridCol w:w="95"/>
        <w:gridCol w:w="60"/>
        <w:gridCol w:w="217"/>
        <w:gridCol w:w="1248"/>
        <w:gridCol w:w="147"/>
        <w:gridCol w:w="93"/>
        <w:gridCol w:w="217"/>
        <w:gridCol w:w="1248"/>
        <w:gridCol w:w="116"/>
      </w:tblGrid>
      <w:tr>
        <w:trPr/>
        <w:tc>
          <w:tcPr>
            <w:tcW w:w="3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6" w:type="dxa"/>
            <w:tcBorders/>
            <w:vAlign w:val="center"/>
          </w:tcPr>
          <w:p>
            <w:pPr>
              <w:pStyle w:val="TableContents"/>
              <w:bidi w:val="0"/>
              <w:spacing w:before="0" w:after="283"/>
              <w:jc w:val="left"/>
              <w:rPr/>
            </w:pPr>
            <w:r>
              <w:rPr/>
              <w:t> </w:t>
            </w:r>
          </w:p>
        </w:tc>
      </w:tr>
      <w:tr>
        <w:trPr/>
        <w:tc>
          <w:tcPr>
            <w:tcW w:w="3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jc w:val="left"/>
              <w:rPr/>
            </w:pPr>
            <w:r>
              <w:rPr/>
              <w:t> </w:t>
            </w:r>
          </w:p>
        </w:tc>
      </w:tr>
      <w:tr>
        <w:trPr/>
        <w:tc>
          <w:tcPr>
            <w:tcW w:w="3477" w:type="dxa"/>
            <w:tcBorders/>
            <w:shd w:fill="CCEEFF" w:val="clear"/>
            <w:vAlign w:val="center"/>
          </w:tcPr>
          <w:p>
            <w:pPr>
              <w:pStyle w:val="TableContents"/>
              <w:bidi w:val="0"/>
              <w:spacing w:before="0" w:after="283"/>
              <w:jc w:val="left"/>
              <w:rPr/>
            </w:pPr>
            <w:r>
              <w:rPr/>
              <w:t>Direct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71,107</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94,446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237,117</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250,611</w:t>
            </w:r>
          </w:p>
        </w:tc>
        <w:tc>
          <w:tcPr>
            <w:tcW w:w="116" w:type="dxa"/>
            <w:tcBorders/>
            <w:shd w:fill="CCEEFF" w:val="clear"/>
            <w:vAlign w:val="center"/>
          </w:tcPr>
          <w:p>
            <w:pPr>
              <w:pStyle w:val="TableContents"/>
              <w:bidi w:val="0"/>
              <w:spacing w:before="0" w:after="283"/>
              <w:jc w:val="left"/>
              <w:rPr/>
            </w:pPr>
            <w:r>
              <w:rPr/>
              <w:t> </w:t>
            </w:r>
          </w:p>
        </w:tc>
      </w:tr>
      <w:tr>
        <w:trPr/>
        <w:tc>
          <w:tcPr>
            <w:tcW w:w="3477" w:type="dxa"/>
            <w:tcBorders/>
            <w:vAlign w:val="center"/>
          </w:tcPr>
          <w:p>
            <w:pPr>
              <w:pStyle w:val="TableContents"/>
              <w:bidi w:val="0"/>
              <w:spacing w:before="0" w:after="283"/>
              <w:jc w:val="left"/>
              <w:rPr/>
            </w:pPr>
            <w:r>
              <w:rPr/>
              <w:t>Assumed losses and loss adjustment expenses</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725</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868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882</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2,413</w:t>
            </w:r>
          </w:p>
        </w:tc>
        <w:tc>
          <w:tcPr>
            <w:tcW w:w="116" w:type="dxa"/>
            <w:tcBorders/>
            <w:vAlign w:val="center"/>
          </w:tcPr>
          <w:p>
            <w:pPr>
              <w:pStyle w:val="TableContents"/>
              <w:bidi w:val="0"/>
              <w:spacing w:before="0" w:after="283"/>
              <w:jc w:val="left"/>
              <w:rPr/>
            </w:pPr>
            <w:r>
              <w:rPr/>
              <w:t> </w:t>
            </w:r>
          </w:p>
        </w:tc>
      </w:tr>
      <w:tr>
        <w:trPr/>
        <w:tc>
          <w:tcPr>
            <w:tcW w:w="3477" w:type="dxa"/>
            <w:tcBorders/>
            <w:shd w:fill="CCEEFF" w:val="clear"/>
            <w:vAlign w:val="center"/>
          </w:tcPr>
          <w:p>
            <w:pPr>
              <w:pStyle w:val="TableContents"/>
              <w:bidi w:val="0"/>
              <w:spacing w:before="0" w:after="283"/>
              <w:jc w:val="left"/>
              <w:rPr/>
            </w:pPr>
            <w:r>
              <w:rPr/>
              <w:t>Ceded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(8,268</w:t>
            </w:r>
          </w:p>
        </w:tc>
        <w:tc>
          <w:tcPr>
            <w:tcW w:w="164"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(16,397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pPr>
            <w:r>
              <w:rPr/>
              <w:t>(38,104</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pPr>
            <w:r>
              <w:rPr/>
              <w:t>(25,383</w:t>
            </w:r>
          </w:p>
        </w:tc>
        <w:tc>
          <w:tcPr>
            <w:tcW w:w="116" w:type="dxa"/>
            <w:tcBorders/>
            <w:shd w:fill="CCEEFF" w:val="clear"/>
            <w:vAlign w:val="center"/>
          </w:tcPr>
          <w:p>
            <w:pPr>
              <w:pStyle w:val="TableContents"/>
              <w:bidi w:val="0"/>
              <w:spacing w:before="0" w:after="283"/>
              <w:jc w:val="left"/>
              <w:rPr/>
            </w:pPr>
            <w:r>
              <w:rPr/>
              <w:t>)</w:t>
            </w:r>
          </w:p>
        </w:tc>
      </w:tr>
      <w:tr>
        <w:trPr/>
        <w:tc>
          <w:tcPr>
            <w:tcW w:w="3477" w:type="dxa"/>
            <w:tcBorders/>
            <w:vAlign w:val="center"/>
          </w:tcPr>
          <w:p>
            <w:pPr>
              <w:pStyle w:val="TableContents"/>
              <w:bidi w:val="0"/>
              <w:spacing w:before="0" w:after="283"/>
              <w:jc w:val="left"/>
              <w:rPr/>
            </w:pPr>
            <w:r>
              <w:rPr/>
              <w:t>Net losses and loss adjustment expenses</w:t>
            </w:r>
          </w:p>
        </w:tc>
        <w:tc>
          <w:tcPr>
            <w:tcW w:w="60" w:type="dxa"/>
            <w:tcBorders/>
            <w:vAlign w:val="center"/>
          </w:tcPr>
          <w:p>
            <w:pPr>
              <w:pStyle w:val="TableContents"/>
              <w:bidi w:val="0"/>
              <w:spacing w:before="0" w:after="283"/>
              <w:jc w:val="left"/>
              <w:rPr/>
            </w:pPr>
            <w:r>
              <w:rPr/>
              <w:t> </w:t>
            </w:r>
          </w:p>
        </w:tc>
        <w:tc>
          <w:tcPr>
            <w:tcW w:w="241" w:type="dxa"/>
            <w:tcBorders>
              <w:bottom w:val="double" w:sz="6" w:space="0" w:color="000000"/>
            </w:tcBorders>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tcMar>
              <w:bottom w:w="28" w:type="dxa"/>
            </w:tcMar>
            <w:vAlign w:val="center"/>
          </w:tcPr>
          <w:p>
            <w:pPr>
              <w:pStyle w:val="TableContents"/>
              <w:bidi w:val="0"/>
              <w:spacing w:before="0" w:after="283"/>
              <w:jc w:val="right"/>
              <w:rPr/>
            </w:pPr>
            <w:r>
              <w:rPr/>
              <w:t>63,564</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1" w:type="dxa"/>
            <w:tcBorders>
              <w:bottom w:val="double" w:sz="6" w:space="0" w:color="000000"/>
            </w:tcBorders>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tcMar>
              <w:bottom w:w="28" w:type="dxa"/>
            </w:tcMar>
            <w:vAlign w:val="center"/>
          </w:tcPr>
          <w:p>
            <w:pPr>
              <w:pStyle w:val="TableContents"/>
              <w:bidi w:val="0"/>
              <w:spacing w:before="0" w:after="283"/>
              <w:jc w:val="right"/>
              <w:rPr/>
            </w:pPr>
            <w:r>
              <w:rPr/>
              <w:t>78,917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bottom w:val="double" w:sz="6" w:space="0" w:color="000000"/>
            </w:tcBorders>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tcMar>
              <w:bottom w:w="28" w:type="dxa"/>
            </w:tcMar>
            <w:vAlign w:val="center"/>
          </w:tcPr>
          <w:p>
            <w:pPr>
              <w:pStyle w:val="TableContents"/>
              <w:bidi w:val="0"/>
              <w:spacing w:before="0" w:after="283"/>
              <w:jc w:val="right"/>
              <w:rPr/>
            </w:pPr>
            <w:r>
              <w:rPr/>
              <w:t>199,895</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bottom w:val="double" w:sz="6" w:space="0" w:color="000000"/>
            </w:tcBorders>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tcMar>
              <w:bottom w:w="28" w:type="dxa"/>
            </w:tcMar>
            <w:vAlign w:val="center"/>
          </w:tcPr>
          <w:p>
            <w:pPr>
              <w:pStyle w:val="TableContents"/>
              <w:bidi w:val="0"/>
              <w:spacing w:before="0" w:after="283"/>
              <w:jc w:val="right"/>
              <w:rPr/>
            </w:pPr>
            <w:r>
              <w:rPr/>
              <w:t>227,641</w:t>
            </w:r>
          </w:p>
        </w:tc>
        <w:tc>
          <w:tcPr>
            <w:tcW w:w="116" w:type="dxa"/>
            <w:tcBorders/>
            <w:vAlign w:val="center"/>
          </w:tcPr>
          <w:p>
            <w:pPr>
              <w:pStyle w:val="TableContents"/>
              <w:bidi w:val="0"/>
              <w:spacing w:before="0" w:after="283"/>
              <w:jc w:val="left"/>
              <w:rPr/>
            </w:pPr>
            <w:r>
              <w:rPr/>
              <w:t> </w:t>
            </w:r>
          </w:p>
        </w:tc>
      </w:tr>
    </w:tbl>
    <w:p>
      <w:pPr>
        <w:pStyle w:val="TextBody"/>
        <w:bidi w:val="0"/>
        <w:ind w:left="15" w:right="15"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100% of our ceded reinsurance was cancelled as of September 30, 2023, or December 31, 2022, no ceded commissions would need to be returned to the reinsurers. Reinsurance contracts are typically effective from January 1 through December 31 each year.</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Intercompany Reinsurance Pooling Arrangement</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the year ended December 31, 2022, the pooling share percentages by insurance company were:</w:t>
      </w:r>
    </w:p>
    <w:tbl>
      <w:tblPr>
        <w:tblW w:w="5949" w:type="dxa"/>
        <w:jc w:val="left"/>
        <w:tblInd w:w="0" w:type="dxa"/>
        <w:tblLayout w:type="fixed"/>
        <w:tblCellMar>
          <w:top w:w="0" w:type="dxa"/>
          <w:left w:w="0" w:type="dxa"/>
          <w:bottom w:w="0" w:type="dxa"/>
          <w:right w:w="0" w:type="dxa"/>
        </w:tblCellMar>
      </w:tblPr>
      <w:tblGrid>
        <w:gridCol w:w="4160"/>
        <w:gridCol w:w="60"/>
        <w:gridCol w:w="158"/>
        <w:gridCol w:w="1496"/>
        <w:gridCol w:w="7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Pool Percentage</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Nodak Insurance Company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66.0%</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American West Insurance Company</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Primero Insurance Company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3.0%</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Battle Creek Mutual Insurance Company</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Direct Auto Insurance Company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13.0%</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Westminster American Insurance Company</w:t>
            </w:r>
          </w:p>
        </w:tc>
        <w:tc>
          <w:tcPr>
            <w:tcW w:w="60" w:type="dxa"/>
            <w:tcBorders/>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1496" w:type="dxa"/>
            <w:tcBorders>
              <w:bottom w:val="single" w:sz="8" w:space="0" w:color="000000"/>
            </w:tcBorders>
            <w:tcMar>
              <w:bottom w:w="28" w:type="dxa"/>
            </w:tcMar>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6"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b/>
                <w:sz w:val="20"/>
              </w:rPr>
            </w:pPr>
            <w:r>
              <w:rPr>
                <w:b/>
                <w:sz w:val="20"/>
              </w:rPr>
              <w:t>6.</w:t>
            </w:r>
          </w:p>
        </w:tc>
        <w:tc>
          <w:tcPr>
            <w:tcW w:w="9626" w:type="dxa"/>
            <w:tcBorders/>
            <w:vAlign w:val="center"/>
          </w:tcPr>
          <w:p>
            <w:pPr>
              <w:pStyle w:val="TableContents"/>
              <w:bidi w:val="0"/>
              <w:spacing w:before="0" w:after="283"/>
              <w:jc w:val="left"/>
              <w:rPr>
                <w:b/>
              </w:rPr>
            </w:pPr>
            <w:r>
              <w:rPr>
                <w:b/>
              </w:rPr>
              <w:t>Deferred Policy Acquisition Costs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tbl>
      <w:tblPr>
        <w:tblW w:w="10205" w:type="dxa"/>
        <w:jc w:val="left"/>
        <w:tblInd w:w="0" w:type="dxa"/>
        <w:tblLayout w:type="fixed"/>
        <w:tblCellMar>
          <w:top w:w="0" w:type="dxa"/>
          <w:left w:w="0" w:type="dxa"/>
          <w:bottom w:w="0" w:type="dxa"/>
          <w:right w:w="0" w:type="dxa"/>
        </w:tblCellMar>
      </w:tblPr>
      <w:tblGrid>
        <w:gridCol w:w="3609"/>
        <w:gridCol w:w="60"/>
        <w:gridCol w:w="229"/>
        <w:gridCol w:w="1235"/>
        <w:gridCol w:w="154"/>
        <w:gridCol w:w="97"/>
        <w:gridCol w:w="229"/>
        <w:gridCol w:w="1235"/>
        <w:gridCol w:w="95"/>
        <w:gridCol w:w="60"/>
        <w:gridCol w:w="222"/>
        <w:gridCol w:w="1199"/>
        <w:gridCol w:w="150"/>
        <w:gridCol w:w="94"/>
        <w:gridCol w:w="222"/>
        <w:gridCol w:w="1199"/>
        <w:gridCol w:w="116"/>
      </w:tblGrid>
      <w:tr>
        <w:trPr/>
        <w:tc>
          <w:tcPr>
            <w:tcW w:w="3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6" w:type="dxa"/>
            <w:tcBorders/>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jc w:val="left"/>
              <w:rPr/>
            </w:pPr>
            <w:r>
              <w:rPr/>
              <w:t> </w:t>
            </w:r>
          </w:p>
        </w:tc>
      </w:tr>
      <w:tr>
        <w:trPr/>
        <w:tc>
          <w:tcPr>
            <w:tcW w:w="3609"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34,124</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30,917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29,768</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24,947</w:t>
            </w:r>
          </w:p>
        </w:tc>
        <w:tc>
          <w:tcPr>
            <w:tcW w:w="116" w:type="dxa"/>
            <w:tcBorders/>
            <w:shd w:fill="CCEEFF" w:val="clear"/>
            <w:vAlign w:val="center"/>
          </w:tcPr>
          <w:p>
            <w:pPr>
              <w:pStyle w:val="TableContents"/>
              <w:bidi w:val="0"/>
              <w:spacing w:before="0" w:after="283"/>
              <w:jc w:val="left"/>
              <w:rPr/>
            </w:pPr>
            <w:r>
              <w:rPr/>
              <w:t> </w:t>
            </w:r>
          </w:p>
        </w:tc>
      </w:tr>
      <w:tr>
        <w:trPr/>
        <w:tc>
          <w:tcPr>
            <w:tcW w:w="3609" w:type="dxa"/>
            <w:tcBorders/>
            <w:vAlign w:val="center"/>
          </w:tcPr>
          <w:p>
            <w:pPr>
              <w:pStyle w:val="TableContents"/>
              <w:bidi w:val="0"/>
              <w:spacing w:before="0" w:after="283"/>
              <w:jc w:val="left"/>
              <w:rPr/>
            </w:pPr>
            <w:r>
              <w:rPr/>
              <w:t>Deferral of policy acquisition costs</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18,415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16,491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61,938</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54,328</w:t>
            </w:r>
          </w:p>
        </w:tc>
        <w:tc>
          <w:tcPr>
            <w:tcW w:w="116" w:type="dxa"/>
            <w:tcBorders/>
            <w:vAlign w:val="center"/>
          </w:tcPr>
          <w:p>
            <w:pPr>
              <w:pStyle w:val="TableContents"/>
              <w:bidi w:val="0"/>
              <w:spacing w:before="0" w:after="283"/>
              <w:jc w:val="left"/>
              <w:rPr/>
            </w:pPr>
            <w:r>
              <w:rPr/>
              <w:t> </w:t>
            </w:r>
          </w:p>
        </w:tc>
      </w:tr>
      <w:tr>
        <w:trPr/>
        <w:tc>
          <w:tcPr>
            <w:tcW w:w="3609"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(20,362</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(17,589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(59,529</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(49,456</w:t>
            </w:r>
          </w:p>
        </w:tc>
        <w:tc>
          <w:tcPr>
            <w:tcW w:w="116" w:type="dxa"/>
            <w:tcBorders/>
            <w:shd w:fill="CCEEFF" w:val="clear"/>
            <w:vAlign w:val="center"/>
          </w:tcPr>
          <w:p>
            <w:pPr>
              <w:pStyle w:val="TableContents"/>
              <w:bidi w:val="0"/>
              <w:spacing w:before="0" w:after="283"/>
              <w:jc w:val="left"/>
              <w:rPr/>
            </w:pPr>
            <w:r>
              <w:rPr/>
              <w:t>)</w:t>
            </w:r>
          </w:p>
        </w:tc>
      </w:tr>
      <w:tr>
        <w:trPr/>
        <w:tc>
          <w:tcPr>
            <w:tcW w:w="3609" w:type="dxa"/>
            <w:tcBorders/>
            <w:vAlign w:val="center"/>
          </w:tcPr>
          <w:p>
            <w:pPr>
              <w:pStyle w:val="TableContents"/>
              <w:bidi w:val="0"/>
              <w:spacing w:before="0" w:after="283"/>
              <w:jc w:val="left"/>
              <w:rPr/>
            </w:pPr>
            <w:r>
              <w:rPr/>
              <w:t>Balance, end of period</w:t>
            </w:r>
          </w:p>
        </w:tc>
        <w:tc>
          <w:tcPr>
            <w:tcW w:w="60" w:type="dxa"/>
            <w:tcBorders/>
            <w:vAlign w:val="center"/>
          </w:tcPr>
          <w:p>
            <w:pPr>
              <w:pStyle w:val="TableContents"/>
              <w:bidi w:val="0"/>
              <w:spacing w:before="0" w:after="283"/>
              <w:jc w:val="left"/>
              <w:rPr/>
            </w:pPr>
            <w:r>
              <w:rPr/>
              <w:t> </w:t>
            </w:r>
          </w:p>
        </w:tc>
        <w:tc>
          <w:tcPr>
            <w:tcW w:w="229" w:type="dxa"/>
            <w:tcBorders>
              <w:bottom w:val="double" w:sz="6" w:space="0" w:color="000000"/>
            </w:tcBorders>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32,177</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9" w:type="dxa"/>
            <w:tcBorders>
              <w:bottom w:val="double" w:sz="6" w:space="0" w:color="000000"/>
            </w:tcBorders>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29,819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bottom w:val="double" w:sz="6" w:space="0" w:color="000000"/>
            </w:tcBorders>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tcMar>
              <w:bottom w:w="28" w:type="dxa"/>
            </w:tcMar>
            <w:vAlign w:val="center"/>
          </w:tcPr>
          <w:p>
            <w:pPr>
              <w:pStyle w:val="TableContents"/>
              <w:bidi w:val="0"/>
              <w:spacing w:before="0" w:after="283"/>
              <w:jc w:val="right"/>
              <w:rPr/>
            </w:pPr>
            <w:r>
              <w:rPr/>
              <w:t>32,177</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2" w:type="dxa"/>
            <w:tcBorders>
              <w:bottom w:val="double" w:sz="6" w:space="0" w:color="000000"/>
            </w:tcBorders>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tcMar>
              <w:bottom w:w="28" w:type="dxa"/>
            </w:tcMar>
            <w:vAlign w:val="center"/>
          </w:tcPr>
          <w:p>
            <w:pPr>
              <w:pStyle w:val="TableContents"/>
              <w:bidi w:val="0"/>
              <w:spacing w:before="0" w:after="283"/>
              <w:jc w:val="right"/>
              <w:rPr/>
            </w:pPr>
            <w:r>
              <w:rPr/>
              <w:t>29,819</w:t>
            </w:r>
          </w:p>
        </w:tc>
        <w:tc>
          <w:tcPr>
            <w:tcW w:w="116" w:type="dxa"/>
            <w:tcBorders/>
            <w:vAlign w:val="center"/>
          </w:tcPr>
          <w:p>
            <w:pPr>
              <w:pStyle w:val="TableContents"/>
              <w:bidi w:val="0"/>
              <w:spacing w:before="0" w:after="283"/>
              <w:jc w:val="left"/>
              <w:rPr/>
            </w:pPr>
            <w:r>
              <w:rPr/>
              <w:t> </w:t>
            </w:r>
          </w:p>
        </w:tc>
      </w:tr>
    </w:tbl>
    <w:tbl>
      <w:tblPr>
        <w:tblW w:w="4998" w:type="dxa"/>
        <w:jc w:val="left"/>
        <w:tblInd w:w="0" w:type="dxa"/>
        <w:tblLayout w:type="fixed"/>
        <w:tblCellMar>
          <w:top w:w="0" w:type="dxa"/>
          <w:left w:w="0" w:type="dxa"/>
          <w:bottom w:w="0" w:type="dxa"/>
          <w:right w:w="0" w:type="dxa"/>
        </w:tblCellMar>
      </w:tblPr>
      <w:tblGrid>
        <w:gridCol w:w="38"/>
        <w:gridCol w:w="20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4760" w:type="dxa"/>
            <w:tcBorders/>
            <w:vAlign w:val="center"/>
          </w:tcPr>
          <w:p>
            <w:pPr>
              <w:pStyle w:val="TableContents"/>
              <w:bidi w:val="0"/>
              <w:spacing w:before="0" w:after="283"/>
              <w:jc w:val="left"/>
              <w:rPr>
                <w:b/>
              </w:rPr>
            </w:pPr>
            <w:r>
              <w:rPr>
                <w:b/>
              </w:rPr>
              <w:t>Unpaid Losses and Loss Adjustment Expenses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liability for unpaid losses and loss adjustment expenses is summarized as follows:</w:t>
      </w:r>
    </w:p>
    <w:tbl>
      <w:tblPr>
        <w:tblW w:w="9058" w:type="dxa"/>
        <w:jc w:val="left"/>
        <w:tblInd w:w="0" w:type="dxa"/>
        <w:tblLayout w:type="fixed"/>
        <w:tblCellMar>
          <w:top w:w="0" w:type="dxa"/>
          <w:left w:w="0" w:type="dxa"/>
          <w:bottom w:w="0" w:type="dxa"/>
          <w:right w:w="0" w:type="dxa"/>
        </w:tblCellMar>
      </w:tblPr>
      <w:tblGrid>
        <w:gridCol w:w="5300"/>
        <w:gridCol w:w="60"/>
        <w:gridCol w:w="251"/>
        <w:gridCol w:w="1436"/>
        <w:gridCol w:w="107"/>
        <w:gridCol w:w="107"/>
        <w:gridCol w:w="251"/>
        <w:gridCol w:w="1436"/>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Liability for unpaid losses and loss adjustment expenses</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436" w:type="dxa"/>
            <w:tcBorders/>
            <w:vAlign w:val="center"/>
          </w:tcPr>
          <w:p>
            <w:pPr>
              <w:pStyle w:val="TableContents"/>
              <w:bidi w:val="0"/>
              <w:spacing w:before="0" w:after="283"/>
              <w:jc w:val="right"/>
              <w:rPr/>
            </w:pPr>
            <w:r>
              <w:rPr/>
              <w:t>190,459</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436" w:type="dxa"/>
            <w:tcBorders/>
            <w:vAlign w:val="center"/>
          </w:tcPr>
          <w:p>
            <w:pPr>
              <w:pStyle w:val="TableContents"/>
              <w:bidi w:val="0"/>
              <w:spacing w:before="0" w:after="283"/>
              <w:jc w:val="right"/>
              <w:rPr/>
            </w:pPr>
            <w:r>
              <w:rPr/>
              <w:t>139,662</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37,575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21,200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Net balance, beginning of period</w:t>
            </w:r>
          </w:p>
        </w:tc>
        <w:tc>
          <w:tcPr>
            <w:tcW w:w="60"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152,884</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118,462</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Incurred related to:</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180,895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234,823</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Prior years</w:t>
            </w:r>
          </w:p>
        </w:tc>
        <w:tc>
          <w:tcPr>
            <w:tcW w:w="60"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19,000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(7,182</w:t>
            </w:r>
          </w:p>
        </w:tc>
        <w:tc>
          <w:tcPr>
            <w:tcW w:w="110" w:type="dxa"/>
            <w:tcBorders/>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left"/>
              <w:rPr/>
            </w:pPr>
            <w:r>
              <w:rPr/>
              <w:t>Total incurred</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199,895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227,641</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Paid related to:</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Current year</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91,979</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141,810</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Prior years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76,842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51,346</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Total paid</w:t>
            </w:r>
          </w:p>
        </w:tc>
        <w:tc>
          <w:tcPr>
            <w:tcW w:w="60"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168,821</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193,156</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Balance, end of period:</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240,748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185,937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Reinsurance recoverables on losses</w:t>
            </w:r>
          </w:p>
        </w:tc>
        <w:tc>
          <w:tcPr>
            <w:tcW w:w="60"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56,790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83"/>
              <w:jc w:val="right"/>
              <w:rPr/>
            </w:pPr>
            <w:r>
              <w:rPr/>
              <w:t>32,990</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end of period</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6" w:type="dxa"/>
            <w:tcBorders>
              <w:bottom w:val="double" w:sz="6" w:space="0" w:color="000000"/>
            </w:tcBorders>
            <w:shd w:fill="CCEEFF" w:val="clear"/>
            <w:tcMar>
              <w:bottom w:w="28" w:type="dxa"/>
            </w:tcMar>
            <w:vAlign w:val="center"/>
          </w:tcPr>
          <w:p>
            <w:pPr>
              <w:pStyle w:val="TableContents"/>
              <w:bidi w:val="0"/>
              <w:spacing w:before="0" w:after="283"/>
              <w:jc w:val="right"/>
              <w:rPr/>
            </w:pPr>
            <w:r>
              <w:rPr/>
              <w:t>183,958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6" w:type="dxa"/>
            <w:tcBorders>
              <w:bottom w:val="double" w:sz="6" w:space="0" w:color="000000"/>
            </w:tcBorders>
            <w:shd w:fill="CCEEFF" w:val="clear"/>
            <w:tcMar>
              <w:bottom w:w="28" w:type="dxa"/>
            </w:tcMar>
            <w:vAlign w:val="center"/>
          </w:tcPr>
          <w:p>
            <w:pPr>
              <w:pStyle w:val="TableContents"/>
              <w:bidi w:val="0"/>
              <w:spacing w:before="0" w:after="283"/>
              <w:jc w:val="right"/>
              <w:rPr/>
            </w:pPr>
            <w:r>
              <w:rPr/>
              <w:t>152,947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ind w:left="15" w:right="15"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the Company’s incurred reported losses and loss adjustment expenses included $19,000 of net unfavorable development on prior accident years. The net unfavorable development was primarily attributable to Direct Auto and Westminster, partially offset by net favorable development on prior accident years for Nodak Insurance, American West, and Battle Creek. During the nine months ended September 30, 2022, the Company’s incurred reported losses and loss adjustment expenses included $7,182 of net favorable development on prior accident years, primarily attributable to Battle Creek and American West.</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16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2600" w:type="dxa"/>
            <w:tcBorders/>
            <w:vAlign w:val="center"/>
          </w:tcPr>
          <w:p>
            <w:pPr>
              <w:pStyle w:val="TableContents"/>
              <w:bidi w:val="0"/>
              <w:spacing w:before="0" w:after="283"/>
              <w:jc w:val="left"/>
              <w:rPr>
                <w:b/>
              </w:rPr>
            </w:pPr>
            <w:r>
              <w:rPr>
                <w:b/>
              </w:rPr>
              <w:t>Property and Equipment</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tbl>
      <w:tblPr>
        <w:tblW w:w="10123" w:type="dxa"/>
        <w:jc w:val="left"/>
        <w:tblInd w:w="0" w:type="dxa"/>
        <w:tblLayout w:type="fixed"/>
        <w:tblCellMar>
          <w:top w:w="0" w:type="dxa"/>
          <w:left w:w="0" w:type="dxa"/>
          <w:bottom w:w="0" w:type="dxa"/>
          <w:right w:w="0" w:type="dxa"/>
        </w:tblCellMar>
      </w:tblPr>
      <w:tblGrid>
        <w:gridCol w:w="3560"/>
        <w:gridCol w:w="60"/>
        <w:gridCol w:w="314"/>
        <w:gridCol w:w="1700"/>
        <w:gridCol w:w="95"/>
        <w:gridCol w:w="60"/>
        <w:gridCol w:w="305"/>
        <w:gridCol w:w="1649"/>
        <w:gridCol w:w="95"/>
        <w:gridCol w:w="60"/>
        <w:gridCol w:w="222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3560"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vAlign w:val="center"/>
          </w:tcPr>
          <w:p>
            <w:pPr>
              <w:pStyle w:val="TableContents"/>
              <w:bidi w:val="0"/>
              <w:spacing w:before="0" w:after="283"/>
              <w:jc w:val="left"/>
              <w:rPr/>
            </w:pPr>
            <w:r>
              <w:rPr/>
              <w:t>Land</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1,403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49" w:type="dxa"/>
            <w:tcBorders/>
            <w:vAlign w:val="center"/>
          </w:tcPr>
          <w:p>
            <w:pPr>
              <w:pStyle w:val="TableContents"/>
              <w:bidi w:val="0"/>
              <w:spacing w:before="0" w:after="283"/>
              <w:jc w:val="right"/>
              <w:rPr/>
            </w:pPr>
            <w:r>
              <w:rPr/>
              <w:t>1,403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indefinite</w:t>
            </w:r>
          </w:p>
        </w:tc>
      </w:tr>
      <w:tr>
        <w:trPr/>
        <w:tc>
          <w:tcPr>
            <w:tcW w:w="3560" w:type="dxa"/>
            <w:tcBorders/>
            <w:shd w:fill="CCEEFF" w:val="clear"/>
            <w:vAlign w:val="center"/>
          </w:tcPr>
          <w:p>
            <w:pPr>
              <w:pStyle w:val="TableContents"/>
              <w:bidi w:val="0"/>
              <w:spacing w:before="0" w:after="283"/>
              <w:jc w:val="left"/>
              <w:rPr/>
            </w:pPr>
            <w:r>
              <w:rPr/>
              <w:t>Building and improvements</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14,538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14,271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10 – 43 years</w:t>
            </w:r>
          </w:p>
        </w:tc>
      </w:tr>
      <w:tr>
        <w:trPr/>
        <w:tc>
          <w:tcPr>
            <w:tcW w:w="3560" w:type="dxa"/>
            <w:tcBorders/>
            <w:vAlign w:val="center"/>
          </w:tcPr>
          <w:p>
            <w:pPr>
              <w:pStyle w:val="TableContents"/>
              <w:bidi w:val="0"/>
              <w:spacing w:before="0" w:after="283"/>
              <w:jc w:val="left"/>
              <w:rPr/>
            </w:pPr>
            <w:r>
              <w:rPr/>
              <w:t>Electronic data processing equipment</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1,637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1,310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5 – 7 years</w:t>
            </w:r>
          </w:p>
        </w:tc>
      </w:tr>
      <w:tr>
        <w:trPr/>
        <w:tc>
          <w:tcPr>
            <w:tcW w:w="3560"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3,034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5 – 7 years</w:t>
            </w:r>
          </w:p>
        </w:tc>
      </w:tr>
      <w:tr>
        <w:trPr/>
        <w:tc>
          <w:tcPr>
            <w:tcW w:w="3560" w:type="dxa"/>
            <w:tcBorders/>
            <w:vAlign w:val="center"/>
          </w:tcPr>
          <w:p>
            <w:pPr>
              <w:pStyle w:val="TableContents"/>
              <w:bidi w:val="0"/>
              <w:spacing w:before="0" w:after="283"/>
              <w:jc w:val="left"/>
              <w:rPr/>
            </w:pPr>
            <w:r>
              <w:rPr/>
              <w:t>Automobiles</w:t>
            </w:r>
          </w:p>
        </w:tc>
        <w:tc>
          <w:tcPr>
            <w:tcW w:w="60" w:type="dxa"/>
            <w:tcBorders/>
            <w:vAlign w:val="center"/>
          </w:tcPr>
          <w:p>
            <w:pPr>
              <w:pStyle w:val="TableContents"/>
              <w:bidi w:val="0"/>
              <w:spacing w:before="0" w:after="283"/>
              <w:jc w:val="left"/>
              <w:rPr/>
            </w:pPr>
            <w:r>
              <w:rPr/>
              <w:t> </w:t>
            </w:r>
          </w:p>
        </w:tc>
        <w:tc>
          <w:tcPr>
            <w:tcW w:w="314"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right"/>
              <w:rPr/>
            </w:pPr>
            <w:r>
              <w:rPr/>
              <w:t>1,317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tcMar>
              <w:bottom w:w="28" w:type="dxa"/>
            </w:tcMar>
            <w:vAlign w:val="center"/>
          </w:tcPr>
          <w:p>
            <w:pPr>
              <w:pStyle w:val="TableContents"/>
              <w:bidi w:val="0"/>
              <w:spacing w:before="0" w:after="283"/>
              <w:jc w:val="right"/>
              <w:rPr/>
            </w:pPr>
            <w:r>
              <w:rPr/>
              <w:t>1,310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2 – 3 years</w:t>
            </w:r>
          </w:p>
        </w:tc>
      </w:tr>
      <w:tr>
        <w:trPr/>
        <w:tc>
          <w:tcPr>
            <w:tcW w:w="3560" w:type="dxa"/>
            <w:tcBorders/>
            <w:shd w:fill="CCEEFF" w:val="clear"/>
            <w:vAlign w:val="center"/>
          </w:tcPr>
          <w:p>
            <w:pPr>
              <w:pStyle w:val="TableContents"/>
              <w:bidi w:val="0"/>
              <w:spacing w:before="0" w:after="283"/>
              <w:jc w:val="left"/>
              <w:rPr/>
            </w:pPr>
            <w:r>
              <w:rPr/>
              <w:t>Gross cost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21,929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21,213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CCEEFF" w:val="clear"/>
            <w:tcMar>
              <w:bottom w:w="28" w:type="dxa"/>
            </w:tcMar>
            <w:vAlign w:val="center"/>
          </w:tcPr>
          <w:p>
            <w:pPr>
              <w:pStyle w:val="TableContents"/>
              <w:bidi w:val="0"/>
              <w:spacing w:before="0" w:after="283"/>
              <w:jc w:val="right"/>
              <w:rPr/>
            </w:pPr>
            <w:r>
              <w:rPr/>
              <w:t>(11,729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(11,370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vAlign w:val="center"/>
          </w:tcPr>
          <w:p>
            <w:pPr>
              <w:pStyle w:val="TableContents"/>
              <w:bidi w:val="0"/>
              <w:spacing w:before="0" w:after="283"/>
              <w:jc w:val="left"/>
              <w:rPr/>
            </w:pPr>
            <w:r>
              <w:rPr/>
              <w:t>Total property and equipment, net</w:t>
            </w:r>
          </w:p>
        </w:tc>
        <w:tc>
          <w:tcPr>
            <w:tcW w:w="60" w:type="dxa"/>
            <w:tcBorders/>
            <w:vAlign w:val="center"/>
          </w:tcPr>
          <w:p>
            <w:pPr>
              <w:pStyle w:val="TableContents"/>
              <w:bidi w:val="0"/>
              <w:spacing w:before="0" w:after="283"/>
              <w:jc w:val="left"/>
              <w:rPr/>
            </w:pPr>
            <w:r>
              <w:rPr/>
              <w:t> </w:t>
            </w:r>
          </w:p>
        </w:tc>
        <w:tc>
          <w:tcPr>
            <w:tcW w:w="314" w:type="dxa"/>
            <w:tcBorders>
              <w:bottom w:val="double" w:sz="6" w:space="0" w:color="000000"/>
            </w:tcBorders>
            <w:tcMar>
              <w:bottom w:w="28" w:type="dxa"/>
            </w:tcMar>
            <w:vAlign w:val="center"/>
          </w:tcPr>
          <w:p>
            <w:pPr>
              <w:pStyle w:val="TableContents"/>
              <w:bidi w:val="0"/>
              <w:spacing w:before="0" w:after="283"/>
              <w:jc w:val="left"/>
              <w:rPr/>
            </w:pPr>
            <w:r>
              <w:rPr/>
              <w:t>$</w:t>
            </w:r>
          </w:p>
        </w:tc>
        <w:tc>
          <w:tcPr>
            <w:tcW w:w="1700" w:type="dxa"/>
            <w:tcBorders>
              <w:bottom w:val="double" w:sz="6" w:space="0" w:color="000000"/>
            </w:tcBorders>
            <w:tcMar>
              <w:bottom w:w="28" w:type="dxa"/>
            </w:tcMar>
            <w:vAlign w:val="center"/>
          </w:tcPr>
          <w:p>
            <w:pPr>
              <w:pStyle w:val="TableContents"/>
              <w:bidi w:val="0"/>
              <w:spacing w:before="0" w:after="283"/>
              <w:jc w:val="right"/>
              <w:rPr/>
            </w:pPr>
            <w:r>
              <w:rPr/>
              <w:t>10,200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bottom w:val="double" w:sz="6" w:space="0" w:color="000000"/>
            </w:tcBorders>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tcMar>
              <w:bottom w:w="28" w:type="dxa"/>
            </w:tcMar>
            <w:vAlign w:val="center"/>
          </w:tcPr>
          <w:p>
            <w:pPr>
              <w:pStyle w:val="TableContents"/>
              <w:bidi w:val="0"/>
              <w:spacing w:before="0" w:after="283"/>
              <w:jc w:val="right"/>
              <w:rPr/>
            </w:pPr>
            <w:r>
              <w:rPr/>
              <w:t>9,843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ind w:left="0" w:right="0" w:hanging="216"/>
              <w:jc w:val="righ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right"/>
              <w:rPr/>
            </w:pPr>
            <w:r>
              <w:rPr/>
              <w:t> </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$188 and $174 for the three months ended September 30, 2023 and 2022, respectively, and $558 and $517 for the nine months ended September 30, 2023 and 2022, respectively.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3245" w:type="dxa"/>
            <w:tcBorders/>
            <w:vAlign w:val="center"/>
          </w:tcPr>
          <w:p>
            <w:pPr>
              <w:pStyle w:val="TableContents"/>
              <w:bidi w:val="0"/>
              <w:spacing w:before="0" w:after="283"/>
              <w:jc w:val="left"/>
              <w:rPr>
                <w:b/>
              </w:rPr>
            </w:pPr>
            <w:r>
              <w:rPr>
                <w:b/>
              </w:rPr>
              <w:t>Goodwill and Other Intangibles</w:t>
            </w:r>
          </w:p>
        </w:tc>
      </w:tr>
    </w:tbl>
    <w:p>
      <w:pPr>
        <w:pStyle w:val="TextBody"/>
        <w:bidi w:val="0"/>
        <w:spacing w:before="0" w:after="20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 of the Company’s goodwill by segment:</w:t>
      </w:r>
    </w:p>
    <w:tbl>
      <w:tblPr>
        <w:tblW w:w="8670" w:type="dxa"/>
        <w:jc w:val="left"/>
        <w:tblInd w:w="0" w:type="dxa"/>
        <w:tblLayout w:type="fixed"/>
        <w:tblCellMar>
          <w:top w:w="0" w:type="dxa"/>
          <w:left w:w="0" w:type="dxa"/>
          <w:bottom w:w="0" w:type="dxa"/>
          <w:right w:w="0" w:type="dxa"/>
        </w:tblCellMar>
      </w:tblPr>
      <w:tblGrid>
        <w:gridCol w:w="4445"/>
        <w:gridCol w:w="60"/>
        <w:gridCol w:w="403"/>
        <w:gridCol w:w="1612"/>
        <w:gridCol w:w="60"/>
        <w:gridCol w:w="60"/>
        <w:gridCol w:w="391"/>
        <w:gridCol w:w="1564"/>
        <w:gridCol w:w="7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Non-standard auto from acquisition of Primero</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2,628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2,628</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Commercial from acquisition of Westminster</w:t>
            </w:r>
          </w:p>
        </w:tc>
        <w:tc>
          <w:tcPr>
            <w:tcW w:w="60" w:type="dxa"/>
            <w:tcBorders/>
            <w:vAlign w:val="center"/>
          </w:tcPr>
          <w:p>
            <w:pPr>
              <w:pStyle w:val="TableContents"/>
              <w:bidi w:val="0"/>
              <w:spacing w:before="0" w:after="283"/>
              <w:jc w:val="left"/>
              <w:rPr/>
            </w:pPr>
            <w:r>
              <w:rPr/>
              <w:t> </w:t>
            </w:r>
          </w:p>
        </w:tc>
        <w:tc>
          <w:tcPr>
            <w:tcW w:w="403" w:type="dxa"/>
            <w:tcBorders>
              <w:bottom w:val="single" w:sz="8" w:space="0" w:color="000000"/>
            </w:tcBorders>
            <w:tcMar>
              <w:bottom w:w="28" w:type="dxa"/>
            </w:tcMar>
            <w:vAlign w:val="center"/>
          </w:tcPr>
          <w:p>
            <w:pPr>
              <w:pStyle w:val="TableContents"/>
              <w:bidi w:val="0"/>
              <w:spacing w:before="0" w:after="283"/>
              <w:jc w:val="left"/>
              <w:rPr/>
            </w:pPr>
            <w:r>
              <w:rPr/>
              <w:t> </w:t>
            </w:r>
          </w:p>
        </w:tc>
        <w:tc>
          <w:tcPr>
            <w:tcW w:w="1612" w:type="dxa"/>
            <w:tcBorders>
              <w:bottom w:val="single" w:sz="8" w:space="0" w:color="000000"/>
            </w:tcBorders>
            <w:tcMar>
              <w:bottom w:w="28" w:type="dxa"/>
            </w:tcMar>
            <w:vAlign w:val="center"/>
          </w:tcPr>
          <w:p>
            <w:pPr>
              <w:pStyle w:val="TableContents"/>
              <w:bidi w:val="0"/>
              <w:spacing w:before="0" w:after="283"/>
              <w:jc w:val="right"/>
              <w:rPr/>
            </w:pPr>
            <w:r>
              <w:rPr/>
              <w:t>6,756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bottom w:val="single" w:sz="8" w:space="0" w:color="000000"/>
            </w:tcBorders>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tcMar>
              <w:bottom w:w="28" w:type="dxa"/>
            </w:tcMar>
            <w:vAlign w:val="center"/>
          </w:tcPr>
          <w:p>
            <w:pPr>
              <w:pStyle w:val="TableContents"/>
              <w:bidi w:val="0"/>
              <w:spacing w:before="0" w:after="283"/>
              <w:jc w:val="right"/>
              <w:rPr/>
            </w:pPr>
            <w:r>
              <w:rPr/>
              <w:t>6,756</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shd w:fill="CCEEFF" w:val="clear"/>
            <w:tcMar>
              <w:bottom w:w="28" w:type="dxa"/>
            </w:tcMar>
            <w:vAlign w:val="center"/>
          </w:tcPr>
          <w:p>
            <w:pPr>
              <w:pStyle w:val="TableContents"/>
              <w:bidi w:val="0"/>
              <w:spacing w:before="0" w:after="283"/>
              <w:jc w:val="right"/>
              <w:rPr/>
            </w:pPr>
            <w:r>
              <w:rPr/>
              <w:t>9,384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9,384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120" w:after="120"/>
        <w:ind w:left="14" w:right="14" w:firstLine="706"/>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Intangible Assets</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 of the Company’s other intangible assets:</w:t>
      </w:r>
    </w:p>
    <w:tbl>
      <w:tblPr>
        <w:tblW w:w="6835" w:type="dxa"/>
        <w:jc w:val="left"/>
        <w:tblInd w:w="0" w:type="dxa"/>
        <w:tblLayout w:type="fixed"/>
        <w:tblCellMar>
          <w:top w:w="0" w:type="dxa"/>
          <w:left w:w="0" w:type="dxa"/>
          <w:bottom w:w="28" w:type="dxa"/>
          <w:right w:w="0" w:type="dxa"/>
        </w:tblCellMar>
      </w:tblPr>
      <w:tblGrid>
        <w:gridCol w:w="2720"/>
        <w:gridCol w:w="60"/>
        <w:gridCol w:w="322"/>
        <w:gridCol w:w="1288"/>
        <w:gridCol w:w="60"/>
        <w:gridCol w:w="60"/>
        <w:gridCol w:w="286"/>
        <w:gridCol w:w="1144"/>
        <w:gridCol w:w="60"/>
        <w:gridCol w:w="60"/>
        <w:gridCol w:w="140"/>
        <w:gridCol w:w="560"/>
        <w:gridCol w:w="75"/>
      </w:tblGrid>
      <w:tr>
        <w:trPr/>
        <w:tc>
          <w:tcPr>
            <w:tcW w:w="2720" w:type="dxa"/>
            <w:tcBorders>
              <w:bottom w:val="single" w:sz="8" w:space="0" w:color="000000"/>
            </w:tcBorders>
            <w:vAlign w:val="center"/>
          </w:tcPr>
          <w:p>
            <w:pPr>
              <w:pStyle w:val="TableContents"/>
              <w:bidi w:val="0"/>
              <w:spacing w:before="0" w:after="283"/>
              <w:jc w:val="left"/>
              <w:rPr>
                <w:b/>
              </w:rPr>
            </w:pPr>
            <w:r>
              <w:rPr>
                <w:b/>
              </w:rPr>
              <w:t>September 30, 2023</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Gross Carrying</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Net</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Subject to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Trade names</w:t>
            </w:r>
          </w:p>
        </w:tc>
        <w:tc>
          <w:tcPr>
            <w:tcW w:w="6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w:t>
            </w:r>
          </w:p>
        </w:tc>
        <w:tc>
          <w:tcPr>
            <w:tcW w:w="1288" w:type="dxa"/>
            <w:tcBorders/>
            <w:tcMar>
              <w:bottom w:w="0" w:type="dxa"/>
            </w:tcMar>
            <w:vAlign w:val="center"/>
          </w:tcPr>
          <w:p>
            <w:pPr>
              <w:pStyle w:val="TableContents"/>
              <w:bidi w:val="0"/>
              <w:spacing w:before="0" w:after="283"/>
              <w:jc w:val="right"/>
              <w:rPr/>
            </w:pPr>
            <w:r>
              <w:rPr/>
              <w:t>748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6" w:type="dxa"/>
            <w:tcBorders/>
            <w:tcMar>
              <w:bottom w:w="0" w:type="dxa"/>
            </w:tcMar>
            <w:vAlign w:val="center"/>
          </w:tcPr>
          <w:p>
            <w:pPr>
              <w:pStyle w:val="TableContents"/>
              <w:bidi w:val="0"/>
              <w:spacing w:before="0" w:after="283"/>
              <w:jc w:val="left"/>
              <w:rPr/>
            </w:pPr>
            <w:r>
              <w:rPr/>
              <w:t>$</w:t>
            </w:r>
          </w:p>
        </w:tc>
        <w:tc>
          <w:tcPr>
            <w:tcW w:w="1144" w:type="dxa"/>
            <w:tcBorders/>
            <w:tcMar>
              <w:bottom w:w="0" w:type="dxa"/>
            </w:tcMar>
            <w:vAlign w:val="center"/>
          </w:tcPr>
          <w:p>
            <w:pPr>
              <w:pStyle w:val="TableContents"/>
              <w:bidi w:val="0"/>
              <w:spacing w:before="0" w:after="283"/>
              <w:jc w:val="right"/>
              <w:rPr/>
            </w:pPr>
            <w:r>
              <w:rPr/>
              <w:t>435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right"/>
              <w:rPr/>
            </w:pPr>
            <w:r>
              <w:rPr/>
              <w:t>313</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Distribution network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shd w:fill="CCEEFF" w:val="clear"/>
            <w:vAlign w:val="center"/>
          </w:tcPr>
          <w:p>
            <w:pPr>
              <w:pStyle w:val="TableContents"/>
              <w:bidi w:val="0"/>
              <w:spacing w:before="0" w:after="283"/>
              <w:jc w:val="left"/>
              <w:rPr/>
            </w:pPr>
            <w:r>
              <w:rPr/>
              <w:t> </w:t>
            </w:r>
          </w:p>
        </w:tc>
        <w:tc>
          <w:tcPr>
            <w:tcW w:w="1288" w:type="dxa"/>
            <w:tcBorders>
              <w:bottom w:val="single" w:sz="8" w:space="0" w:color="000000"/>
            </w:tcBorders>
            <w:shd w:fill="CCEEFF" w:val="clear"/>
            <w:vAlign w:val="center"/>
          </w:tcPr>
          <w:p>
            <w:pPr>
              <w:pStyle w:val="TableContents"/>
              <w:bidi w:val="0"/>
              <w:spacing w:before="0" w:after="283"/>
              <w:jc w:val="right"/>
              <w:rPr/>
            </w:pPr>
            <w:r>
              <w:rPr/>
              <w:t>6,700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CCEEFF" w:val="clear"/>
            <w:vAlign w:val="center"/>
          </w:tcPr>
          <w:p>
            <w:pPr>
              <w:pStyle w:val="TableContents"/>
              <w:bidi w:val="0"/>
              <w:spacing w:before="0" w:after="283"/>
              <w:jc w:val="left"/>
              <w:rPr/>
            </w:pPr>
            <w:r>
              <w:rPr/>
              <w:t> </w:t>
            </w:r>
          </w:p>
        </w:tc>
        <w:tc>
          <w:tcPr>
            <w:tcW w:w="1144" w:type="dxa"/>
            <w:tcBorders>
              <w:bottom w:val="single" w:sz="8" w:space="0" w:color="000000"/>
            </w:tcBorders>
            <w:shd w:fill="CCEEFF" w:val="clear"/>
            <w:vAlign w:val="center"/>
          </w:tcPr>
          <w:p>
            <w:pPr>
              <w:pStyle w:val="TableContents"/>
              <w:bidi w:val="0"/>
              <w:spacing w:before="0" w:after="283"/>
              <w:jc w:val="right"/>
              <w:rPr/>
            </w:pPr>
            <w:r>
              <w:rPr/>
              <w:t>1,396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5,304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Total subject to amortization</w:t>
            </w:r>
          </w:p>
        </w:tc>
        <w:tc>
          <w:tcPr>
            <w:tcW w:w="6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288" w:type="dxa"/>
            <w:tcBorders/>
            <w:tcMar>
              <w:bottom w:w="0" w:type="dxa"/>
            </w:tcMar>
            <w:vAlign w:val="center"/>
          </w:tcPr>
          <w:p>
            <w:pPr>
              <w:pStyle w:val="TableContents"/>
              <w:bidi w:val="0"/>
              <w:spacing w:before="0" w:after="283"/>
              <w:jc w:val="right"/>
              <w:rPr/>
            </w:pPr>
            <w:r>
              <w:rPr/>
              <w:t>7,448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6"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right"/>
              <w:rPr/>
            </w:pPr>
            <w:r>
              <w:rPr/>
              <w:t>1,831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5,617</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Not subject to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State insurance licenses</w:t>
            </w:r>
          </w:p>
        </w:tc>
        <w:tc>
          <w:tcPr>
            <w:tcW w:w="60" w:type="dxa"/>
            <w:tcBorders/>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vAlign w:val="center"/>
          </w:tcPr>
          <w:p>
            <w:pPr>
              <w:pStyle w:val="TableContents"/>
              <w:bidi w:val="0"/>
              <w:spacing w:before="0" w:after="283"/>
              <w:jc w:val="left"/>
              <w:rPr/>
            </w:pPr>
            <w:r>
              <w:rPr/>
              <w:t> </w:t>
            </w:r>
          </w:p>
        </w:tc>
        <w:tc>
          <w:tcPr>
            <w:tcW w:w="1288" w:type="dxa"/>
            <w:tcBorders>
              <w:bottom w:val="single" w:sz="8" w:space="0" w:color="000000"/>
            </w:tcBorders>
            <w:vAlign w:val="center"/>
          </w:tcPr>
          <w:p>
            <w:pPr>
              <w:pStyle w:val="TableContents"/>
              <w:bidi w:val="0"/>
              <w:spacing w:before="0" w:after="283"/>
              <w:jc w:val="right"/>
              <w:rPr/>
            </w:pPr>
            <w:r>
              <w:rPr/>
              <w:t>1,900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vAlign w:val="center"/>
          </w:tcPr>
          <w:p>
            <w:pPr>
              <w:pStyle w:val="TableContents"/>
              <w:bidi w:val="0"/>
              <w:spacing w:before="0" w:after="283"/>
              <w:jc w:val="left"/>
              <w:rPr/>
            </w:pPr>
            <w:r>
              <w:rPr/>
              <w:t> </w:t>
            </w:r>
          </w:p>
        </w:tc>
        <w:tc>
          <w:tcPr>
            <w:tcW w:w="1144" w:type="dxa"/>
            <w:tcBorders>
              <w:bottom w:val="single" w:sz="8"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right"/>
              <w:rPr/>
            </w:pPr>
            <w:r>
              <w:rPr/>
              <w:t>1,900</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double" w:sz="6" w:space="0" w:color="000000"/>
            </w:tcBorders>
            <w:shd w:fill="CCEEFF" w:val="clear"/>
            <w:vAlign w:val="center"/>
          </w:tcPr>
          <w:p>
            <w:pPr>
              <w:pStyle w:val="TableContents"/>
              <w:bidi w:val="0"/>
              <w:spacing w:before="0" w:after="283"/>
              <w:jc w:val="left"/>
              <w:rPr/>
            </w:pPr>
            <w:r>
              <w:rPr/>
              <w:t>$</w:t>
            </w:r>
          </w:p>
        </w:tc>
        <w:tc>
          <w:tcPr>
            <w:tcW w:w="1288" w:type="dxa"/>
            <w:tcBorders>
              <w:bottom w:val="double" w:sz="6" w:space="0" w:color="000000"/>
            </w:tcBorders>
            <w:shd w:fill="CCEEFF" w:val="clear"/>
            <w:vAlign w:val="center"/>
          </w:tcPr>
          <w:p>
            <w:pPr>
              <w:pStyle w:val="TableContents"/>
              <w:bidi w:val="0"/>
              <w:spacing w:before="0" w:after="283"/>
              <w:jc w:val="right"/>
              <w:rPr/>
            </w:pPr>
            <w:r>
              <w:rPr/>
              <w:t>9,348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double" w:sz="6" w:space="0" w:color="000000"/>
            </w:tcBorders>
            <w:shd w:fill="CCEEFF" w:val="clear"/>
            <w:vAlign w:val="center"/>
          </w:tcPr>
          <w:p>
            <w:pPr>
              <w:pStyle w:val="TableContents"/>
              <w:bidi w:val="0"/>
              <w:spacing w:before="0" w:after="283"/>
              <w:jc w:val="left"/>
              <w:rPr/>
            </w:pPr>
            <w:r>
              <w:rPr/>
              <w:t>$</w:t>
            </w:r>
          </w:p>
        </w:tc>
        <w:tc>
          <w:tcPr>
            <w:tcW w:w="1144" w:type="dxa"/>
            <w:tcBorders>
              <w:bottom w:val="double" w:sz="6" w:space="0" w:color="000000"/>
            </w:tcBorders>
            <w:shd w:fill="CCEEFF" w:val="clear"/>
            <w:vAlign w:val="center"/>
          </w:tcPr>
          <w:p>
            <w:pPr>
              <w:pStyle w:val="TableContents"/>
              <w:bidi w:val="0"/>
              <w:spacing w:before="0" w:after="283"/>
              <w:jc w:val="right"/>
              <w:rPr/>
            </w:pPr>
            <w:r>
              <w:rPr/>
              <w:t>1,831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560" w:type="dxa"/>
            <w:tcBorders>
              <w:bottom w:val="double" w:sz="6" w:space="0" w:color="000000"/>
            </w:tcBorders>
            <w:shd w:fill="CCEEFF" w:val="clear"/>
            <w:vAlign w:val="center"/>
          </w:tcPr>
          <w:p>
            <w:pPr>
              <w:pStyle w:val="TableContents"/>
              <w:bidi w:val="0"/>
              <w:spacing w:before="0" w:after="283"/>
              <w:jc w:val="right"/>
              <w:rPr/>
            </w:pPr>
            <w:r>
              <w:rPr/>
              <w:t>7,517</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288"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6"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ind w:left="14" w:right="14" w:firstLine="706"/>
        <w:jc w:val="left"/>
        <w:rPr>
          <w:caps w:val="false"/>
          <w:smallCaps w:val="false"/>
        </w:rPr>
      </w:pPr>
      <w:r>
        <w:rPr>
          <w:caps w:val="false"/>
          <w:smallCaps w:val="false"/>
        </w:rPr>
        <w:t> </w:t>
      </w:r>
    </w:p>
    <w:tbl>
      <w:tblPr>
        <w:tblW w:w="6775" w:type="dxa"/>
        <w:jc w:val="left"/>
        <w:tblInd w:w="0" w:type="dxa"/>
        <w:tblLayout w:type="fixed"/>
        <w:tblCellMar>
          <w:top w:w="0" w:type="dxa"/>
          <w:left w:w="0" w:type="dxa"/>
          <w:bottom w:w="28" w:type="dxa"/>
          <w:right w:w="0" w:type="dxa"/>
        </w:tblCellMar>
      </w:tblPr>
      <w:tblGrid>
        <w:gridCol w:w="2720"/>
        <w:gridCol w:w="60"/>
        <w:gridCol w:w="322"/>
        <w:gridCol w:w="1288"/>
        <w:gridCol w:w="60"/>
        <w:gridCol w:w="60"/>
        <w:gridCol w:w="274"/>
        <w:gridCol w:w="1096"/>
        <w:gridCol w:w="60"/>
        <w:gridCol w:w="60"/>
        <w:gridCol w:w="140"/>
        <w:gridCol w:w="560"/>
        <w:gridCol w:w="75"/>
      </w:tblGrid>
      <w:tr>
        <w:trPr/>
        <w:tc>
          <w:tcPr>
            <w:tcW w:w="2720" w:type="dxa"/>
            <w:tcBorders>
              <w:bottom w:val="single" w:sz="8" w:space="0" w:color="000000"/>
            </w:tcBorders>
            <w:vAlign w:val="center"/>
          </w:tcPr>
          <w:p>
            <w:pPr>
              <w:pStyle w:val="TableContents"/>
              <w:bidi w:val="0"/>
              <w:spacing w:before="0" w:after="283"/>
              <w:jc w:val="left"/>
              <w:rPr>
                <w:b/>
              </w:rPr>
            </w:pPr>
            <w:r>
              <w:rPr>
                <w:b/>
              </w:rPr>
              <w:t>December 31, 2022</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Gross Carrying</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8" w:space="0" w:color="000000"/>
            </w:tcBorders>
            <w:vAlign w:val="center"/>
          </w:tcPr>
          <w:p>
            <w:pPr>
              <w:pStyle w:val="TableContents"/>
              <w:bidi w:val="0"/>
              <w:spacing w:before="0" w:after="283"/>
              <w:jc w:val="center"/>
              <w:rPr>
                <w:b/>
              </w:rPr>
            </w:pPr>
            <w:r>
              <w:rPr>
                <w:b/>
              </w:rPr>
              <w:t>Accumulated</w:t>
              <w:br/>
              <w:t>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Net</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Subject to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Trade names</w:t>
            </w:r>
          </w:p>
        </w:tc>
        <w:tc>
          <w:tcPr>
            <w:tcW w:w="6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w:t>
            </w:r>
          </w:p>
        </w:tc>
        <w:tc>
          <w:tcPr>
            <w:tcW w:w="1288" w:type="dxa"/>
            <w:tcBorders/>
            <w:tcMar>
              <w:bottom w:w="0" w:type="dxa"/>
            </w:tcMar>
            <w:vAlign w:val="center"/>
          </w:tcPr>
          <w:p>
            <w:pPr>
              <w:pStyle w:val="TableContents"/>
              <w:bidi w:val="0"/>
              <w:spacing w:before="0" w:after="283"/>
              <w:jc w:val="right"/>
              <w:rPr/>
            </w:pPr>
            <w:r>
              <w:rPr/>
              <w:t>748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right"/>
              <w:rPr/>
            </w:pPr>
            <w:r>
              <w:rPr/>
              <w:t>365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560" w:type="dxa"/>
            <w:tcBorders/>
            <w:tcMar>
              <w:bottom w:w="0" w:type="dxa"/>
            </w:tcMar>
            <w:vAlign w:val="center"/>
          </w:tcPr>
          <w:p>
            <w:pPr>
              <w:pStyle w:val="TableContents"/>
              <w:bidi w:val="0"/>
              <w:spacing w:before="0" w:after="283"/>
              <w:jc w:val="right"/>
              <w:rPr/>
            </w:pPr>
            <w:r>
              <w:rPr/>
              <w:t>383</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Distribution network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shd w:fill="CCEEFF" w:val="clear"/>
            <w:vAlign w:val="center"/>
          </w:tcPr>
          <w:p>
            <w:pPr>
              <w:pStyle w:val="TableContents"/>
              <w:bidi w:val="0"/>
              <w:spacing w:before="0" w:after="283"/>
              <w:jc w:val="left"/>
              <w:rPr/>
            </w:pPr>
            <w:r>
              <w:rPr/>
              <w:t> </w:t>
            </w:r>
          </w:p>
        </w:tc>
        <w:tc>
          <w:tcPr>
            <w:tcW w:w="1288" w:type="dxa"/>
            <w:tcBorders>
              <w:bottom w:val="single" w:sz="8" w:space="0" w:color="000000"/>
            </w:tcBorders>
            <w:shd w:fill="CCEEFF" w:val="clear"/>
            <w:vAlign w:val="center"/>
          </w:tcPr>
          <w:p>
            <w:pPr>
              <w:pStyle w:val="TableContents"/>
              <w:bidi w:val="0"/>
              <w:spacing w:before="0" w:after="283"/>
              <w:jc w:val="right"/>
              <w:rPr/>
            </w:pPr>
            <w:r>
              <w:rPr/>
              <w:t>6,700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bottom w:val="single" w:sz="8" w:space="0" w:color="000000"/>
            </w:tcBorders>
            <w:shd w:fill="CCEEFF" w:val="clear"/>
            <w:vAlign w:val="center"/>
          </w:tcPr>
          <w:p>
            <w:pPr>
              <w:pStyle w:val="TableContents"/>
              <w:bidi w:val="0"/>
              <w:spacing w:before="0" w:after="283"/>
              <w:jc w:val="left"/>
              <w:rPr/>
            </w:pPr>
            <w:r>
              <w:rPr/>
              <w:t> </w:t>
            </w:r>
          </w:p>
        </w:tc>
        <w:tc>
          <w:tcPr>
            <w:tcW w:w="1096" w:type="dxa"/>
            <w:tcBorders>
              <w:bottom w:val="single" w:sz="8" w:space="0" w:color="000000"/>
            </w:tcBorders>
            <w:shd w:fill="CCEEFF" w:val="clear"/>
            <w:vAlign w:val="center"/>
          </w:tcPr>
          <w:p>
            <w:pPr>
              <w:pStyle w:val="TableContents"/>
              <w:bidi w:val="0"/>
              <w:spacing w:before="0" w:after="283"/>
              <w:jc w:val="right"/>
              <w:rPr/>
            </w:pPr>
            <w:r>
              <w:rPr/>
              <w:t>1,117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5,583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Total subject to amortization</w:t>
            </w:r>
          </w:p>
        </w:tc>
        <w:tc>
          <w:tcPr>
            <w:tcW w:w="6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288" w:type="dxa"/>
            <w:tcBorders/>
            <w:tcMar>
              <w:bottom w:w="0" w:type="dxa"/>
            </w:tcMar>
            <w:vAlign w:val="center"/>
          </w:tcPr>
          <w:p>
            <w:pPr>
              <w:pStyle w:val="TableContents"/>
              <w:bidi w:val="0"/>
              <w:spacing w:before="0" w:after="283"/>
              <w:jc w:val="right"/>
              <w:rPr/>
            </w:pPr>
            <w:r>
              <w:rPr/>
              <w:t>7,448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1,482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5,966</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Not subject to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State insurance licenses</w:t>
            </w:r>
          </w:p>
        </w:tc>
        <w:tc>
          <w:tcPr>
            <w:tcW w:w="60" w:type="dxa"/>
            <w:tcBorders/>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vAlign w:val="center"/>
          </w:tcPr>
          <w:p>
            <w:pPr>
              <w:pStyle w:val="TableContents"/>
              <w:bidi w:val="0"/>
              <w:spacing w:before="0" w:after="283"/>
              <w:jc w:val="left"/>
              <w:rPr/>
            </w:pPr>
            <w:r>
              <w:rPr/>
              <w:t> </w:t>
            </w:r>
          </w:p>
        </w:tc>
        <w:tc>
          <w:tcPr>
            <w:tcW w:w="1288" w:type="dxa"/>
            <w:tcBorders>
              <w:bottom w:val="single" w:sz="8" w:space="0" w:color="000000"/>
            </w:tcBorders>
            <w:vAlign w:val="center"/>
          </w:tcPr>
          <w:p>
            <w:pPr>
              <w:pStyle w:val="TableContents"/>
              <w:bidi w:val="0"/>
              <w:spacing w:before="0" w:after="283"/>
              <w:jc w:val="right"/>
              <w:rPr/>
            </w:pPr>
            <w:r>
              <w:rPr/>
              <w:t>1,900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4" w:type="dxa"/>
            <w:tcBorders>
              <w:bottom w:val="single" w:sz="8" w:space="0" w:color="000000"/>
            </w:tcBorders>
            <w:vAlign w:val="center"/>
          </w:tcPr>
          <w:p>
            <w:pPr>
              <w:pStyle w:val="TableContents"/>
              <w:bidi w:val="0"/>
              <w:spacing w:before="0" w:after="283"/>
              <w:jc w:val="left"/>
              <w:rPr/>
            </w:pPr>
            <w:r>
              <w:rPr/>
              <w:t> </w:t>
            </w:r>
          </w:p>
        </w:tc>
        <w:tc>
          <w:tcPr>
            <w:tcW w:w="1096" w:type="dxa"/>
            <w:tcBorders>
              <w:bottom w:val="single" w:sz="8"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right"/>
              <w:rPr/>
            </w:pPr>
            <w:r>
              <w:rPr/>
              <w:t>1,900</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double" w:sz="6" w:space="0" w:color="000000"/>
            </w:tcBorders>
            <w:shd w:fill="CCEEFF" w:val="clear"/>
            <w:vAlign w:val="center"/>
          </w:tcPr>
          <w:p>
            <w:pPr>
              <w:pStyle w:val="TableContents"/>
              <w:bidi w:val="0"/>
              <w:spacing w:before="0" w:after="283"/>
              <w:jc w:val="left"/>
              <w:rPr/>
            </w:pPr>
            <w:r>
              <w:rPr/>
              <w:t>$</w:t>
            </w:r>
          </w:p>
        </w:tc>
        <w:tc>
          <w:tcPr>
            <w:tcW w:w="1288" w:type="dxa"/>
            <w:tcBorders>
              <w:bottom w:val="double" w:sz="6" w:space="0" w:color="000000"/>
            </w:tcBorders>
            <w:shd w:fill="CCEEFF" w:val="clear"/>
            <w:vAlign w:val="center"/>
          </w:tcPr>
          <w:p>
            <w:pPr>
              <w:pStyle w:val="TableContents"/>
              <w:bidi w:val="0"/>
              <w:spacing w:before="0" w:after="283"/>
              <w:jc w:val="right"/>
              <w:rPr/>
            </w:pPr>
            <w:r>
              <w:rPr/>
              <w:t>9,348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bottom w:val="double" w:sz="6" w:space="0" w:color="000000"/>
            </w:tcBorders>
            <w:shd w:fill="CCEEFF" w:val="clear"/>
            <w:vAlign w:val="center"/>
          </w:tcPr>
          <w:p>
            <w:pPr>
              <w:pStyle w:val="TableContents"/>
              <w:bidi w:val="0"/>
              <w:spacing w:before="0" w:after="283"/>
              <w:jc w:val="left"/>
              <w:rPr/>
            </w:pPr>
            <w:r>
              <w:rPr/>
              <w:t>$</w:t>
            </w:r>
          </w:p>
        </w:tc>
        <w:tc>
          <w:tcPr>
            <w:tcW w:w="1096" w:type="dxa"/>
            <w:tcBorders>
              <w:bottom w:val="double" w:sz="6" w:space="0" w:color="000000"/>
            </w:tcBorders>
            <w:shd w:fill="CCEEFF" w:val="clear"/>
            <w:vAlign w:val="center"/>
          </w:tcPr>
          <w:p>
            <w:pPr>
              <w:pStyle w:val="TableContents"/>
              <w:bidi w:val="0"/>
              <w:spacing w:before="0" w:after="283"/>
              <w:jc w:val="right"/>
              <w:rPr/>
            </w:pPr>
            <w:r>
              <w:rPr/>
              <w:t>1,482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560" w:type="dxa"/>
            <w:tcBorders>
              <w:bottom w:val="double" w:sz="6" w:space="0" w:color="000000"/>
            </w:tcBorders>
            <w:shd w:fill="CCEEFF" w:val="clear"/>
            <w:vAlign w:val="center"/>
          </w:tcPr>
          <w:p>
            <w:pPr>
              <w:pStyle w:val="TableContents"/>
              <w:bidi w:val="0"/>
              <w:spacing w:before="0" w:after="283"/>
              <w:jc w:val="right"/>
              <w:rPr/>
            </w:pPr>
            <w:r>
              <w:rPr/>
              <w:t>7,866</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 </w:t>
            </w:r>
          </w:p>
        </w:tc>
        <w:tc>
          <w:tcPr>
            <w:tcW w:w="1288"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$114 and $118 for the three months ended September 30, 2023 and 2022, respectively, and $349 and $354 for the nine months ended September 30, 2023 and 2022, respectively.</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that have finite lives, including trade names and distribution networks, are amortized over their useful lives. As of September 30, 2023, the estimated amortization of other intangible assets with finite lives for each of the five years in the period ending December 31, 2027, and thereafter is as follows:</w:t>
      </w:r>
    </w:p>
    <w:tbl>
      <w:tblPr>
        <w:tblW w:w="5010" w:type="dxa"/>
        <w:jc w:val="left"/>
        <w:tblInd w:w="0" w:type="dxa"/>
        <w:tblLayout w:type="fixed"/>
        <w:tblCellMar>
          <w:top w:w="0" w:type="dxa"/>
          <w:left w:w="0" w:type="dxa"/>
          <w:bottom w:w="28" w:type="dxa"/>
          <w:right w:w="0" w:type="dxa"/>
        </w:tblCellMar>
      </w:tblPr>
      <w:tblGrid>
        <w:gridCol w:w="4175"/>
        <w:gridCol w:w="60"/>
        <w:gridCol w:w="140"/>
        <w:gridCol w:w="560"/>
        <w:gridCol w:w="75"/>
      </w:tblGrid>
      <w:tr>
        <w:trPr/>
        <w:tc>
          <w:tcPr>
            <w:tcW w:w="4175" w:type="dxa"/>
            <w:tcBorders>
              <w:bottom w:val="single" w:sz="8"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left"/>
              <w:rPr/>
            </w:pPr>
            <w:r>
              <w:rPr/>
              <w:t>2023 (three months remaining)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pPr>
            <w:r>
              <w:rPr/>
              <w:t>2024</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422</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422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pPr>
            <w:r>
              <w:rPr/>
              <w:t>2026</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422</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422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pPr>
            <w:r>
              <w:rPr/>
              <w:t>Thereafter</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right"/>
              <w:rPr/>
            </w:pPr>
            <w:r>
              <w:rPr/>
              <w:t>3,823</w:t>
            </w:r>
          </w:p>
        </w:tc>
        <w:tc>
          <w:tcPr>
            <w:tcW w:w="75" w:type="dxa"/>
            <w:tcBorders/>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left"/>
              <w:rPr/>
            </w:pPr>
            <w:r>
              <w:rPr/>
              <w:t>Total other intangible assets with finite lives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560" w:type="dxa"/>
            <w:tcBorders>
              <w:bottom w:val="double" w:sz="6" w:space="0" w:color="000000"/>
            </w:tcBorders>
            <w:shd w:fill="CCEEFF" w:val="clear"/>
            <w:vAlign w:val="center"/>
          </w:tcPr>
          <w:p>
            <w:pPr>
              <w:pStyle w:val="TableContents"/>
              <w:bidi w:val="0"/>
              <w:spacing w:before="0" w:after="283"/>
              <w:jc w:val="right"/>
              <w:rPr/>
            </w:pPr>
            <w:r>
              <w:rPr/>
              <w:t>5,617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5000" w:type="pct"/>
        <w:jc w:val="left"/>
        <w:tblInd w:w="0" w:type="dxa"/>
        <w:tblLayout w:type="fixed"/>
        <w:tblCellMar>
          <w:top w:w="0" w:type="dxa"/>
          <w:left w:w="0" w:type="dxa"/>
          <w:bottom w:w="0" w:type="dxa"/>
          <w:right w:w="0" w:type="dxa"/>
        </w:tblCellMar>
      </w:tblPr>
      <w:tblGrid>
        <w:gridCol w:w="93"/>
        <w:gridCol w:w="788"/>
        <w:gridCol w:w="9324"/>
      </w:tblGrid>
      <w:tr>
        <w:trPr/>
        <w:tc>
          <w:tcPr>
            <w:tcW w:w="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b/>
              </w:rPr>
            </w:pPr>
            <w:r>
              <w:rPr>
                <w:b/>
              </w:rPr>
              <w:t>10.</w:t>
            </w:r>
          </w:p>
        </w:tc>
        <w:tc>
          <w:tcPr>
            <w:tcW w:w="9324" w:type="dxa"/>
            <w:tcBorders/>
            <w:vAlign w:val="center"/>
          </w:tcPr>
          <w:p>
            <w:pPr>
              <w:pStyle w:val="TableContents"/>
              <w:bidi w:val="0"/>
              <w:spacing w:before="0" w:after="283"/>
              <w:jc w:val="left"/>
              <w:rPr>
                <w:b/>
              </w:rPr>
            </w:pPr>
            <w:r>
              <w:rPr>
                <w:b/>
              </w:rPr>
              <w:t>Royalties, Dividends, and Affiliations</w:t>
            </w:r>
          </w:p>
        </w:tc>
      </w:tr>
    </w:tbl>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North Dakota Farm Bureau</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$426 and $397 during the three months ended September 30, 2023 and 2022, respectively, and $1,225 and $1,141 for the nine months ended September 30, 2023 and 2022, respectively. Royalty amounts payable of $112 and $119 were accrued as a liability to the NDFB at September 30, 2023, and December 31, 2022, respectively.</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2022, exceeded the amount of statutory capital and surplus necessary to satisfy risk-based capital requirements by a significant margin.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availability of subsidiaries to pay dividends to NI Holdings during 2023, see Item II, Part 8, Note 12 “Related Party Transactions” section of the 2022 Annual Report.</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Mutual Insurance Company</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disclose the standalone balance sheets and statements of operations of Battle Creek, prior to intercompany eliminations, to illustrate the impact of including Battle Creek in our Consolidated Balance Sheets and Statements of Operations:</w:t>
      </w:r>
    </w:p>
    <w:tbl>
      <w:tblPr>
        <w:tblW w:w="8398" w:type="dxa"/>
        <w:jc w:val="left"/>
        <w:tblInd w:w="0" w:type="dxa"/>
        <w:tblLayout w:type="fixed"/>
        <w:tblCellMar>
          <w:top w:w="0" w:type="dxa"/>
          <w:left w:w="0" w:type="dxa"/>
          <w:bottom w:w="0" w:type="dxa"/>
          <w:right w:w="0" w:type="dxa"/>
        </w:tblCellMar>
      </w:tblPr>
      <w:tblGrid>
        <w:gridCol w:w="4175"/>
        <w:gridCol w:w="60"/>
        <w:gridCol w:w="343"/>
        <w:gridCol w:w="1671"/>
        <w:gridCol w:w="60"/>
        <w:gridCol w:w="60"/>
        <w:gridCol w:w="333"/>
        <w:gridCol w:w="1621"/>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Cash and cash equivalents</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w:t>
            </w:r>
          </w:p>
        </w:tc>
        <w:tc>
          <w:tcPr>
            <w:tcW w:w="1671" w:type="dxa"/>
            <w:tcBorders/>
            <w:vAlign w:val="center"/>
          </w:tcPr>
          <w:p>
            <w:pPr>
              <w:pStyle w:val="TableContents"/>
              <w:bidi w:val="0"/>
              <w:spacing w:before="0" w:after="283"/>
              <w:jc w:val="right"/>
              <w:rPr/>
            </w:pPr>
            <w:r>
              <w:rPr/>
              <w:t>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283"/>
              <w:jc w:val="right"/>
              <w:rPr/>
            </w:pPr>
            <w:r>
              <w:rPr/>
              <w:t>5,008</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13,675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13,350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Premiums and agents’ balances receivable</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5,887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5,422</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595</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sz w:val="20"/>
              </w:rPr>
            </w:pPr>
            <w:r>
              <w:rPr>
                <w:sz w:val="20"/>
              </w:rPr>
              <w:t xml:space="preserve">Reinsurance recoverables on losses </w:t>
            </w:r>
            <w:r>
              <w:rPr>
                <w:position w:val="7"/>
                <w:sz w:val="16"/>
                <w:sz w:val="20"/>
              </w:rPr>
              <w:t>(2)</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15,601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12,597</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Income tax recoverable</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225</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780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Property and equipment</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319</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343" w:type="dxa"/>
            <w:tcBorders>
              <w:bottom w:val="double" w:sz="6" w:space="0" w:color="000000"/>
            </w:tcBorders>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tcMar>
              <w:bottom w:w="28" w:type="dxa"/>
            </w:tcMar>
            <w:vAlign w:val="center"/>
          </w:tcPr>
          <w:p>
            <w:pPr>
              <w:pStyle w:val="TableContents"/>
              <w:bidi w:val="0"/>
              <w:spacing w:before="0" w:after="283"/>
              <w:jc w:val="right"/>
              <w:rPr/>
            </w:pPr>
            <w:r>
              <w:rPr/>
              <w:t>37,277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bottom w:val="double" w:sz="6" w:space="0" w:color="000000"/>
            </w:tcBorders>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tcMar>
              <w:bottom w:w="28" w:type="dxa"/>
            </w:tcMar>
            <w:vAlign w:val="center"/>
          </w:tcPr>
          <w:p>
            <w:pPr>
              <w:pStyle w:val="TableContents"/>
              <w:bidi w:val="0"/>
              <w:spacing w:before="0" w:after="283"/>
              <w:jc w:val="right"/>
              <w:rPr/>
            </w:pPr>
            <w:r>
              <w:rPr/>
              <w:t>38,407</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4,842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6,453</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Unearned premiums</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3,295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2,959</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sz w:val="20"/>
              </w:rPr>
            </w:pPr>
            <w:r>
              <w:rPr>
                <w:sz w:val="20"/>
              </w:rPr>
              <w:t xml:space="preserve">Notes payable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3,000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sz w:val="20"/>
              </w:rPr>
            </w:pPr>
            <w:r>
              <w:rPr>
                <w:sz w:val="20"/>
              </w:rPr>
              <w:t xml:space="preserve">Pooling payable </w:t>
            </w:r>
            <w:r>
              <w:rPr>
                <w:position w:val="7"/>
                <w:sz w:val="16"/>
                <w:sz w:val="20"/>
              </w:rPr>
              <w:t>(1)</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9,847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8,337</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sz w:val="20"/>
              </w:rPr>
            </w:pPr>
            <w:r>
              <w:rPr>
                <w:sz w:val="20"/>
              </w:rPr>
              <w:t xml:space="preserve">Reinsurance losses payable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13,125</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Accrued expenses and other liabilities</w:t>
            </w:r>
          </w:p>
        </w:tc>
        <w:tc>
          <w:tcPr>
            <w:tcW w:w="60" w:type="dxa"/>
            <w:tcBorders/>
            <w:vAlign w:val="center"/>
          </w:tcPr>
          <w:p>
            <w:pPr>
              <w:pStyle w:val="TableContents"/>
              <w:bidi w:val="0"/>
              <w:spacing w:before="0" w:after="283"/>
              <w:jc w:val="left"/>
              <w:rPr/>
            </w:pPr>
            <w:r>
              <w:rPr/>
              <w:t> </w:t>
            </w:r>
          </w:p>
        </w:tc>
        <w:tc>
          <w:tcPr>
            <w:tcW w:w="3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tcMar>
              <w:bottom w:w="28" w:type="dxa"/>
            </w:tcMar>
            <w:vAlign w:val="center"/>
          </w:tcPr>
          <w:p>
            <w:pPr>
              <w:pStyle w:val="TableContents"/>
              <w:bidi w:val="0"/>
              <w:spacing w:before="0" w:after="283"/>
              <w:jc w:val="right"/>
              <w:rPr/>
            </w:pPr>
            <w:r>
              <w:rPr/>
              <w:t>1,017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tcMar>
              <w:bottom w:w="28" w:type="dxa"/>
            </w:tcMar>
            <w:vAlign w:val="center"/>
          </w:tcPr>
          <w:p>
            <w:pPr>
              <w:pStyle w:val="TableContents"/>
              <w:bidi w:val="0"/>
              <w:spacing w:before="0" w:after="283"/>
              <w:jc w:val="right"/>
              <w:rPr/>
            </w:pPr>
            <w:r>
              <w:rPr/>
              <w:t>2,303</w:t>
            </w:r>
          </w:p>
        </w:tc>
        <w:tc>
          <w:tcPr>
            <w:tcW w:w="75" w:type="dxa"/>
            <w:tcBorders/>
            <w:vAlign w:val="center"/>
          </w:tcPr>
          <w:p>
            <w:pPr>
              <w:pStyle w:val="TableContents"/>
              <w:bidi w:val="0"/>
              <w:spacing w:before="0" w:after="283"/>
              <w:ind w:left="0" w:right="0" w:hanging="180"/>
              <w:jc w:val="left"/>
              <w:rPr/>
            </w:pPr>
            <w:r>
              <w:rPr/>
              <w:t> </w:t>
            </w:r>
          </w:p>
        </w:tc>
      </w:tr>
      <w:tr>
        <w:trPr/>
        <w:tc>
          <w:tcPr>
            <w:tcW w:w="417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35,636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CCEEFF" w:val="clear"/>
            <w:tcMar>
              <w:bottom w:w="28" w:type="dxa"/>
            </w:tcMar>
            <w:vAlign w:val="center"/>
          </w:tcPr>
          <w:p>
            <w:pPr>
              <w:pStyle w:val="TableContents"/>
              <w:bidi w:val="0"/>
              <w:spacing w:before="0" w:after="283"/>
              <w:jc w:val="right"/>
              <w:rPr/>
            </w:pPr>
            <w:r>
              <w:rPr/>
              <w:t>36,177</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Equity:</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Non-controlling interest</w:t>
            </w:r>
          </w:p>
        </w:tc>
        <w:tc>
          <w:tcPr>
            <w:tcW w:w="60" w:type="dxa"/>
            <w:tcBorders/>
            <w:vAlign w:val="center"/>
          </w:tcPr>
          <w:p>
            <w:pPr>
              <w:pStyle w:val="TableContents"/>
              <w:bidi w:val="0"/>
              <w:spacing w:before="0" w:after="283"/>
              <w:jc w:val="left"/>
              <w:rPr/>
            </w:pPr>
            <w:r>
              <w:rPr/>
              <w:t> </w:t>
            </w:r>
          </w:p>
        </w:tc>
        <w:tc>
          <w:tcPr>
            <w:tcW w:w="3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tcMar>
              <w:bottom w:w="28" w:type="dxa"/>
            </w:tcMar>
            <w:vAlign w:val="center"/>
          </w:tcPr>
          <w:p>
            <w:pPr>
              <w:pStyle w:val="TableContents"/>
              <w:bidi w:val="0"/>
              <w:spacing w:before="0" w:after="283"/>
              <w:jc w:val="right"/>
              <w:rPr/>
            </w:pPr>
            <w:r>
              <w:rPr/>
              <w:t>1,641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tcMar>
              <w:bottom w:w="28" w:type="dxa"/>
            </w:tcMar>
            <w:vAlign w:val="center"/>
          </w:tcPr>
          <w:p>
            <w:pPr>
              <w:pStyle w:val="TableContents"/>
              <w:bidi w:val="0"/>
              <w:spacing w:before="0" w:after="283"/>
              <w:jc w:val="right"/>
              <w:rPr/>
            </w:pPr>
            <w:r>
              <w:rPr/>
              <w:t>2,230</w:t>
            </w:r>
          </w:p>
        </w:tc>
        <w:tc>
          <w:tcPr>
            <w:tcW w:w="75" w:type="dxa"/>
            <w:tcBorders/>
            <w:vAlign w:val="center"/>
          </w:tcPr>
          <w:p>
            <w:pPr>
              <w:pStyle w:val="TableContents"/>
              <w:bidi w:val="0"/>
              <w:spacing w:before="0" w:after="283"/>
              <w:ind w:left="0" w:right="0" w:hanging="90"/>
              <w:jc w:val="left"/>
              <w:rPr/>
            </w:pPr>
            <w:r>
              <w:rPr/>
              <w:t> </w:t>
            </w:r>
          </w:p>
        </w:tc>
      </w:tr>
      <w:tr>
        <w:trPr/>
        <w:tc>
          <w:tcPr>
            <w:tcW w:w="4175"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1,641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CCEEFF" w:val="clear"/>
            <w:tcMar>
              <w:bottom w:w="28" w:type="dxa"/>
            </w:tcMar>
            <w:vAlign w:val="center"/>
          </w:tcPr>
          <w:p>
            <w:pPr>
              <w:pStyle w:val="TableContents"/>
              <w:bidi w:val="0"/>
              <w:spacing w:before="0" w:after="283"/>
              <w:jc w:val="right"/>
              <w:rPr/>
            </w:pPr>
            <w:r>
              <w:rPr/>
              <w:t>2,230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Total liabilities and equity</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37,277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pPr>
            <w:r>
              <w:rPr/>
              <w:t>38,407</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Amount fully eliminated in consolidation. </w:t>
        <w:br/>
        <w:t>(2)        Amount partly eliminated in consolidation.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10205" w:type="dxa"/>
        <w:jc w:val="left"/>
        <w:tblInd w:w="0" w:type="dxa"/>
        <w:tblLayout w:type="fixed"/>
        <w:tblCellMar>
          <w:top w:w="0" w:type="dxa"/>
          <w:left w:w="0" w:type="dxa"/>
          <w:bottom w:w="0" w:type="dxa"/>
          <w:right w:w="0" w:type="dxa"/>
        </w:tblCellMar>
      </w:tblPr>
      <w:tblGrid>
        <w:gridCol w:w="3708"/>
        <w:gridCol w:w="60"/>
        <w:gridCol w:w="287"/>
        <w:gridCol w:w="1149"/>
        <w:gridCol w:w="123"/>
        <w:gridCol w:w="123"/>
        <w:gridCol w:w="287"/>
        <w:gridCol w:w="1149"/>
        <w:gridCol w:w="95"/>
        <w:gridCol w:w="60"/>
        <w:gridCol w:w="261"/>
        <w:gridCol w:w="1048"/>
        <w:gridCol w:w="177"/>
        <w:gridCol w:w="112"/>
        <w:gridCol w:w="261"/>
        <w:gridCol w:w="1188"/>
        <w:gridCol w:w="117"/>
      </w:tblGrid>
      <w:tr>
        <w:trPr/>
        <w:tc>
          <w:tcPr>
            <w:tcW w:w="3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7"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7" w:type="dxa"/>
            <w:tcBorders/>
            <w:vAlign w:val="center"/>
          </w:tcPr>
          <w:p>
            <w:pPr>
              <w:pStyle w:val="TableContents"/>
              <w:bidi w:val="0"/>
              <w:spacing w:before="0" w:after="283"/>
              <w:ind w:left="0" w:right="0" w:hanging="216"/>
              <w:jc w:val="left"/>
              <w:rPr/>
            </w:pPr>
            <w:r>
              <w:rPr/>
              <w:t> </w:t>
            </w:r>
          </w:p>
        </w:tc>
      </w:tr>
      <w:tr>
        <w:trPr/>
        <w:tc>
          <w:tcPr>
            <w:tcW w:w="3708"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1,816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1,790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048" w:type="dxa"/>
            <w:tcBorders/>
            <w:vAlign w:val="center"/>
          </w:tcPr>
          <w:p>
            <w:pPr>
              <w:pStyle w:val="TableContents"/>
              <w:bidi w:val="0"/>
              <w:spacing w:before="0" w:after="283"/>
              <w:jc w:val="right"/>
              <w:rPr/>
            </w:pPr>
            <w:r>
              <w:rPr/>
              <w:t>5,251</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4,872</w:t>
            </w:r>
          </w:p>
        </w:tc>
        <w:tc>
          <w:tcPr>
            <w:tcW w:w="117"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Fee and other income (expenses)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10</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w:t>
            </w:r>
          </w:p>
        </w:tc>
        <w:tc>
          <w:tcPr>
            <w:tcW w:w="117" w:type="dxa"/>
            <w:tcBorders/>
            <w:shd w:fill="CCEEFF" w:val="clear"/>
            <w:vAlign w:val="center"/>
          </w:tcPr>
          <w:p>
            <w:pPr>
              <w:pStyle w:val="TableContents"/>
              <w:bidi w:val="0"/>
              <w:spacing w:before="0" w:after="283"/>
              <w:jc w:val="left"/>
              <w:rPr/>
            </w:pPr>
            <w:r>
              <w:rPr/>
              <w:t>)</w:t>
            </w:r>
          </w:p>
        </w:tc>
      </w:tr>
      <w:tr>
        <w:trPr/>
        <w:tc>
          <w:tcPr>
            <w:tcW w:w="3708" w:type="dxa"/>
            <w:tcBorders/>
            <w:vAlign w:val="center"/>
          </w:tcPr>
          <w:p>
            <w:pPr>
              <w:pStyle w:val="TableContents"/>
              <w:bidi w:val="0"/>
              <w:spacing w:before="0" w:after="283"/>
              <w:jc w:val="left"/>
              <w:rPr/>
            </w:pPr>
            <w:r>
              <w:rPr/>
              <w:t>Net investment income (expense)</w:t>
            </w:r>
          </w:p>
        </w:tc>
        <w:tc>
          <w:tcPr>
            <w:tcW w:w="60"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80</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tcMar>
              <w:bottom w:w="28" w:type="dxa"/>
            </w:tcMar>
            <w:vAlign w:val="center"/>
          </w:tcPr>
          <w:p>
            <w:pPr>
              <w:pStyle w:val="TableContents"/>
              <w:bidi w:val="0"/>
              <w:spacing w:before="0" w:after="283"/>
              <w:jc w:val="right"/>
              <w:rPr/>
            </w:pPr>
            <w:r>
              <w:rPr/>
              <w:t>227</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tcMar>
              <w:bottom w:w="28" w:type="dxa"/>
            </w:tcMar>
            <w:vAlign w:val="center"/>
          </w:tcPr>
          <w:p>
            <w:pPr>
              <w:pStyle w:val="TableContents"/>
              <w:bidi w:val="0"/>
              <w:spacing w:before="0" w:after="283"/>
              <w:jc w:val="right"/>
              <w:rPr/>
            </w:pPr>
            <w:r>
              <w:rPr/>
              <w:t>32</w:t>
            </w:r>
          </w:p>
        </w:tc>
        <w:tc>
          <w:tcPr>
            <w:tcW w:w="117"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1,906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5,505</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4,896</w:t>
            </w:r>
          </w:p>
        </w:tc>
        <w:tc>
          <w:tcPr>
            <w:tcW w:w="117" w:type="dxa"/>
            <w:tcBorders/>
            <w:shd w:fill="CCEEFF" w:val="clear"/>
            <w:vAlign w:val="center"/>
          </w:tcPr>
          <w:p>
            <w:pPr>
              <w:pStyle w:val="TableContents"/>
              <w:bidi w:val="0"/>
              <w:spacing w:before="0" w:after="283"/>
              <w:ind w:left="0" w:right="0" w:hanging="216"/>
              <w:jc w:val="left"/>
              <w:rPr/>
            </w:pPr>
            <w:r>
              <w:rPr/>
              <w:t> </w:t>
            </w:r>
          </w:p>
        </w:tc>
      </w:tr>
      <w:tr>
        <w:trPr/>
        <w:tc>
          <w:tcPr>
            <w:tcW w:w="3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pPr>
            <w:r>
              <w:rPr/>
              <w:t>Losses and loss adjustment expenses</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1,271</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1,579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3,998</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4,553</w:t>
            </w:r>
          </w:p>
        </w:tc>
        <w:tc>
          <w:tcPr>
            <w:tcW w:w="117"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408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1,191</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989</w:t>
            </w:r>
          </w:p>
        </w:tc>
        <w:tc>
          <w:tcPr>
            <w:tcW w:w="117" w:type="dxa"/>
            <w:tcBorders/>
            <w:shd w:fill="CCEEFF" w:val="clear"/>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pPr>
            <w:r>
              <w:rPr/>
              <w:t>Other underwriting and general expenses</w:t>
            </w:r>
          </w:p>
        </w:tc>
        <w:tc>
          <w:tcPr>
            <w:tcW w:w="60"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139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tcMar>
              <w:bottom w:w="28" w:type="dxa"/>
            </w:tcMar>
            <w:vAlign w:val="center"/>
          </w:tcPr>
          <w:p>
            <w:pPr>
              <w:pStyle w:val="TableContents"/>
              <w:bidi w:val="0"/>
              <w:spacing w:before="0" w:after="283"/>
              <w:jc w:val="right"/>
              <w:rPr/>
            </w:pPr>
            <w:r>
              <w:rPr/>
              <w:t>457</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tcMar>
              <w:bottom w:w="28" w:type="dxa"/>
            </w:tcMar>
            <w:vAlign w:val="center"/>
          </w:tcPr>
          <w:p>
            <w:pPr>
              <w:pStyle w:val="TableContents"/>
              <w:bidi w:val="0"/>
              <w:spacing w:before="0" w:after="283"/>
              <w:jc w:val="right"/>
              <w:rPr/>
            </w:pPr>
            <w:r>
              <w:rPr/>
              <w:t>363</w:t>
            </w:r>
          </w:p>
        </w:tc>
        <w:tc>
          <w:tcPr>
            <w:tcW w:w="117"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1,818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2,020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5,646</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5,905</w:t>
            </w:r>
          </w:p>
        </w:tc>
        <w:tc>
          <w:tcPr>
            <w:tcW w:w="117" w:type="dxa"/>
            <w:tcBorders/>
            <w:shd w:fill="CCEEFF" w:val="clear"/>
            <w:vAlign w:val="center"/>
          </w:tcPr>
          <w:p>
            <w:pPr>
              <w:pStyle w:val="TableContents"/>
              <w:bidi w:val="0"/>
              <w:spacing w:before="0" w:after="283"/>
              <w:ind w:left="0" w:right="0" w:hanging="216"/>
              <w:jc w:val="left"/>
              <w:rPr/>
            </w:pPr>
            <w:r>
              <w:rPr/>
              <w:t> </w:t>
            </w:r>
          </w:p>
        </w:tc>
      </w:tr>
      <w:tr>
        <w:trPr/>
        <w:tc>
          <w:tcPr>
            <w:tcW w:w="3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88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(141</w:t>
            </w:r>
          </w:p>
        </w:tc>
        <w:tc>
          <w:tcPr>
            <w:tcW w:w="177"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(1,009</w:t>
            </w:r>
          </w:p>
        </w:tc>
        <w:tc>
          <w:tcPr>
            <w:tcW w:w="117" w:type="dxa"/>
            <w:tcBorders/>
            <w:shd w:fill="CCEEFF" w:val="clear"/>
            <w:vAlign w:val="center"/>
          </w:tcPr>
          <w:p>
            <w:pPr>
              <w:pStyle w:val="TableContents"/>
              <w:bidi w:val="0"/>
              <w:spacing w:before="0" w:after="283"/>
              <w:jc w:val="left"/>
              <w:rPr/>
            </w:pPr>
            <w:r>
              <w:rPr/>
              <w:t>)</w:t>
            </w:r>
          </w:p>
        </w:tc>
      </w:tr>
      <w:tr>
        <w:trPr/>
        <w:tc>
          <w:tcPr>
            <w:tcW w:w="3708" w:type="dxa"/>
            <w:tcBorders/>
            <w:vAlign w:val="center"/>
          </w:tcPr>
          <w:p>
            <w:pPr>
              <w:pStyle w:val="TableContents"/>
              <w:bidi w:val="0"/>
              <w:spacing w:before="0" w:after="283"/>
              <w:jc w:val="left"/>
              <w:rPr/>
            </w:pPr>
            <w:r>
              <w:rPr/>
              <w:t>Income tax expense (benefit)</w:t>
            </w:r>
          </w:p>
        </w:tc>
        <w:tc>
          <w:tcPr>
            <w:tcW w:w="60"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21</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(55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tcMar>
              <w:bottom w:w="28" w:type="dxa"/>
            </w:tcMar>
            <w:vAlign w:val="center"/>
          </w:tcPr>
          <w:p>
            <w:pPr>
              <w:pStyle w:val="TableContents"/>
              <w:bidi w:val="0"/>
              <w:spacing w:before="0" w:after="283"/>
              <w:jc w:val="right"/>
              <w:rPr/>
            </w:pPr>
            <w:r>
              <w:rPr/>
              <w:t>195</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tcMar>
              <w:bottom w:w="28" w:type="dxa"/>
            </w:tcMar>
            <w:vAlign w:val="center"/>
          </w:tcPr>
          <w:p>
            <w:pPr>
              <w:pStyle w:val="TableContents"/>
              <w:bidi w:val="0"/>
              <w:spacing w:before="0" w:after="283"/>
              <w:jc w:val="right"/>
              <w:rPr/>
            </w:pPr>
            <w:r>
              <w:rPr/>
              <w:t>(229</w:t>
            </w:r>
          </w:p>
        </w:tc>
        <w:tc>
          <w:tcPr>
            <w:tcW w:w="117" w:type="dxa"/>
            <w:tcBorders/>
            <w:vAlign w:val="center"/>
          </w:tcPr>
          <w:p>
            <w:pPr>
              <w:pStyle w:val="TableContents"/>
              <w:bidi w:val="0"/>
              <w:spacing w:before="0" w:after="283"/>
              <w:jc w:val="left"/>
              <w:rPr/>
            </w:pPr>
            <w:r>
              <w:rPr/>
              <w:t>)</w:t>
            </w:r>
          </w:p>
        </w:tc>
      </w:tr>
      <w:tr>
        <w:trPr/>
        <w:tc>
          <w:tcPr>
            <w:tcW w:w="3708" w:type="dxa"/>
            <w:tcBorders/>
            <w:shd w:fill="CCEEFF" w:val="clear"/>
            <w:vAlign w:val="center"/>
          </w:tcPr>
          <w:p>
            <w:pPr>
              <w:pStyle w:val="TableContents"/>
              <w:bidi w:val="0"/>
              <w:spacing w:before="0" w:after="283"/>
              <w:jc w:val="left"/>
              <w:rPr/>
            </w:pPr>
            <w:r>
              <w:rPr/>
              <w:t>    </w:t>
            </w:r>
            <w:r>
              <w:rPr/>
              <w:t>Net income (loss)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67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(336</w:t>
            </w:r>
          </w:p>
        </w:tc>
        <w:tc>
          <w:tcPr>
            <w:tcW w:w="177"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(780</w:t>
            </w:r>
          </w:p>
        </w:tc>
        <w:tc>
          <w:tcPr>
            <w:tcW w:w="117"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32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370" w:type="dxa"/>
            <w:tcBorders/>
            <w:vAlign w:val="center"/>
          </w:tcPr>
          <w:p>
            <w:pPr>
              <w:pStyle w:val="TableContents"/>
              <w:bidi w:val="0"/>
              <w:spacing w:before="0" w:after="283"/>
              <w:jc w:val="left"/>
              <w:rPr>
                <w:b/>
              </w:rPr>
            </w:pPr>
            <w:r>
              <w:rPr>
                <w:b/>
              </w:rPr>
              <w:t>Benefit Plans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sponsors a 401(k) plan with an automatic and matching contribution for eligible employees at Nodak Insurance, Primero, and Direct Auto. Nodak Insurance also contributes an additional elective amount of employee compensation as a profit-sharing contribution for its eligible employees. Westminster also sponsors a separate 401(k) plan. American West and Battle Creek have no employees. The Company reported expenses related to these plans totaling $656 and $383 during the three months ended September 30, 2023 and 2022, respectively, and $1,315 and $1,150 during the nine months ended September 30, 2023 and 2022, respectively.</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associated with the plans are deducted from the eligible employee accounts.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$45 and $23 during the three months ended September 30, 2023 and 2022, respectively, and $143 and $150 during the nine months ended September 30, 2023 and 2022, respectively.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(“IPO”) in March 2017, the Company established its Employee Stock Ownership Plan (the “ESOP”). The ESOP is intended to be an employee stock ownership plan within the meaning of Internal Revenue Code Section 4975(e)(7) and invests solely in common stock of the Company.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compensation expense related to the ESOP of $81 and $88 during the three months ended September 30, 2023 and 2022, respectively, and $245 and $298 during the nine months ended September 30, 2023 and 2022, respectively.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September 30, 2023, and December 31, 2022, the Company had released and allocated 145,890 ESOP shares to participants, with a remainder of 94,110 ESOP shares in suspense at September 30, 2023, and December 31, 2022. Using the Company’s quarter-end market price of $12.87 per share, the fair value of the unearned ESOP shares was $1,211 at September 30, 2023.</w:t>
      </w:r>
    </w:p>
    <w:tbl>
      <w:tblPr>
        <w:tblW w:w="1833" w:type="dxa"/>
        <w:jc w:val="left"/>
        <w:tblInd w:w="0" w:type="dxa"/>
        <w:tblLayout w:type="fixed"/>
        <w:tblCellMar>
          <w:top w:w="0" w:type="dxa"/>
          <w:left w:w="0" w:type="dxa"/>
          <w:bottom w:w="0" w:type="dxa"/>
          <w:right w:w="0" w:type="dxa"/>
        </w:tblCellMar>
      </w:tblPr>
      <w:tblGrid>
        <w:gridCol w:w="38"/>
        <w:gridCol w:w="32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475" w:type="dxa"/>
            <w:tcBorders/>
            <w:vAlign w:val="center"/>
          </w:tcPr>
          <w:p>
            <w:pPr>
              <w:pStyle w:val="TableContents"/>
              <w:bidi w:val="0"/>
              <w:spacing w:before="0" w:after="283"/>
              <w:jc w:val="left"/>
              <w:rPr>
                <w:b/>
              </w:rPr>
            </w:pPr>
            <w:r>
              <w:rPr>
                <w:b/>
              </w:rPr>
              <w:t>Line of Credit</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has a $5,000 line of credit with Wells Fargo Bank, N.A. The terms of the line of credit include a floating interest rate of the bank’s Prime Rate with a floor rate of 3.25%. There were no outstanding amounts during the nine months ended September 30, 2023, or the year ended December 31, 2022. This line of credit is scheduled to expire on March 31, 2024.</w:t>
      </w:r>
    </w:p>
    <w:tbl>
      <w:tblPr>
        <w:tblW w:w="1803" w:type="dxa"/>
        <w:jc w:val="left"/>
        <w:tblInd w:w="0" w:type="dxa"/>
        <w:tblLayout w:type="fixed"/>
        <w:tblCellMar>
          <w:top w:w="0" w:type="dxa"/>
          <w:left w:w="0" w:type="dxa"/>
          <w:bottom w:w="0" w:type="dxa"/>
          <w:right w:w="0" w:type="dxa"/>
        </w:tblCellMar>
      </w:tblPr>
      <w:tblGrid>
        <w:gridCol w:w="38"/>
        <w:gridCol w:w="32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1445" w:type="dxa"/>
            <w:tcBorders/>
            <w:vAlign w:val="center"/>
          </w:tcPr>
          <w:p>
            <w:pPr>
              <w:pStyle w:val="TableContents"/>
              <w:bidi w:val="0"/>
              <w:spacing w:before="0" w:after="283"/>
              <w:jc w:val="left"/>
              <w:rPr>
                <w:b/>
              </w:rPr>
            </w:pPr>
            <w:r>
              <w:rPr>
                <w:b/>
              </w:rPr>
              <w:t>Income Taxes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and December 31, 2022, we had no unrecognized tax benefits, no accrued interest and penalties, and no significant uncertain tax positions. No interest and penalties were recognized during the three- and nine-month periods ended September 30, 2023 or the year ended December 31, 2022.</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and December 31, 2022, the Company, other than Battle Creek and Westminster, had no income tax related carryforwards for net operating losses, alternative minimum tax credits, or capital losses.</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Creek, which files its income tax returns on a stand-alone basis, had net operating loss carryforwards of $3,963 at December 31, 2022. These net operating loss carryforwards expire through 2032.</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which became part of the Company’s consolidated federal income tax return beginning in 2020, had a $1,270 net operating loss carryforward at December 31, 2022. This net operating loss carryforward expires at the end of 2023.</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we are no longer subject to federal tax examination for years prior to 2019.</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1068" w:type="dxa"/>
        <w:jc w:val="left"/>
        <w:tblInd w:w="0" w:type="dxa"/>
        <w:tblLayout w:type="fixed"/>
        <w:tblCellMar>
          <w:top w:w="0" w:type="dxa"/>
          <w:left w:w="0" w:type="dxa"/>
          <w:bottom w:w="0" w:type="dxa"/>
          <w:right w:w="0" w:type="dxa"/>
        </w:tblCellMar>
      </w:tblPr>
      <w:tblGrid>
        <w:gridCol w:w="38"/>
        <w:gridCol w:w="32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710" w:type="dxa"/>
            <w:tcBorders/>
            <w:vAlign w:val="center"/>
          </w:tcPr>
          <w:p>
            <w:pPr>
              <w:pStyle w:val="TableContents"/>
              <w:bidi w:val="0"/>
              <w:spacing w:before="0" w:after="283"/>
              <w:jc w:val="left"/>
              <w:rPr>
                <w:b/>
              </w:rPr>
            </w:pPr>
            <w:r>
              <w:rPr>
                <w:b/>
              </w:rPr>
              <w:t>Leases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leases a facility in Spearfish, South Dakota under a non-cancellable operating lease expiring in 2028,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the year ended December 31, 2022, the Company adopted the updated guidance for leases. This guidance was adopted in the fourth quarter of 2022, and accordingly, the expense amounts for the periods ended September 30, 2023, are not comparable to the periods ended September 30, 2022. See Part II, Item 8, Note 2 “Recent Accounting Pronouncements” in the 2022 Annual Report for additional information. Under the new guidance, lease expense for these operating leases is recognized on a straight-line basis over the term of the lease, and a right-of-use asset and lease liability is recognized as part of other assets and other liabilities, respectively, in the Consolidated Balance Sheet at the origination of the lease. We currently do not have leases that include options to purchase or provisions that would automatically transfer ownership of the leased property to the Company.</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Operating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our operating leases are as follows:</w:t>
      </w:r>
    </w:p>
    <w:tbl>
      <w:tblPr>
        <w:tblW w:w="10205" w:type="dxa"/>
        <w:jc w:val="left"/>
        <w:tblInd w:w="0" w:type="dxa"/>
        <w:tblLayout w:type="fixed"/>
        <w:tblCellMar>
          <w:top w:w="0" w:type="dxa"/>
          <w:left w:w="0" w:type="dxa"/>
          <w:bottom w:w="0" w:type="dxa"/>
          <w:right w:w="0" w:type="dxa"/>
        </w:tblCellMar>
      </w:tblPr>
      <w:tblGrid>
        <w:gridCol w:w="4335"/>
        <w:gridCol w:w="60"/>
        <w:gridCol w:w="210"/>
        <w:gridCol w:w="1007"/>
        <w:gridCol w:w="89"/>
        <w:gridCol w:w="89"/>
        <w:gridCol w:w="210"/>
        <w:gridCol w:w="1007"/>
        <w:gridCol w:w="60"/>
        <w:gridCol w:w="60"/>
        <w:gridCol w:w="239"/>
        <w:gridCol w:w="1157"/>
        <w:gridCol w:w="102"/>
        <w:gridCol w:w="102"/>
        <w:gridCol w:w="239"/>
        <w:gridCol w:w="1157"/>
        <w:gridCol w:w="82"/>
      </w:tblGrid>
      <w:tr>
        <w:trPr/>
        <w:tc>
          <w:tcPr>
            <w:tcW w:w="4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w:t>
              <w:br/>
              <w:t>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Nine Months Ended </w:t>
              <w:br/>
              <w:t>September 30,</w:t>
            </w:r>
          </w:p>
        </w:tc>
        <w:tc>
          <w:tcPr>
            <w:tcW w:w="82" w:type="dxa"/>
            <w:tcBorders/>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2" w:type="dxa"/>
            <w:tcBorders/>
            <w:vAlign w:val="center"/>
          </w:tcPr>
          <w:p>
            <w:pPr>
              <w:pStyle w:val="TableContents"/>
              <w:bidi w:val="0"/>
              <w:spacing w:before="0" w:after="283"/>
              <w:ind w:left="0" w:right="0" w:hanging="216"/>
              <w:jc w:val="left"/>
              <w:rPr/>
            </w:pPr>
            <w:r>
              <w:rPr/>
              <w:t> </w:t>
            </w:r>
          </w:p>
        </w:tc>
      </w:tr>
      <w:tr>
        <w:trPr/>
        <w:tc>
          <w:tcPr>
            <w:tcW w:w="4335"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98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293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293</w:t>
            </w:r>
          </w:p>
        </w:tc>
        <w:tc>
          <w:tcPr>
            <w:tcW w:w="82"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283"/>
              <w:jc w:val="left"/>
              <w:rPr/>
            </w:pPr>
            <w:r>
              <w:rPr/>
              <w:t>Other information on operating leases: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283"/>
              <w:jc w:val="left"/>
              <w:rPr/>
            </w:pPr>
            <w:r>
              <w:rPr/>
              <w:t>Operating cash outflow from operating leases</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103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307</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239</w:t>
            </w:r>
          </w:p>
        </w:tc>
        <w:tc>
          <w:tcPr>
            <w:tcW w:w="82" w:type="dxa"/>
            <w:tcBorders/>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283"/>
              <w:jc w:val="left"/>
              <w:rPr/>
            </w:pPr>
            <w:r>
              <w:rPr/>
              <w:t>Right-of-use assets obtained in exchange for new lease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247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283"/>
              <w:jc w:val="left"/>
              <w:rPr/>
            </w:pPr>
            <w:r>
              <w:rPr/>
              <w:t>Weighted average discount rate</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3.95%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3.25%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3.95%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3.25%</w:t>
            </w:r>
          </w:p>
        </w:tc>
        <w:tc>
          <w:tcPr>
            <w:tcW w:w="82" w:type="dxa"/>
            <w:tcBorders/>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283"/>
              <w:jc w:val="left"/>
              <w:rPr/>
            </w:pPr>
            <w:r>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sz w:val="20"/>
              </w:rPr>
            </w:pPr>
            <w:r>
              <w:rPr>
                <w:sz w:val="20"/>
              </w:rPr>
              <w:t>5.6 years</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sz w:val="20"/>
              </w:rPr>
            </w:pPr>
            <w:r>
              <w:rPr>
                <w:sz w:val="20"/>
              </w:rPr>
              <w:t>6.4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sz w:val="20"/>
              </w:rPr>
            </w:pPr>
            <w:r>
              <w:rPr>
                <w:sz w:val="20"/>
              </w:rPr>
              <w:t>5.6 years</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sz w:val="20"/>
              </w:rPr>
            </w:pPr>
            <w:r>
              <w:rPr>
                <w:sz w:val="20"/>
              </w:rPr>
              <w:t>6.4 years</w:t>
            </w:r>
          </w:p>
        </w:tc>
        <w:tc>
          <w:tcPr>
            <w:tcW w:w="82" w:type="dxa"/>
            <w:tcBorders/>
            <w:shd w:fill="CCEEFF" w:val="clear"/>
            <w:vAlign w:val="center"/>
          </w:tcPr>
          <w:p>
            <w:pPr>
              <w:pStyle w:val="TableContents"/>
              <w:bidi w:val="0"/>
              <w:spacing w:before="0" w:after="283"/>
              <w:jc w:val="left"/>
              <w:rPr/>
            </w:pPr>
            <w:r>
              <w:rPr/>
              <w:t> </w:t>
            </w:r>
          </w:p>
        </w:tc>
      </w:tr>
      <w:tr>
        <w:trPr/>
        <w:tc>
          <w:tcPr>
            <w:tcW w:w="4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contractual maturities of our operating leases for each of the five years in the period ending December 31, 2027, and thereafter, reconciled to our operating lease liability at September 30, 2023:</w:t>
      </w:r>
    </w:p>
    <w:p>
      <w:pPr>
        <w:pStyle w:val="TextBody"/>
        <w:bidi w:val="0"/>
        <w:jc w:val="left"/>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4460"/>
        <w:gridCol w:w="60"/>
        <w:gridCol w:w="140"/>
        <w:gridCol w:w="560"/>
        <w:gridCol w:w="75"/>
      </w:tblGrid>
      <w:tr>
        <w:trPr/>
        <w:tc>
          <w:tcPr>
            <w:tcW w:w="4460" w:type="dxa"/>
            <w:tcBorders>
              <w:bottom w:val="single" w:sz="8"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2023 (three months remaining)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2024</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381</w:t>
            </w:r>
          </w:p>
        </w:tc>
        <w:tc>
          <w:tcPr>
            <w:tcW w:w="75"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2026</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351</w:t>
            </w:r>
          </w:p>
        </w:tc>
        <w:tc>
          <w:tcPr>
            <w:tcW w:w="75"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Thereafter</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right"/>
              <w:rPr/>
            </w:pPr>
            <w:r>
              <w:rPr/>
              <w:t>509</w:t>
            </w:r>
          </w:p>
        </w:tc>
        <w:tc>
          <w:tcPr>
            <w:tcW w:w="75"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Total undiscounted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2,040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Less: present value adjustment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right"/>
              <w:rPr/>
            </w:pPr>
            <w:r>
              <w:rPr/>
              <w:t>200</w:t>
            </w:r>
          </w:p>
        </w:tc>
        <w:tc>
          <w:tcPr>
            <w:tcW w:w="75"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Operating lease liability at September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560" w:type="dxa"/>
            <w:tcBorders>
              <w:bottom w:val="double" w:sz="6" w:space="0" w:color="000000"/>
            </w:tcBorders>
            <w:shd w:fill="CCEEFF" w:val="clear"/>
            <w:vAlign w:val="center"/>
          </w:tcPr>
          <w:p>
            <w:pPr>
              <w:pStyle w:val="TableContents"/>
              <w:bidi w:val="0"/>
              <w:spacing w:before="0" w:after="283"/>
              <w:jc w:val="right"/>
              <w:rPr/>
            </w:pPr>
            <w:r>
              <w:rPr/>
              <w:t>1,840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 w:right="14"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1818" w:type="dxa"/>
        <w:jc w:val="left"/>
        <w:tblInd w:w="0" w:type="dxa"/>
        <w:tblLayout w:type="fixed"/>
        <w:tblCellMar>
          <w:top w:w="0" w:type="dxa"/>
          <w:left w:w="0" w:type="dxa"/>
          <w:bottom w:w="0" w:type="dxa"/>
          <w:right w:w="0" w:type="dxa"/>
        </w:tblCellMar>
      </w:tblPr>
      <w:tblGrid>
        <w:gridCol w:w="38"/>
        <w:gridCol w:w="32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15.</w:t>
            </w:r>
          </w:p>
        </w:tc>
        <w:tc>
          <w:tcPr>
            <w:tcW w:w="1460" w:type="dxa"/>
            <w:tcBorders/>
            <w:vAlign w:val="center"/>
          </w:tcPr>
          <w:p>
            <w:pPr>
              <w:pStyle w:val="TableContents"/>
              <w:bidi w:val="0"/>
              <w:spacing w:before="0" w:after="283"/>
              <w:jc w:val="left"/>
              <w:rPr>
                <w:b/>
              </w:rPr>
            </w:pPr>
            <w:r>
              <w:rPr>
                <w:b/>
              </w:rPr>
              <w:t>Contingencies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named as a defendant in various lawsuits relating to our insurance operations. Contingent liabilities arising from litigation, income taxes, and other matters are not considered to be material to our financial position.</w:t>
      </w:r>
    </w:p>
    <w:tbl>
      <w:tblPr>
        <w:tblW w:w="3468" w:type="dxa"/>
        <w:jc w:val="left"/>
        <w:tblInd w:w="0" w:type="dxa"/>
        <w:tblLayout w:type="fixed"/>
        <w:tblCellMar>
          <w:top w:w="0" w:type="dxa"/>
          <w:left w:w="0" w:type="dxa"/>
          <w:bottom w:w="0" w:type="dxa"/>
          <w:right w:w="0" w:type="dxa"/>
        </w:tblCellMar>
      </w:tblPr>
      <w:tblGrid>
        <w:gridCol w:w="38"/>
        <w:gridCol w:w="3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3110" w:type="dxa"/>
            <w:tcBorders/>
            <w:vAlign w:val="center"/>
          </w:tcPr>
          <w:p>
            <w:pPr>
              <w:pStyle w:val="TableContents"/>
              <w:bidi w:val="0"/>
              <w:spacing w:before="0" w:after="283"/>
              <w:jc w:val="left"/>
              <w:rPr>
                <w:b/>
              </w:rPr>
            </w:pPr>
            <w:r>
              <w:rPr>
                <w:b/>
              </w:rPr>
              <w:t>Common and Preferred Stock</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number of common stock shares outstanding are as follows:</w:t>
      </w:r>
    </w:p>
    <w:tbl>
      <w:tblPr>
        <w:tblW w:w="10198" w:type="dxa"/>
        <w:jc w:val="left"/>
        <w:tblInd w:w="0" w:type="dxa"/>
        <w:tblLayout w:type="fixed"/>
        <w:tblCellMar>
          <w:top w:w="0" w:type="dxa"/>
          <w:left w:w="0" w:type="dxa"/>
          <w:bottom w:w="0" w:type="dxa"/>
          <w:right w:w="0" w:type="dxa"/>
        </w:tblCellMar>
      </w:tblPr>
      <w:tblGrid>
        <w:gridCol w:w="6440"/>
        <w:gridCol w:w="60"/>
        <w:gridCol w:w="87"/>
        <w:gridCol w:w="1595"/>
        <w:gridCol w:w="137"/>
        <w:gridCol w:w="87"/>
        <w:gridCol w:w="87"/>
        <w:gridCol w:w="1595"/>
        <w:gridCol w:w="110"/>
      </w:tblGrid>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216"/>
              <w:jc w:val="left"/>
              <w:rPr/>
            </w:pPr>
            <w:r>
              <w:rPr/>
              <w:t> </w:t>
            </w:r>
          </w:p>
        </w:tc>
      </w:tr>
      <w:tr>
        <w:trPr/>
        <w:tc>
          <w:tcPr>
            <w:tcW w:w="6440" w:type="dxa"/>
            <w:tcBorders/>
            <w:shd w:fill="CCEEFF" w:val="clear"/>
            <w:vAlign w:val="center"/>
          </w:tcPr>
          <w:p>
            <w:pPr>
              <w:pStyle w:val="TableContents"/>
              <w:bidi w:val="0"/>
              <w:spacing w:before="0" w:after="283"/>
              <w:jc w:val="left"/>
              <w:rPr/>
            </w:pPr>
            <w:r>
              <w:rPr/>
              <w:t>Shares outstanding, beginning of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21,076,255</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21,219,808</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6440" w:type="dxa"/>
            <w:tcBorders/>
            <w:vAlign w:val="center"/>
          </w:tcPr>
          <w:p>
            <w:pPr>
              <w:pStyle w:val="TableContents"/>
              <w:bidi w:val="0"/>
              <w:spacing w:before="0" w:after="283"/>
              <w:jc w:val="left"/>
              <w:rPr/>
            </w:pPr>
            <w:r>
              <w:rPr/>
              <w:t>Treasury shares repurchased through stock repurchase authorization</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(548,549</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(173,419</w:t>
            </w:r>
          </w:p>
        </w:tc>
        <w:tc>
          <w:tcPr>
            <w:tcW w:w="110" w:type="dxa"/>
            <w:tcBorders/>
            <w:vAlign w:val="center"/>
          </w:tcPr>
          <w:p>
            <w:pPr>
              <w:pStyle w:val="TableContents"/>
              <w:bidi w:val="0"/>
              <w:spacing w:before="0" w:after="283"/>
              <w:ind w:left="0" w:right="0" w:hanging="216"/>
              <w:jc w:val="left"/>
              <w:rPr/>
            </w:pPr>
            <w:r>
              <w:rPr/>
              <w:t>)</w:t>
            </w:r>
          </w:p>
        </w:tc>
      </w:tr>
      <w:tr>
        <w:trPr/>
        <w:tc>
          <w:tcPr>
            <w:tcW w:w="6440" w:type="dxa"/>
            <w:tcBorders/>
            <w:shd w:fill="CCEEFF" w:val="clear"/>
            <w:vAlign w:val="center"/>
          </w:tcPr>
          <w:p>
            <w:pPr>
              <w:pStyle w:val="TableContents"/>
              <w:bidi w:val="0"/>
              <w:spacing w:before="0" w:after="283"/>
              <w:jc w:val="left"/>
              <w:rPr/>
            </w:pPr>
            <w:r>
              <w:rPr/>
              <w:t>Issuance of treasury shares for vesting of restricted stock units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283"/>
              <w:jc w:val="right"/>
              <w:rPr/>
            </w:pPr>
            <w:r>
              <w:rPr/>
              <w:t>47,887</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283"/>
              <w:jc w:val="right"/>
              <w:rPr/>
            </w:pPr>
            <w:r>
              <w:rPr/>
              <w:t>101,292</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6440" w:type="dxa"/>
            <w:tcBorders/>
            <w:vAlign w:val="center"/>
          </w:tcPr>
          <w:p>
            <w:pPr>
              <w:pStyle w:val="TableContents"/>
              <w:bidi w:val="0"/>
              <w:spacing w:before="0" w:after="283"/>
              <w:jc w:val="left"/>
              <w:rPr/>
            </w:pPr>
            <w:r>
              <w:rPr/>
              <w:t>Shares outstanding, end of period</w:t>
            </w:r>
          </w:p>
        </w:tc>
        <w:tc>
          <w:tcPr>
            <w:tcW w:w="60" w:type="dxa"/>
            <w:tcBorders/>
            <w:vAlign w:val="center"/>
          </w:tcPr>
          <w:p>
            <w:pPr>
              <w:pStyle w:val="TableContents"/>
              <w:bidi w:val="0"/>
              <w:spacing w:before="0" w:after="283"/>
              <w:jc w:val="left"/>
              <w:rPr/>
            </w:pPr>
            <w:r>
              <w:rPr/>
              <w:t> </w:t>
            </w:r>
          </w:p>
        </w:tc>
        <w:tc>
          <w:tcPr>
            <w:tcW w:w="87" w:type="dxa"/>
            <w:tcBorders>
              <w:bottom w:val="double" w:sz="6" w:space="0" w:color="000000"/>
            </w:tcBorders>
            <w:tcMar>
              <w:bottom w:w="28" w:type="dxa"/>
            </w:tcMar>
            <w:vAlign w:val="center"/>
          </w:tcPr>
          <w:p>
            <w:pPr>
              <w:pStyle w:val="TableContents"/>
              <w:bidi w:val="0"/>
              <w:spacing w:before="0" w:after="283"/>
              <w:jc w:val="left"/>
              <w:rPr/>
            </w:pPr>
            <w:r>
              <w:rPr/>
              <w:t> </w:t>
            </w:r>
          </w:p>
        </w:tc>
        <w:tc>
          <w:tcPr>
            <w:tcW w:w="1595" w:type="dxa"/>
            <w:tcBorders>
              <w:bottom w:val="double" w:sz="6" w:space="0" w:color="000000"/>
            </w:tcBorders>
            <w:tcMar>
              <w:bottom w:w="28" w:type="dxa"/>
            </w:tcMar>
            <w:vAlign w:val="center"/>
          </w:tcPr>
          <w:p>
            <w:pPr>
              <w:pStyle w:val="TableContents"/>
              <w:bidi w:val="0"/>
              <w:spacing w:before="0" w:after="283"/>
              <w:jc w:val="right"/>
              <w:rPr/>
            </w:pPr>
            <w:r>
              <w:rPr/>
              <w:t>20,575,593</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bottom w:val="double" w:sz="6" w:space="0" w:color="000000"/>
            </w:tcBorders>
            <w:tcMar>
              <w:bottom w:w="28" w:type="dxa"/>
            </w:tcMar>
            <w:vAlign w:val="center"/>
          </w:tcPr>
          <w:p>
            <w:pPr>
              <w:pStyle w:val="TableContents"/>
              <w:bidi w:val="0"/>
              <w:spacing w:before="0" w:after="283"/>
              <w:jc w:val="left"/>
              <w:rPr/>
            </w:pPr>
            <w:r>
              <w:rPr/>
              <w:t> </w:t>
            </w:r>
          </w:p>
        </w:tc>
        <w:tc>
          <w:tcPr>
            <w:tcW w:w="1595" w:type="dxa"/>
            <w:tcBorders>
              <w:bottom w:val="double" w:sz="6" w:space="0" w:color="000000"/>
            </w:tcBorders>
            <w:tcMar>
              <w:bottom w:w="28" w:type="dxa"/>
            </w:tcMar>
            <w:vAlign w:val="center"/>
          </w:tcPr>
          <w:p>
            <w:pPr>
              <w:pStyle w:val="TableContents"/>
              <w:bidi w:val="0"/>
              <w:spacing w:before="0" w:after="283"/>
              <w:jc w:val="right"/>
              <w:rPr/>
            </w:pPr>
            <w:r>
              <w:rPr/>
              <w:t>21,147,681</w:t>
            </w:r>
          </w:p>
        </w:tc>
        <w:tc>
          <w:tcPr>
            <w:tcW w:w="11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nine-month period ended September 30, 2023, excluded the weighted average effects of 68,380 shares of stock awards since the impacts of these potential shares of common stock were anti-dilutive. The net loss per diluted common share for the three- and nine-month periods ended September 30, 2022, excluded the weighted average effects of 99,960 and 171,209 shares of stock awards, respectively, since the impacts of these potential shares of common stock were anti-dilutive.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 Of these amounts, 173,419 shares were repurchased for $2,870 during the nine months ended September 30, 2022.</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nine months ended September 30, 2023, we completed the repurchase of 548,549 shares of our common stock for $7,280, including the applicable excise tax. At September 30, 2023, $2,052 remains available under this authorization.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this treasury stock is a reduction of shareholders’ equity within our Consolidated Balance Sheets.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2022, the U.S. government enacted the Inflation Reduction Act (“IRA”) which, among other changes, created a new corporate alternative minimum tax (“AMT”) based on adjusted financial statement income and imposes a 1% excise tax on corporate stock repurchases, subject to certain adjustments. The effective date of these provisions was January 1, 2023. The Company is not currently subject to the AMT based on our reported GAAP earnings for the past three years and does not expect the IRA to have a material impact on the Company’s financial position and results of operations.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Incorporation provide authority to issue up to five million shares of preferred stock. No preferred shares are issued or outstanding.</w:t>
      </w:r>
    </w:p>
    <w:tbl>
      <w:tblPr>
        <w:tblW w:w="3168" w:type="dxa"/>
        <w:jc w:val="left"/>
        <w:tblInd w:w="0" w:type="dxa"/>
        <w:tblLayout w:type="fixed"/>
        <w:tblCellMar>
          <w:top w:w="0" w:type="dxa"/>
          <w:left w:w="0" w:type="dxa"/>
          <w:bottom w:w="0" w:type="dxa"/>
          <w:right w:w="0" w:type="dxa"/>
        </w:tblCellMar>
      </w:tblPr>
      <w:tblGrid>
        <w:gridCol w:w="38"/>
        <w:gridCol w:w="27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17.</w:t>
            </w:r>
          </w:p>
        </w:tc>
        <w:tc>
          <w:tcPr>
            <w:tcW w:w="2855" w:type="dxa"/>
            <w:tcBorders/>
            <w:vAlign w:val="center"/>
          </w:tcPr>
          <w:p>
            <w:pPr>
              <w:pStyle w:val="TableContents"/>
              <w:bidi w:val="0"/>
              <w:spacing w:before="0" w:after="283"/>
              <w:jc w:val="left"/>
              <w:rPr>
                <w:b/>
              </w:rPr>
            </w:pPr>
            <w:r>
              <w:rPr>
                <w:b/>
              </w:rPr>
              <w:t>Share-Based Compensation</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and unearned RSUs is presented below:</w:t>
      </w:r>
    </w:p>
    <w:tbl>
      <w:tblPr>
        <w:tblW w:w="8300" w:type="dxa"/>
        <w:jc w:val="left"/>
        <w:tblInd w:w="0" w:type="dxa"/>
        <w:tblLayout w:type="fixed"/>
        <w:tblCellMar>
          <w:top w:w="0" w:type="dxa"/>
          <w:left w:w="0" w:type="dxa"/>
          <w:bottom w:w="0" w:type="dxa"/>
          <w:right w:w="0" w:type="dxa"/>
        </w:tblCellMar>
      </w:tblPr>
      <w:tblGrid>
        <w:gridCol w:w="5225"/>
        <w:gridCol w:w="60"/>
        <w:gridCol w:w="60"/>
        <w:gridCol w:w="800"/>
        <w:gridCol w:w="95"/>
        <w:gridCol w:w="60"/>
        <w:gridCol w:w="385"/>
        <w:gridCol w:w="1540"/>
        <w:gridCol w:w="75"/>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 xml:space="preserve">Fair Value </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Units outstanding and unearned at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16.86</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RSUs granted during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59,600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17.61</w:t>
            </w:r>
          </w:p>
        </w:tc>
        <w:tc>
          <w:tcPr>
            <w:tcW w:w="7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RSUs earned during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(52,620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17.39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Units outstanding and unearned at December 31, 2022</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115,360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17.00</w:t>
            </w:r>
          </w:p>
        </w:tc>
        <w:tc>
          <w:tcPr>
            <w:tcW w:w="7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RSUs granted during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13.76</w:t>
            </w:r>
          </w:p>
        </w:tc>
        <w:tc>
          <w:tcPr>
            <w:tcW w:w="75" w:type="dxa"/>
            <w:tcBorders/>
            <w:vAlign w:val="center"/>
          </w:tcPr>
          <w:p>
            <w:pPr>
              <w:pStyle w:val="TableContents"/>
              <w:bidi w:val="0"/>
              <w:spacing w:before="0" w:after="283"/>
              <w:ind w:left="0" w:right="0" w:hanging="216"/>
              <w:jc w:val="left"/>
              <w:rPr/>
            </w:pPr>
            <w:r>
              <w:rPr/>
              <w:t> </w:t>
            </w:r>
          </w:p>
        </w:tc>
      </w:tr>
      <w:tr>
        <w:trPr/>
        <w:tc>
          <w:tcPr>
            <w:tcW w:w="5225" w:type="dxa"/>
            <w:tcBorders/>
            <w:shd w:fill="CCEEFF" w:val="clear"/>
            <w:vAlign w:val="center"/>
          </w:tcPr>
          <w:p>
            <w:pPr>
              <w:pStyle w:val="TableContents"/>
              <w:bidi w:val="0"/>
              <w:spacing w:before="0" w:after="283"/>
              <w:jc w:val="left"/>
              <w:rPr/>
            </w:pPr>
            <w:r>
              <w:rPr/>
              <w:t>RSUs earned during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(53,780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16.32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225" w:type="dxa"/>
            <w:tcBorders/>
            <w:vAlign w:val="center"/>
          </w:tcPr>
          <w:p>
            <w:pPr>
              <w:pStyle w:val="TableContents"/>
              <w:bidi w:val="0"/>
              <w:spacing w:before="0" w:after="283"/>
              <w:jc w:val="left"/>
              <w:rPr/>
            </w:pPr>
            <w:r>
              <w:rPr/>
              <w:t>Units outstanding and unearned at September 30, 2023</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pPr>
            <w:r>
              <w:rPr/>
              <w:t>146,580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15.37</w:t>
            </w:r>
          </w:p>
        </w:tc>
        <w:tc>
          <w:tcPr>
            <w:tcW w:w="75" w:type="dxa"/>
            <w:tcBorders/>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RSU activity to the Company’s financial results:</w:t>
      </w:r>
    </w:p>
    <w:tbl>
      <w:tblPr>
        <w:tblW w:w="10205" w:type="dxa"/>
        <w:jc w:val="left"/>
        <w:tblInd w:w="0" w:type="dxa"/>
        <w:tblLayout w:type="fixed"/>
        <w:tblCellMar>
          <w:top w:w="0" w:type="dxa"/>
          <w:left w:w="0" w:type="dxa"/>
          <w:bottom w:w="0" w:type="dxa"/>
          <w:right w:w="0" w:type="dxa"/>
        </w:tblCellMar>
      </w:tblPr>
      <w:tblGrid>
        <w:gridCol w:w="3803"/>
        <w:gridCol w:w="60"/>
        <w:gridCol w:w="359"/>
        <w:gridCol w:w="977"/>
        <w:gridCol w:w="244"/>
        <w:gridCol w:w="154"/>
        <w:gridCol w:w="359"/>
        <w:gridCol w:w="977"/>
        <w:gridCol w:w="95"/>
        <w:gridCol w:w="60"/>
        <w:gridCol w:w="313"/>
        <w:gridCol w:w="1019"/>
        <w:gridCol w:w="212"/>
        <w:gridCol w:w="134"/>
        <w:gridCol w:w="313"/>
        <w:gridCol w:w="1019"/>
        <w:gridCol w:w="107"/>
      </w:tblGrid>
      <w:tr>
        <w:trPr/>
        <w:tc>
          <w:tcPr>
            <w:tcW w:w="3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07" w:type="dxa"/>
            <w:tcBorders/>
            <w:vAlign w:val="center"/>
          </w:tcPr>
          <w:p>
            <w:pPr>
              <w:pStyle w:val="TableContents"/>
              <w:bidi w:val="0"/>
              <w:spacing w:before="0" w:after="283"/>
              <w:jc w:val="left"/>
              <w:rPr/>
            </w:pPr>
            <w:r>
              <w:rPr/>
              <w:t> </w:t>
            </w:r>
          </w:p>
        </w:tc>
      </w:tr>
      <w:tr>
        <w:trPr/>
        <w:tc>
          <w:tcPr>
            <w:tcW w:w="3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4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07" w:type="dxa"/>
            <w:tcBorders/>
            <w:vAlign w:val="center"/>
          </w:tcPr>
          <w:p>
            <w:pPr>
              <w:pStyle w:val="TableContents"/>
              <w:bidi w:val="0"/>
              <w:spacing w:before="0" w:after="283"/>
              <w:jc w:val="left"/>
              <w:rPr/>
            </w:pPr>
            <w:r>
              <w:rPr/>
              <w:t> </w:t>
            </w:r>
          </w:p>
        </w:tc>
      </w:tr>
      <w:tr>
        <w:trPr/>
        <w:tc>
          <w:tcPr>
            <w:tcW w:w="3803" w:type="dxa"/>
            <w:tcBorders/>
            <w:shd w:fill="CCEEFF" w:val="clear"/>
            <w:vAlign w:val="center"/>
          </w:tcPr>
          <w:p>
            <w:pPr>
              <w:pStyle w:val="TableContents"/>
              <w:bidi w:val="0"/>
              <w:spacing w:before="0" w:after="283"/>
              <w:jc w:val="left"/>
              <w:rPr/>
            </w:pPr>
            <w:r>
              <w:rPr/>
              <w:t>RSU compensation expense</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268</w:t>
            </w:r>
          </w:p>
        </w:tc>
        <w:tc>
          <w:tcPr>
            <w:tcW w:w="24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827</w:t>
            </w:r>
          </w:p>
        </w:tc>
        <w:tc>
          <w:tcPr>
            <w:tcW w:w="212"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725</w:t>
            </w:r>
          </w:p>
        </w:tc>
        <w:tc>
          <w:tcPr>
            <w:tcW w:w="107" w:type="dxa"/>
            <w:tcBorders/>
            <w:shd w:fill="CCEEFF" w:val="clear"/>
            <w:vAlign w:val="center"/>
          </w:tcPr>
          <w:p>
            <w:pPr>
              <w:pStyle w:val="TableContents"/>
              <w:bidi w:val="0"/>
              <w:spacing w:before="0" w:after="283"/>
              <w:ind w:left="0" w:right="0" w:hanging="216"/>
              <w:jc w:val="left"/>
              <w:rPr/>
            </w:pPr>
            <w:r>
              <w:rPr/>
              <w:t> </w:t>
            </w:r>
          </w:p>
        </w:tc>
      </w:tr>
      <w:tr>
        <w:trPr/>
        <w:tc>
          <w:tcPr>
            <w:tcW w:w="3803" w:type="dxa"/>
            <w:tcBorders/>
            <w:vAlign w:val="center"/>
          </w:tcPr>
          <w:p>
            <w:pPr>
              <w:pStyle w:val="TableContents"/>
              <w:bidi w:val="0"/>
              <w:spacing w:before="0" w:after="283"/>
              <w:jc w:val="left"/>
              <w:rPr/>
            </w:pPr>
            <w:r>
              <w:rPr/>
              <w:t>Income tax benefit</w:t>
            </w:r>
          </w:p>
        </w:tc>
        <w:tc>
          <w:tcPr>
            <w:tcW w:w="60" w:type="dxa"/>
            <w:tcBorders/>
            <w:vAlign w:val="center"/>
          </w:tcPr>
          <w:p>
            <w:pPr>
              <w:pStyle w:val="TableContents"/>
              <w:bidi w:val="0"/>
              <w:spacing w:before="0" w:after="283"/>
              <w:jc w:val="left"/>
              <w:rPr/>
            </w:pPr>
            <w:r>
              <w:rPr/>
              <w:t> </w:t>
            </w:r>
          </w:p>
        </w:tc>
        <w:tc>
          <w:tcPr>
            <w:tcW w:w="359" w:type="dxa"/>
            <w:tcBorders>
              <w:bottom w:val="single" w:sz="8" w:space="0" w:color="000000"/>
            </w:tcBorders>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tcMar>
              <w:bottom w:w="28" w:type="dxa"/>
            </w:tcMar>
            <w:vAlign w:val="center"/>
          </w:tcPr>
          <w:p>
            <w:pPr>
              <w:pStyle w:val="TableContents"/>
              <w:bidi w:val="0"/>
              <w:spacing w:before="0" w:after="283"/>
              <w:jc w:val="right"/>
              <w:rPr/>
            </w:pPr>
            <w:r>
              <w:rPr/>
              <w:t>(61</w:t>
            </w:r>
          </w:p>
        </w:tc>
        <w:tc>
          <w:tcPr>
            <w:tcW w:w="24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 </w:t>
            </w:r>
          </w:p>
        </w:tc>
        <w:tc>
          <w:tcPr>
            <w:tcW w:w="359" w:type="dxa"/>
            <w:tcBorders>
              <w:bottom w:val="single" w:sz="8" w:space="0" w:color="000000"/>
            </w:tcBorders>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tcMar>
              <w:bottom w:w="28" w:type="dxa"/>
            </w:tcMar>
            <w:vAlign w:val="center"/>
          </w:tcPr>
          <w:p>
            <w:pPr>
              <w:pStyle w:val="TableContents"/>
              <w:bidi w:val="0"/>
              <w:spacing w:before="0" w:after="283"/>
              <w:jc w:val="right"/>
              <w:rPr/>
            </w:pPr>
            <w:r>
              <w:rPr/>
              <w:t>(52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(188</w:t>
            </w:r>
          </w:p>
        </w:tc>
        <w:tc>
          <w:tcPr>
            <w:tcW w:w="212"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 </w:t>
            </w:r>
          </w:p>
        </w:tc>
        <w:tc>
          <w:tcPr>
            <w:tcW w:w="3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(165</w:t>
            </w:r>
          </w:p>
        </w:tc>
        <w:tc>
          <w:tcPr>
            <w:tcW w:w="107" w:type="dxa"/>
            <w:tcBorders/>
            <w:vAlign w:val="center"/>
          </w:tcPr>
          <w:p>
            <w:pPr>
              <w:pStyle w:val="TableContents"/>
              <w:bidi w:val="0"/>
              <w:spacing w:before="0" w:after="283"/>
              <w:ind w:left="0" w:right="0" w:hanging="216"/>
              <w:jc w:val="left"/>
              <w:rPr/>
            </w:pPr>
            <w:r>
              <w:rPr/>
              <w:t>)</w:t>
            </w:r>
          </w:p>
        </w:tc>
      </w:tr>
      <w:tr>
        <w:trPr/>
        <w:tc>
          <w:tcPr>
            <w:tcW w:w="3803" w:type="dxa"/>
            <w:tcBorders/>
            <w:shd w:fill="CCEEFF" w:val="clear"/>
            <w:vAlign w:val="center"/>
          </w:tcPr>
          <w:p>
            <w:pPr>
              <w:pStyle w:val="TableContents"/>
              <w:bidi w:val="0"/>
              <w:spacing w:before="0" w:after="283"/>
              <w:jc w:val="left"/>
              <w:rPr/>
            </w:pPr>
            <w:r>
              <w:rPr/>
              <w:t>RSU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pPr>
            <w:r>
              <w:rPr/>
              <w:t>207</w:t>
            </w:r>
          </w:p>
        </w:tc>
        <w:tc>
          <w:tcPr>
            <w:tcW w:w="24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639</w:t>
            </w:r>
          </w:p>
        </w:tc>
        <w:tc>
          <w:tcPr>
            <w:tcW w:w="212"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560</w:t>
            </w:r>
          </w:p>
        </w:tc>
        <w:tc>
          <w:tcPr>
            <w:tcW w:w="107"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there was $1,159 of unrecognized compensation cost related to outstanding RSUs. That cost is expected to be recognized over a weighted-average period of 1.70 years.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Share Units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adjusted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PSUs is presented below:</w:t>
      </w:r>
    </w:p>
    <w:tbl>
      <w:tblPr>
        <w:tblW w:w="7025" w:type="dxa"/>
        <w:jc w:val="left"/>
        <w:tblInd w:w="0" w:type="dxa"/>
        <w:tblLayout w:type="fixed"/>
        <w:tblCellMar>
          <w:top w:w="0" w:type="dxa"/>
          <w:left w:w="0" w:type="dxa"/>
          <w:bottom w:w="0" w:type="dxa"/>
          <w:right w:w="0" w:type="dxa"/>
        </w:tblCellMar>
      </w:tblPr>
      <w:tblGrid>
        <w:gridCol w:w="3890"/>
        <w:gridCol w:w="60"/>
        <w:gridCol w:w="60"/>
        <w:gridCol w:w="800"/>
        <w:gridCol w:w="95"/>
        <w:gridCol w:w="60"/>
        <w:gridCol w:w="397"/>
        <w:gridCol w:w="1588"/>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Weighted-Average </w:t>
              <w:br/>
              <w:t>Grant-Date</w:t>
              <w:br/>
              <w:t xml:space="preserve">Fair Value </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Units outstanding at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16.06</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PSUs granted during 2022 (at 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61,800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18.10</w:t>
            </w:r>
          </w:p>
        </w:tc>
        <w:tc>
          <w:tcPr>
            <w:tcW w:w="7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PSUs earned during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15.21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31,200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15.21</w:t>
            </w:r>
          </w:p>
        </w:tc>
        <w:tc>
          <w:tcPr>
            <w:tcW w:w="7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15.21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Units outstanding at December 31, 2022</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190,000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17.00</w:t>
            </w:r>
          </w:p>
        </w:tc>
        <w:tc>
          <w:tcPr>
            <w:tcW w:w="7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PSUs granted during 2023 (at 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87,400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13.85</w:t>
            </w:r>
          </w:p>
        </w:tc>
        <w:tc>
          <w:tcPr>
            <w:tcW w:w="7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PSUs earned during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(63,600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14.26</w:t>
            </w:r>
          </w:p>
        </w:tc>
        <w:tc>
          <w:tcPr>
            <w:tcW w:w="75" w:type="dxa"/>
            <w:tcBorders/>
            <w:vAlign w:val="center"/>
          </w:tcPr>
          <w:p>
            <w:pPr>
              <w:pStyle w:val="TableContents"/>
              <w:bidi w:val="0"/>
              <w:spacing w:before="0" w:after="283"/>
              <w:ind w:left="0" w:right="0" w:hanging="216"/>
              <w:jc w:val="left"/>
              <w:rPr/>
            </w:pPr>
            <w:r>
              <w:rPr/>
              <w:t> </w:t>
            </w:r>
          </w:p>
        </w:tc>
      </w:tr>
      <w:tr>
        <w:trPr/>
        <w:tc>
          <w:tcPr>
            <w:tcW w:w="3890"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90" w:type="dxa"/>
            <w:tcBorders/>
            <w:vAlign w:val="center"/>
          </w:tcPr>
          <w:p>
            <w:pPr>
              <w:pStyle w:val="TableContents"/>
              <w:bidi w:val="0"/>
              <w:spacing w:before="0" w:after="283"/>
              <w:jc w:val="left"/>
              <w:rPr/>
            </w:pPr>
            <w:r>
              <w:rPr/>
              <w:t>Units outstanding at September 30, 2023</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pPr>
            <w:r>
              <w:rPr/>
              <w:t>213,800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16.53</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Represents the change in PSUs issued based upon the attainment of performance goals established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PSU activity to the Company’s financial results:</w:t>
      </w:r>
    </w:p>
    <w:tbl>
      <w:tblPr>
        <w:tblW w:w="10205" w:type="dxa"/>
        <w:jc w:val="left"/>
        <w:tblInd w:w="0" w:type="dxa"/>
        <w:tblLayout w:type="fixed"/>
        <w:tblCellMar>
          <w:top w:w="0" w:type="dxa"/>
          <w:left w:w="0" w:type="dxa"/>
          <w:bottom w:w="0" w:type="dxa"/>
          <w:right w:w="0" w:type="dxa"/>
        </w:tblCellMar>
      </w:tblPr>
      <w:tblGrid>
        <w:gridCol w:w="3787"/>
        <w:gridCol w:w="60"/>
        <w:gridCol w:w="341"/>
        <w:gridCol w:w="926"/>
        <w:gridCol w:w="231"/>
        <w:gridCol w:w="145"/>
        <w:gridCol w:w="341"/>
        <w:gridCol w:w="1109"/>
        <w:gridCol w:w="95"/>
        <w:gridCol w:w="60"/>
        <w:gridCol w:w="329"/>
        <w:gridCol w:w="897"/>
        <w:gridCol w:w="223"/>
        <w:gridCol w:w="141"/>
        <w:gridCol w:w="329"/>
        <w:gridCol w:w="1074"/>
        <w:gridCol w:w="117"/>
      </w:tblGrid>
      <w:tr>
        <w:trPr/>
        <w:tc>
          <w:tcPr>
            <w:tcW w:w="37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7"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23"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283"/>
              <w:jc w:val="left"/>
              <w:rPr/>
            </w:pPr>
            <w:r>
              <w:rPr/>
              <w:t>PSU compensation expense (benefit)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141</w:t>
            </w:r>
          </w:p>
        </w:tc>
        <w:tc>
          <w:tcPr>
            <w:tcW w:w="23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(872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418</w:t>
            </w:r>
          </w:p>
        </w:tc>
        <w:tc>
          <w:tcPr>
            <w:tcW w:w="22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(349</w:t>
            </w:r>
          </w:p>
        </w:tc>
        <w:tc>
          <w:tcPr>
            <w:tcW w:w="117" w:type="dxa"/>
            <w:tcBorders/>
            <w:shd w:fill="CCEEFF" w:val="clear"/>
            <w:vAlign w:val="center"/>
          </w:tcPr>
          <w:p>
            <w:pPr>
              <w:pStyle w:val="TableContents"/>
              <w:bidi w:val="0"/>
              <w:spacing w:before="0" w:after="283"/>
              <w:ind w:left="0" w:right="0" w:hanging="216"/>
              <w:jc w:val="left"/>
              <w:rPr/>
            </w:pPr>
            <w:r>
              <w:rPr/>
              <w:t>)</w:t>
            </w:r>
          </w:p>
        </w:tc>
      </w:tr>
      <w:tr>
        <w:trPr/>
        <w:tc>
          <w:tcPr>
            <w:tcW w:w="3787" w:type="dxa"/>
            <w:tcBorders/>
            <w:vAlign w:val="center"/>
          </w:tcPr>
          <w:p>
            <w:pPr>
              <w:pStyle w:val="TableContents"/>
              <w:bidi w:val="0"/>
              <w:spacing w:before="0" w:after="283"/>
              <w:jc w:val="left"/>
              <w:rPr/>
            </w:pPr>
            <w:r>
              <w:rPr/>
              <w:t>Income tax expense (benefit)</w:t>
            </w:r>
          </w:p>
        </w:tc>
        <w:tc>
          <w:tcPr>
            <w:tcW w:w="60" w:type="dxa"/>
            <w:tcBorders/>
            <w:vAlign w:val="center"/>
          </w:tcPr>
          <w:p>
            <w:pPr>
              <w:pStyle w:val="TableContents"/>
              <w:bidi w:val="0"/>
              <w:spacing w:before="0" w:after="283"/>
              <w:jc w:val="left"/>
              <w:rPr/>
            </w:pPr>
            <w:r>
              <w:rPr/>
              <w:t> </w:t>
            </w:r>
          </w:p>
        </w:tc>
        <w:tc>
          <w:tcPr>
            <w:tcW w:w="341" w:type="dxa"/>
            <w:tcBorders>
              <w:bottom w:val="single" w:sz="8" w:space="0" w:color="000000"/>
            </w:tcBorders>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tcMar>
              <w:bottom w:w="28" w:type="dxa"/>
            </w:tcMar>
            <w:vAlign w:val="center"/>
          </w:tcPr>
          <w:p>
            <w:pPr>
              <w:pStyle w:val="TableContents"/>
              <w:bidi w:val="0"/>
              <w:spacing w:before="0" w:after="283"/>
              <w:jc w:val="right"/>
              <w:rPr/>
            </w:pPr>
            <w:r>
              <w:rPr/>
              <w:t>(32</w:t>
            </w:r>
          </w:p>
        </w:tc>
        <w:tc>
          <w:tcPr>
            <w:tcW w:w="23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 </w:t>
            </w:r>
          </w:p>
        </w:tc>
        <w:tc>
          <w:tcPr>
            <w:tcW w:w="341" w:type="dxa"/>
            <w:tcBorders>
              <w:bottom w:val="single" w:sz="8" w:space="0" w:color="000000"/>
            </w:tcBorders>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tcMar>
              <w:bottom w:w="28" w:type="dxa"/>
            </w:tcMar>
            <w:vAlign w:val="center"/>
          </w:tcPr>
          <w:p>
            <w:pPr>
              <w:pStyle w:val="TableContents"/>
              <w:bidi w:val="0"/>
              <w:spacing w:before="0" w:after="283"/>
              <w:jc w:val="right"/>
              <w:rPr/>
            </w:pPr>
            <w:r>
              <w:rPr/>
              <w:t>198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 w:type="dxa"/>
            <w:tcBorders>
              <w:bottom w:val="single" w:sz="8" w:space="0" w:color="000000"/>
            </w:tcBorders>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tcMar>
              <w:bottom w:w="28" w:type="dxa"/>
            </w:tcMar>
            <w:vAlign w:val="center"/>
          </w:tcPr>
          <w:p>
            <w:pPr>
              <w:pStyle w:val="TableContents"/>
              <w:bidi w:val="0"/>
              <w:spacing w:before="0" w:after="283"/>
              <w:jc w:val="right"/>
              <w:rPr/>
            </w:pPr>
            <w:r>
              <w:rPr/>
              <w:t>(95</w:t>
            </w:r>
          </w:p>
        </w:tc>
        <w:tc>
          <w:tcPr>
            <w:tcW w:w="223"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 </w:t>
            </w:r>
          </w:p>
        </w:tc>
        <w:tc>
          <w:tcPr>
            <w:tcW w:w="329" w:type="dxa"/>
            <w:tcBorders>
              <w:bottom w:val="single" w:sz="8" w:space="0" w:color="000000"/>
            </w:tcBorders>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tcMar>
              <w:bottom w:w="28" w:type="dxa"/>
            </w:tcMar>
            <w:vAlign w:val="center"/>
          </w:tcPr>
          <w:p>
            <w:pPr>
              <w:pStyle w:val="TableContents"/>
              <w:bidi w:val="0"/>
              <w:spacing w:before="0" w:after="283"/>
              <w:jc w:val="right"/>
              <w:rPr/>
            </w:pPr>
            <w:r>
              <w:rPr/>
              <w:t>79</w:t>
            </w:r>
          </w:p>
        </w:tc>
        <w:tc>
          <w:tcPr>
            <w:tcW w:w="117" w:type="dxa"/>
            <w:tcBorders/>
            <w:vAlign w:val="center"/>
          </w:tcPr>
          <w:p>
            <w:pPr>
              <w:pStyle w:val="TableContents"/>
              <w:bidi w:val="0"/>
              <w:spacing w:before="0" w:after="283"/>
              <w:ind w:left="0" w:right="0" w:hanging="216"/>
              <w:jc w:val="left"/>
              <w:rPr/>
            </w:pPr>
            <w:r>
              <w:rPr/>
              <w:t> </w:t>
            </w:r>
          </w:p>
        </w:tc>
      </w:tr>
      <w:tr>
        <w:trPr/>
        <w:tc>
          <w:tcPr>
            <w:tcW w:w="3787" w:type="dxa"/>
            <w:tcBorders/>
            <w:shd w:fill="CCEEFF" w:val="clear"/>
            <w:vAlign w:val="center"/>
          </w:tcPr>
          <w:p>
            <w:pPr>
              <w:pStyle w:val="TableContents"/>
              <w:bidi w:val="0"/>
              <w:spacing w:before="0" w:after="283"/>
              <w:jc w:val="left"/>
              <w:rPr/>
            </w:pPr>
            <w:r>
              <w:rPr/>
              <w:t>PSU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jc w:val="right"/>
              <w:rPr/>
            </w:pPr>
            <w:r>
              <w:rPr/>
              <w:t>109</w:t>
            </w:r>
          </w:p>
        </w:tc>
        <w:tc>
          <w:tcPr>
            <w:tcW w:w="23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pPr>
            <w:r>
              <w:rPr/>
              <w:t>(674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pPr>
            <w:r>
              <w:rPr/>
              <w:t>323</w:t>
            </w:r>
          </w:p>
        </w:tc>
        <w:tc>
          <w:tcPr>
            <w:tcW w:w="223"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(270</w:t>
            </w:r>
          </w:p>
        </w:tc>
        <w:tc>
          <w:tcPr>
            <w:tcW w:w="117" w:type="dxa"/>
            <w:tcBorders/>
            <w:shd w:fill="CCEEFF" w:val="clear"/>
            <w:vAlign w:val="center"/>
          </w:tcPr>
          <w:p>
            <w:pPr>
              <w:pStyle w:val="TableContents"/>
              <w:bidi w:val="0"/>
              <w:spacing w:before="0" w:after="283"/>
              <w:jc w:val="left"/>
              <w:rPr/>
            </w:pPr>
            <w:r>
              <w:rPr/>
              <w:t>)</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150% of the initial target awards.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there was $1,175 of unrecognized compensation cost related to outstanding PSUs. That cost is expected to be recognized over a weighted-average period of 2.20 years.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4263" w:type="dxa"/>
        <w:jc w:val="left"/>
        <w:tblInd w:w="0" w:type="dxa"/>
        <w:tblLayout w:type="fixed"/>
        <w:tblCellMar>
          <w:top w:w="0" w:type="dxa"/>
          <w:left w:w="0" w:type="dxa"/>
          <w:bottom w:w="0" w:type="dxa"/>
          <w:right w:w="0" w:type="dxa"/>
        </w:tblCellMar>
      </w:tblPr>
      <w:tblGrid>
        <w:gridCol w:w="38"/>
        <w:gridCol w:w="32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18.</w:t>
            </w:r>
          </w:p>
        </w:tc>
        <w:tc>
          <w:tcPr>
            <w:tcW w:w="3905" w:type="dxa"/>
            <w:tcBorders/>
            <w:vAlign w:val="center"/>
          </w:tcPr>
          <w:p>
            <w:pPr>
              <w:pStyle w:val="TableContents"/>
              <w:bidi w:val="0"/>
              <w:spacing w:before="0" w:after="283"/>
              <w:jc w:val="left"/>
              <w:rPr>
                <w:b/>
              </w:rPr>
            </w:pPr>
            <w:r>
              <w:rPr>
                <w:b/>
              </w:rPr>
              <w:t>Allowance for Expected Credit Losses</w:t>
            </w:r>
          </w:p>
        </w:tc>
      </w:tr>
    </w:tbl>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31, 2022, credit losses are recognized through an allowance account developed using the new CECL model. This guidance was adopted in the fourth quarter of 2022, and accordingly, there was no allowance for expected credit losses as of September 30, 2022. See the Part II, Item 8, Note 2 “Recent Accounting Pronouncements” section of the 2022 Annual Report for additional information. The following table presents the balances of premiums and agents’ receivable balances, net of the allowance for expected credit losses as of September 30, 2023, and the changes in the allowance for expected credit losses for the three and nine months ended September 30, 2023.</w:t>
      </w:r>
    </w:p>
    <w:tbl>
      <w:tblPr>
        <w:tblW w:w="9173" w:type="dxa"/>
        <w:jc w:val="left"/>
        <w:tblInd w:w="0" w:type="dxa"/>
        <w:tblLayout w:type="fixed"/>
        <w:tblCellMar>
          <w:top w:w="0" w:type="dxa"/>
          <w:left w:w="0" w:type="dxa"/>
          <w:bottom w:w="0" w:type="dxa"/>
          <w:right w:w="0" w:type="dxa"/>
        </w:tblCellMar>
      </w:tblPr>
      <w:tblGrid>
        <w:gridCol w:w="4535"/>
        <w:gridCol w:w="60"/>
        <w:gridCol w:w="364"/>
        <w:gridCol w:w="2083"/>
        <w:gridCol w:w="156"/>
        <w:gridCol w:w="156"/>
        <w:gridCol w:w="469"/>
        <w:gridCol w:w="1275"/>
        <w:gridCol w:w="75"/>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Ended </w:t>
              <w:br/>
              <w:t>September 30, 2023</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Agents’ Balances</w:t>
              <w:br/>
              <w:t xml:space="preserve">Receivable, Net of </w:t>
              <w:br/>
              <w:t>Allowance for</w:t>
              <w:br/>
              <w:t>Expected Credit</w:t>
              <w:br/>
              <w:t>Losses</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83" w:type="dxa"/>
            <w:tcBorders>
              <w:bottom w:val="double" w:sz="6" w:space="0" w:color="000000"/>
            </w:tcBorders>
            <w:shd w:fill="CCEEFF" w:val="clear"/>
            <w:tcMar>
              <w:bottom w:w="28" w:type="dxa"/>
            </w:tcMar>
            <w:vAlign w:val="center"/>
          </w:tcPr>
          <w:p>
            <w:pPr>
              <w:pStyle w:val="TableContents"/>
              <w:bidi w:val="0"/>
              <w:spacing w:before="0" w:after="283"/>
              <w:jc w:val="right"/>
              <w:rPr/>
            </w:pPr>
            <w:r>
              <w:rPr/>
              <w:t>106,946</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5" w:type="dxa"/>
            <w:tcBorders/>
            <w:shd w:fill="CCEEFF" w:val="clear"/>
            <w:vAlign w:val="center"/>
          </w:tcPr>
          <w:p>
            <w:pPr>
              <w:pStyle w:val="TableContents"/>
              <w:bidi w:val="0"/>
              <w:spacing w:before="0" w:after="283"/>
              <w:jc w:val="right"/>
              <w:rPr/>
            </w:pPr>
            <w:r>
              <w:rPr/>
              <w:t>434</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08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Current period charge for expected credit losses</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2083"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45</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Write-offs of uncollectible premiums receivable</w:t>
            </w:r>
          </w:p>
        </w:tc>
        <w:tc>
          <w:tcPr>
            <w:tcW w:w="6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208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2083"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Balance, end of period</w:t>
            </w:r>
          </w:p>
        </w:tc>
        <w:tc>
          <w:tcPr>
            <w:tcW w:w="60" w:type="dxa"/>
            <w:tcBorders/>
            <w:vAlign w:val="center"/>
          </w:tcPr>
          <w:p>
            <w:pPr>
              <w:pStyle w:val="TableContents"/>
              <w:bidi w:val="0"/>
              <w:spacing w:before="0" w:after="283"/>
              <w:jc w:val="left"/>
              <w:rPr/>
            </w:pPr>
            <w:r>
              <w:rPr/>
              <w:t> </w:t>
            </w:r>
          </w:p>
        </w:tc>
        <w:tc>
          <w:tcPr>
            <w:tcW w:w="364" w:type="dxa"/>
            <w:tcBorders>
              <w:bottom w:val="double" w:sz="6" w:space="0" w:color="000000"/>
            </w:tcBorders>
            <w:tcMar>
              <w:bottom w:w="28" w:type="dxa"/>
            </w:tcMar>
            <w:vAlign w:val="center"/>
          </w:tcPr>
          <w:p>
            <w:pPr>
              <w:pStyle w:val="TableContents"/>
              <w:bidi w:val="0"/>
              <w:spacing w:before="0" w:after="283"/>
              <w:jc w:val="left"/>
              <w:rPr/>
            </w:pPr>
            <w:r>
              <w:rPr/>
              <w:t>$</w:t>
            </w:r>
          </w:p>
        </w:tc>
        <w:tc>
          <w:tcPr>
            <w:tcW w:w="2083" w:type="dxa"/>
            <w:tcBorders>
              <w:bottom w:val="double" w:sz="6" w:space="0" w:color="000000"/>
            </w:tcBorders>
            <w:tcMar>
              <w:bottom w:w="28" w:type="dxa"/>
            </w:tcMar>
            <w:vAlign w:val="center"/>
          </w:tcPr>
          <w:p>
            <w:pPr>
              <w:pStyle w:val="TableContents"/>
              <w:bidi w:val="0"/>
              <w:spacing w:before="0" w:after="283"/>
              <w:jc w:val="right"/>
              <w:rPr/>
            </w:pPr>
            <w:r>
              <w:rPr/>
              <w:t>99,625</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69" w:type="dxa"/>
            <w:tcBorders>
              <w:bottom w:val="double" w:sz="6" w:space="0" w:color="000000"/>
            </w:tcBorders>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tcMar>
              <w:bottom w:w="28" w:type="dxa"/>
            </w:tcMar>
            <w:vAlign w:val="center"/>
          </w:tcPr>
          <w:p>
            <w:pPr>
              <w:pStyle w:val="TableContents"/>
              <w:bidi w:val="0"/>
              <w:spacing w:before="0" w:after="283"/>
              <w:jc w:val="right"/>
              <w:rPr/>
            </w:pPr>
            <w:r>
              <w:rPr/>
              <w:t>424</w:t>
            </w:r>
          </w:p>
        </w:tc>
        <w:tc>
          <w:tcPr>
            <w:tcW w:w="75" w:type="dxa"/>
            <w:tcBorders/>
            <w:vAlign w:val="center"/>
          </w:tcPr>
          <w:p>
            <w:pPr>
              <w:pStyle w:val="TableContents"/>
              <w:bidi w:val="0"/>
              <w:spacing w:before="0" w:after="283"/>
              <w:jc w:val="left"/>
              <w:rPr/>
            </w:pPr>
            <w:r>
              <w:rPr/>
              <w:t> </w:t>
            </w:r>
          </w:p>
        </w:tc>
      </w:tr>
    </w:tbl>
    <w:p>
      <w:pPr>
        <w:pStyle w:val="TextBody"/>
        <w:bidi w:val="0"/>
        <w:spacing w:before="0" w:after="200"/>
        <w:ind w:left="0" w:right="0" w:hanging="0"/>
        <w:jc w:val="left"/>
        <w:rPr>
          <w:caps w:val="false"/>
          <w:smallCaps w:val="false"/>
        </w:rPr>
      </w:pPr>
      <w:r>
        <w:rPr>
          <w:caps w:val="false"/>
          <w:smallCaps w:val="false"/>
        </w:rPr>
        <w:t> </w:t>
      </w:r>
    </w:p>
    <w:tbl>
      <w:tblPr>
        <w:tblW w:w="8585" w:type="dxa"/>
        <w:jc w:val="left"/>
        <w:tblInd w:w="0" w:type="dxa"/>
        <w:tblLayout w:type="fixed"/>
        <w:tblCellMar>
          <w:top w:w="0" w:type="dxa"/>
          <w:left w:w="0" w:type="dxa"/>
          <w:bottom w:w="0" w:type="dxa"/>
          <w:right w:w="0" w:type="dxa"/>
        </w:tblCellMar>
      </w:tblPr>
      <w:tblGrid>
        <w:gridCol w:w="4535"/>
        <w:gridCol w:w="60"/>
        <w:gridCol w:w="325"/>
        <w:gridCol w:w="1584"/>
        <w:gridCol w:w="131"/>
        <w:gridCol w:w="131"/>
        <w:gridCol w:w="469"/>
        <w:gridCol w:w="1275"/>
        <w:gridCol w:w="75"/>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and For the Nine Months Ended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2023</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 xml:space="preserve">Expected Credit </w:t>
              <w:br/>
              <w:t>Losses</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CCEEFF" w:val="clear"/>
            <w:tcMar>
              <w:bottom w:w="28" w:type="dxa"/>
            </w:tcMar>
            <w:vAlign w:val="center"/>
          </w:tcPr>
          <w:p>
            <w:pPr>
              <w:pStyle w:val="TableContents"/>
              <w:bidi w:val="0"/>
              <w:spacing w:before="0" w:after="283"/>
              <w:jc w:val="right"/>
              <w:rPr/>
            </w:pPr>
            <w:r>
              <w:rPr/>
              <w:t>62,173</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5" w:type="dxa"/>
            <w:tcBorders/>
            <w:shd w:fill="CCEEFF" w:val="clear"/>
            <w:vAlign w:val="center"/>
          </w:tcPr>
          <w:p>
            <w:pPr>
              <w:pStyle w:val="TableContents"/>
              <w:bidi w:val="0"/>
              <w:spacing w:before="0" w:after="283"/>
              <w:jc w:val="right"/>
              <w:rPr/>
            </w:pPr>
            <w:r>
              <w:rPr/>
              <w:t>425</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Current period charge for expected credit losses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323</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Write-offs of uncollectible premiums receivable</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324</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Balance, end of period</w:t>
            </w:r>
          </w:p>
        </w:tc>
        <w:tc>
          <w:tcPr>
            <w:tcW w:w="60" w:type="dxa"/>
            <w:tcBorders/>
            <w:vAlign w:val="center"/>
          </w:tcPr>
          <w:p>
            <w:pPr>
              <w:pStyle w:val="TableContents"/>
              <w:bidi w:val="0"/>
              <w:spacing w:before="0" w:after="283"/>
              <w:jc w:val="left"/>
              <w:rPr/>
            </w:pPr>
            <w:r>
              <w:rPr/>
              <w:t> </w:t>
            </w:r>
          </w:p>
        </w:tc>
        <w:tc>
          <w:tcPr>
            <w:tcW w:w="325" w:type="dxa"/>
            <w:tcBorders>
              <w:bottom w:val="double" w:sz="6" w:space="0" w:color="000000"/>
            </w:tcBorders>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tcMar>
              <w:bottom w:w="28" w:type="dxa"/>
            </w:tcMar>
            <w:vAlign w:val="center"/>
          </w:tcPr>
          <w:p>
            <w:pPr>
              <w:pStyle w:val="TableContents"/>
              <w:bidi w:val="0"/>
              <w:spacing w:before="0" w:after="283"/>
              <w:jc w:val="right"/>
              <w:rPr/>
            </w:pPr>
            <w:r>
              <w:rPr/>
              <w:t>99,625</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469" w:type="dxa"/>
            <w:tcBorders>
              <w:bottom w:val="double" w:sz="6" w:space="0" w:color="000000"/>
            </w:tcBorders>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tcMar>
              <w:bottom w:w="28" w:type="dxa"/>
            </w:tcMar>
            <w:vAlign w:val="center"/>
          </w:tcPr>
          <w:p>
            <w:pPr>
              <w:pStyle w:val="TableContents"/>
              <w:bidi w:val="0"/>
              <w:spacing w:before="0" w:after="283"/>
              <w:jc w:val="right"/>
              <w:rPr/>
            </w:pPr>
            <w:r>
              <w:rPr/>
              <w:t>424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2553" w:type="dxa"/>
        <w:jc w:val="left"/>
        <w:tblInd w:w="0" w:type="dxa"/>
        <w:tblLayout w:type="fixed"/>
        <w:tblCellMar>
          <w:top w:w="0" w:type="dxa"/>
          <w:left w:w="0" w:type="dxa"/>
          <w:bottom w:w="0" w:type="dxa"/>
          <w:right w:w="0" w:type="dxa"/>
        </w:tblCellMar>
      </w:tblPr>
      <w:tblGrid>
        <w:gridCol w:w="38"/>
        <w:gridCol w:w="32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2195" w:type="dxa"/>
            <w:tcBorders/>
            <w:vAlign w:val="center"/>
          </w:tcPr>
          <w:p>
            <w:pPr>
              <w:pStyle w:val="TableContents"/>
              <w:bidi w:val="0"/>
              <w:spacing w:before="0" w:after="283"/>
              <w:jc w:val="left"/>
              <w:rPr>
                <w:b/>
              </w:rPr>
            </w:pPr>
            <w:r>
              <w:rPr>
                <w:b/>
              </w:rPr>
              <w:t>Segment Information</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six reportable operating segments, which consist of private passenger auto insurance, non-standard auto insurance, home and farm insurance, crop insurance, commercial insurance, and all other (which primarily consists of assumed reinsurance and our excess liability business). We operate only in the U.S., and no single customer or agent provides 10 percent or more of our revenues. The following tables provide available information of these segments for the three- and nine-month periods ended September 30, 2023 and 2022.</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evaluating profitability of the non-standard auto segment, we combine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assign or allocate all line items in our Unaudited Consolidated Statement of Operations or Unaudited Consolidated Balance Sheet to our operating segments. Those line items include net investment income, net investment gains (losses), fee and other income excluding non-standard auto, and income tax expense (benefit) within the Unaudited Consolidated Statement of Operations. For the Unaudited Consolidated Balance Sheet, those items include cash and investments, property and equipment, other assets, accrued expenses and other liabilities, income taxes recoverable or payable, and shareholders’ equity.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1"/>
        <w:gridCol w:w="60"/>
        <w:gridCol w:w="178"/>
        <w:gridCol w:w="869"/>
        <w:gridCol w:w="95"/>
        <w:gridCol w:w="60"/>
        <w:gridCol w:w="255"/>
        <w:gridCol w:w="1242"/>
        <w:gridCol w:w="95"/>
        <w:gridCol w:w="60"/>
        <w:gridCol w:w="146"/>
        <w:gridCol w:w="712"/>
        <w:gridCol w:w="95"/>
        <w:gridCol w:w="60"/>
        <w:gridCol w:w="140"/>
        <w:gridCol w:w="680"/>
        <w:gridCol w:w="95"/>
        <w:gridCol w:w="60"/>
        <w:gridCol w:w="215"/>
        <w:gridCol w:w="1050"/>
        <w:gridCol w:w="95"/>
        <w:gridCol w:w="60"/>
        <w:gridCol w:w="144"/>
        <w:gridCol w:w="590"/>
        <w:gridCol w:w="95"/>
        <w:gridCol w:w="60"/>
        <w:gridCol w:w="140"/>
        <w:gridCol w:w="800"/>
        <w:gridCol w:w="113"/>
      </w:tblGrid>
      <w:tr>
        <w:trPr/>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1"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2023</w:t>
            </w:r>
          </w:p>
        </w:tc>
        <w:tc>
          <w:tcPr>
            <w:tcW w:w="113" w:type="dxa"/>
            <w:tcBorders/>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 xml:space="preserve">Passenger </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22,377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21,334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23,650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20,544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104,540</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Assumed premiums earned</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2,045</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(1,142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pPr>
            <w:r>
              <w:rPr/>
              <w:t>(2,341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(4,793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(15,815</w:t>
            </w:r>
          </w:p>
        </w:tc>
        <w:tc>
          <w:tcPr>
            <w:tcW w:w="113" w:type="dxa"/>
            <w:tcBorders/>
            <w:shd w:fill="CCEEFF" w:val="clear"/>
            <w:vAlign w:val="center"/>
          </w:tcPr>
          <w:p>
            <w:pPr>
              <w:pStyle w:val="TableContents"/>
              <w:bidi w:val="0"/>
              <w:spacing w:before="0" w:after="283"/>
              <w:jc w:val="left"/>
              <w:rPr/>
            </w:pPr>
            <w:r>
              <w:rPr/>
              <w:t>)</w:t>
            </w:r>
          </w:p>
        </w:tc>
      </w:tr>
      <w:tr>
        <w:trPr/>
        <w:tc>
          <w:tcPr>
            <w:tcW w:w="1941"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21,235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21,231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21,309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15,751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90,770</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Direct losses and loss adjustment expenses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16,148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18,838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14,611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4,899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17,043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71,107</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725</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Ceded losses and loss adjustment expenses</w:t>
            </w:r>
          </w:p>
        </w:tc>
        <w:tc>
          <w:tcPr>
            <w:tcW w:w="6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tcMar>
              <w:bottom w:w="28" w:type="dxa"/>
            </w:tcMar>
            <w:vAlign w:val="center"/>
          </w:tcPr>
          <w:p>
            <w:pPr>
              <w:pStyle w:val="TableContents"/>
              <w:bidi w:val="0"/>
              <w:spacing w:before="0" w:after="283"/>
              <w:jc w:val="right"/>
              <w:rPr/>
            </w:pPr>
            <w:r>
              <w:rPr/>
              <w:t>455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tcMar>
              <w:bottom w:w="28" w:type="dxa"/>
            </w:tcMar>
            <w:vAlign w:val="center"/>
          </w:tcPr>
          <w:p>
            <w:pPr>
              <w:pStyle w:val="TableContents"/>
              <w:bidi w:val="0"/>
              <w:spacing w:before="0" w:after="283"/>
              <w:jc w:val="right"/>
              <w:rPr/>
            </w:pPr>
            <w:r>
              <w:rPr/>
              <w:t>(559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(1,767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(6,771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374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(8,268</w:t>
            </w:r>
          </w:p>
        </w:tc>
        <w:tc>
          <w:tcPr>
            <w:tcW w:w="113" w:type="dxa"/>
            <w:tcBorders/>
            <w:vAlign w:val="center"/>
          </w:tcPr>
          <w:p>
            <w:pPr>
              <w:pStyle w:val="TableContents"/>
              <w:bidi w:val="0"/>
              <w:spacing w:before="0" w:after="283"/>
              <w:jc w:val="left"/>
              <w:rPr/>
            </w:pPr>
            <w:r>
              <w:rPr/>
              <w:t>)</w:t>
            </w:r>
          </w:p>
        </w:tc>
      </w:tr>
      <w:tr>
        <w:trPr/>
        <w:tc>
          <w:tcPr>
            <w:tcW w:w="1941"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16,603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18,838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14,052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63,564</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4,632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2,393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pPr>
            <w:r>
              <w:rPr/>
              <w:t>7,257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5,479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1,389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27,206</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6,078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pPr>
            <w:r>
              <w:rPr/>
              <w:t>6,159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5,810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29,057</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Underwriting gain (loss)</w:t>
            </w:r>
          </w:p>
        </w:tc>
        <w:tc>
          <w:tcPr>
            <w:tcW w:w="6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tcMar>
              <w:bottom w:w="28" w:type="dxa"/>
            </w:tcMar>
            <w:vAlign w:val="center"/>
          </w:tcPr>
          <w:p>
            <w:pPr>
              <w:pStyle w:val="TableContents"/>
              <w:bidi w:val="0"/>
              <w:spacing w:before="0" w:after="283"/>
              <w:jc w:val="right"/>
              <w:rPr/>
            </w:pPr>
            <w:r>
              <w:rPr/>
              <w:t>(1,446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tcMar>
              <w:bottom w:w="28" w:type="dxa"/>
            </w:tcMar>
            <w:vAlign w:val="center"/>
          </w:tcPr>
          <w:p>
            <w:pPr>
              <w:pStyle w:val="TableContents"/>
              <w:bidi w:val="0"/>
              <w:spacing w:before="0" w:after="283"/>
              <w:jc w:val="right"/>
              <w:rPr/>
            </w:pPr>
            <w:r>
              <w:rPr/>
              <w:t>(6,278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tcMar>
              <w:bottom w:w="28" w:type="dxa"/>
            </w:tcMar>
            <w:vAlign w:val="center"/>
          </w:tcPr>
          <w:p>
            <w:pPr>
              <w:pStyle w:val="TableContents"/>
              <w:bidi w:val="0"/>
              <w:spacing w:before="0" w:after="283"/>
              <w:jc w:val="right"/>
              <w:rPr/>
            </w:pPr>
            <w:r>
              <w:rPr/>
              <w:t>1,098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4,106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(331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(1,851</w:t>
            </w:r>
          </w:p>
        </w:tc>
        <w:tc>
          <w:tcPr>
            <w:tcW w:w="113" w:type="dxa"/>
            <w:tcBorders/>
            <w:vAlign w:val="center"/>
          </w:tcPr>
          <w:p>
            <w:pPr>
              <w:pStyle w:val="TableContents"/>
              <w:bidi w:val="0"/>
              <w:spacing w:before="0" w:after="283"/>
              <w:jc w:val="left"/>
              <w:rPr/>
            </w:pPr>
            <w:r>
              <w:rPr/>
              <w:t>)</w:t>
            </w:r>
          </w:p>
        </w:tc>
      </w:tr>
      <w:tr>
        <w:trPr/>
        <w:tc>
          <w:tcPr>
            <w:tcW w:w="19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Fee and other income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tcMar>
              <w:bottom w:w="28" w:type="dxa"/>
            </w:tcMar>
            <w:vAlign w:val="center"/>
          </w:tcPr>
          <w:p>
            <w:pPr>
              <w:pStyle w:val="TableContents"/>
              <w:bidi w:val="0"/>
              <w:spacing w:before="0" w:after="283"/>
              <w:jc w:val="right"/>
              <w:rPr/>
            </w:pPr>
            <w:r>
              <w:rPr/>
              <w:t>278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2,751</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Net investment losses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(1,227</w:t>
            </w:r>
          </w:p>
        </w:tc>
        <w:tc>
          <w:tcPr>
            <w:tcW w:w="113" w:type="dxa"/>
            <w:tcBorders/>
            <w:shd w:fill="CCEEFF" w:val="clear"/>
            <w:vAlign w:val="center"/>
          </w:tcPr>
          <w:p>
            <w:pPr>
              <w:pStyle w:val="TableContents"/>
              <w:bidi w:val="0"/>
              <w:spacing w:before="0" w:after="283"/>
              <w:jc w:val="left"/>
              <w:rPr/>
            </w:pPr>
            <w:r>
              <w:rPr/>
              <w:t>)</w:t>
            </w:r>
          </w:p>
        </w:tc>
      </w:tr>
      <w:tr>
        <w:trPr/>
        <w:tc>
          <w:tcPr>
            <w:tcW w:w="1941" w:type="dxa"/>
            <w:tcBorders/>
            <w:vAlign w:val="center"/>
          </w:tcPr>
          <w:p>
            <w:pPr>
              <w:pStyle w:val="TableContents"/>
              <w:bidi w:val="0"/>
              <w:spacing w:before="0" w:after="283"/>
              <w:jc w:val="left"/>
              <w:rPr/>
            </w:pPr>
            <w:r>
              <w:rPr/>
              <w:t>Income before income taxes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128</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p>
        </w:tc>
        <w:tc>
          <w:tcPr>
            <w:tcW w:w="113" w:type="dxa"/>
            <w:tcBorders/>
            <w:shd w:fill="CCEEFF" w:val="clear"/>
            <w:vAlign w:val="center"/>
          </w:tcPr>
          <w:p>
            <w:pPr>
              <w:pStyle w:val="TableContents"/>
              <w:bidi w:val="0"/>
              <w:spacing w:before="0" w:after="283"/>
              <w:jc w:val="left"/>
              <w:rPr/>
            </w:pPr>
            <w:r>
              <w:rPr/>
              <w:t>)</w:t>
            </w:r>
          </w:p>
        </w:tc>
      </w:tr>
      <w:tr>
        <w:trPr/>
        <w:tc>
          <w:tcPr>
            <w:tcW w:w="1941"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298</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Net income attributable to NI Holdings, Inc.</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tcMar>
              <w:bottom w:w="28" w:type="dxa"/>
            </w:tcMar>
            <w:vAlign w:val="center"/>
          </w:tcPr>
          <w:p>
            <w:pPr>
              <w:pStyle w:val="TableContents"/>
              <w:bidi w:val="0"/>
              <w:spacing w:before="0" w:after="283"/>
              <w:jc w:val="right"/>
              <w:rPr/>
            </w:pPr>
            <w:r>
              <w:rPr/>
              <w:t>231</w:t>
            </w:r>
          </w:p>
        </w:tc>
        <w:tc>
          <w:tcPr>
            <w:tcW w:w="113" w:type="dxa"/>
            <w:tcBorders/>
            <w:vAlign w:val="center"/>
          </w:tcPr>
          <w:p>
            <w:pPr>
              <w:pStyle w:val="TableContents"/>
              <w:bidi w:val="0"/>
              <w:spacing w:before="0" w:after="283"/>
              <w:ind w:left="0" w:right="0" w:hanging="216"/>
              <w:jc w:val="left"/>
              <w:rPr/>
            </w:pPr>
            <w:r>
              <w:rPr/>
              <w:t> </w:t>
            </w:r>
          </w:p>
        </w:tc>
      </w:tr>
      <w:tr>
        <w:trPr/>
        <w:tc>
          <w:tcPr>
            <w:tcW w:w="19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941" w:type="dxa"/>
            <w:tcBorders/>
            <w:vAlign w:val="center"/>
          </w:tcPr>
          <w:p>
            <w:pPr>
              <w:pStyle w:val="TableContents"/>
              <w:bidi w:val="0"/>
              <w:spacing w:before="0" w:after="283"/>
              <w:jc w:val="left"/>
              <w:rPr/>
            </w:pPr>
            <w:r>
              <w:rPr/>
              <w:t>Operating Ratios: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firstLine="18"/>
              <w:jc w:val="left"/>
              <w:rPr/>
            </w:pPr>
            <w:r>
              <w:rPr/>
              <w:t> </w:t>
            </w:r>
          </w:p>
        </w:tc>
      </w:tr>
      <w:tr>
        <w:trPr/>
        <w:tc>
          <w:tcPr>
            <w:tcW w:w="1941"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941" w:type="dxa"/>
            <w:tcBorders/>
            <w:vAlign w:val="center"/>
          </w:tcPr>
          <w:p>
            <w:pPr>
              <w:pStyle w:val="TableContents"/>
              <w:bidi w:val="0"/>
              <w:spacing w:before="0" w:after="283"/>
              <w:jc w:val="left"/>
              <w:rPr/>
            </w:pPr>
            <w:r>
              <w:rPr/>
              <w:t>Expense ratio</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40.8%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28.9%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32.0%</w:t>
            </w:r>
          </w:p>
        </w:tc>
        <w:tc>
          <w:tcPr>
            <w:tcW w:w="113" w:type="dxa"/>
            <w:tcBorders/>
            <w:vAlign w:val="center"/>
          </w:tcPr>
          <w:p>
            <w:pPr>
              <w:pStyle w:val="TableContents"/>
              <w:bidi w:val="0"/>
              <w:spacing w:before="0" w:after="283"/>
              <w:ind w:left="0" w:right="0" w:hanging="216"/>
              <w:jc w:val="left"/>
              <w:rPr/>
            </w:pPr>
            <w:r>
              <w:rPr/>
              <w:t> </w:t>
            </w:r>
          </w:p>
        </w:tc>
      </w:tr>
      <w:tr>
        <w:trPr/>
        <w:tc>
          <w:tcPr>
            <w:tcW w:w="1941"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102.0%</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216"/>
              <w:jc w:val="left"/>
              <w:rPr/>
            </w:pPr>
            <w:r>
              <w:rPr/>
              <w:t> </w:t>
            </w:r>
          </w:p>
        </w:tc>
      </w:tr>
      <w:tr>
        <w:trPr/>
        <w:tc>
          <w:tcPr>
            <w:tcW w:w="19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941" w:type="dxa"/>
            <w:tcBorders/>
            <w:vAlign w:val="center"/>
          </w:tcPr>
          <w:p>
            <w:pPr>
              <w:pStyle w:val="TableContents"/>
              <w:bidi w:val="0"/>
              <w:spacing w:before="0" w:after="283"/>
              <w:jc w:val="left"/>
              <w:rPr/>
            </w:pPr>
            <w:r>
              <w:rPr/>
              <w:t>Balances at September 30, 2023:</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23,901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15,854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9,655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13,438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99,625</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Deferred policy acquisition costs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5,744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9,797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7,973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32,177</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3,918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46,097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56,790</w:t>
            </w:r>
          </w:p>
        </w:tc>
        <w:tc>
          <w:tcPr>
            <w:tcW w:w="113" w:type="dxa"/>
            <w:tcBorders/>
            <w:shd w:fill="CCEEFF" w:val="clear"/>
            <w:vAlign w:val="center"/>
          </w:tcPr>
          <w:p>
            <w:pPr>
              <w:pStyle w:val="TableContents"/>
              <w:bidi w:val="0"/>
              <w:spacing w:before="0" w:after="283"/>
              <w:ind w:left="0" w:right="0" w:firstLine="18"/>
              <w:jc w:val="left"/>
              <w:rPr/>
            </w:pPr>
            <w:r>
              <w:rPr/>
              <w:t> </w:t>
            </w:r>
          </w:p>
        </w:tc>
      </w:tr>
      <w:tr>
        <w:trPr/>
        <w:tc>
          <w:tcPr>
            <w:tcW w:w="1941" w:type="dxa"/>
            <w:tcBorders/>
            <w:vAlign w:val="center"/>
          </w:tcPr>
          <w:p>
            <w:pPr>
              <w:pStyle w:val="TableContents"/>
              <w:bidi w:val="0"/>
              <w:spacing w:before="0" w:after="283"/>
              <w:jc w:val="left"/>
              <w:rPr/>
            </w:pPr>
            <w:r>
              <w:rPr/>
              <w:t>Receivable from Federal Crop Insurance Corporation</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14,479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14,479</w:t>
            </w:r>
          </w:p>
        </w:tc>
        <w:tc>
          <w:tcPr>
            <w:tcW w:w="113" w:type="dxa"/>
            <w:tcBorders/>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283"/>
              <w:jc w:val="left"/>
              <w:rPr/>
            </w:pPr>
            <w:r>
              <w:rPr/>
              <w:t>Goodwill and other intangibles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14,173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16,901</w:t>
            </w:r>
          </w:p>
        </w:tc>
        <w:tc>
          <w:tcPr>
            <w:tcW w:w="113" w:type="dxa"/>
            <w:tcBorders/>
            <w:shd w:fill="CCEEFF" w:val="clear"/>
            <w:vAlign w:val="center"/>
          </w:tcPr>
          <w:p>
            <w:pPr>
              <w:pStyle w:val="TableContents"/>
              <w:bidi w:val="0"/>
              <w:spacing w:before="0" w:after="283"/>
              <w:ind w:left="0" w:right="0" w:firstLine="18"/>
              <w:jc w:val="left"/>
              <w:rPr/>
            </w:pPr>
            <w:r>
              <w:rPr/>
              <w:t> </w:t>
            </w:r>
          </w:p>
        </w:tc>
      </w:tr>
      <w:tr>
        <w:trPr/>
        <w:tc>
          <w:tcPr>
            <w:tcW w:w="1941" w:type="dxa"/>
            <w:tcBorders/>
            <w:vAlign w:val="center"/>
          </w:tcPr>
          <w:p>
            <w:pPr>
              <w:pStyle w:val="TableContents"/>
              <w:bidi w:val="0"/>
              <w:spacing w:before="0" w:after="283"/>
              <w:jc w:val="left"/>
              <w:rPr/>
            </w:pPr>
            <w:r>
              <w:rPr/>
              <w:t>Unpaid losses and loss adjustment expenses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33,124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59,663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24,489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16,614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99,521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7,337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240,748</w:t>
            </w:r>
          </w:p>
        </w:tc>
        <w:tc>
          <w:tcPr>
            <w:tcW w:w="113" w:type="dxa"/>
            <w:tcBorders/>
            <w:vAlign w:val="center"/>
          </w:tcPr>
          <w:p>
            <w:pPr>
              <w:pStyle w:val="TableContents"/>
              <w:bidi w:val="0"/>
              <w:spacing w:before="0" w:after="283"/>
              <w:ind w:left="0" w:right="0" w:hanging="216"/>
              <w:jc w:val="left"/>
              <w:rPr/>
            </w:pPr>
            <w:r>
              <w:rPr/>
              <w:t> </w:t>
            </w:r>
          </w:p>
        </w:tc>
      </w:tr>
      <w:tr>
        <w:trPr/>
        <w:tc>
          <w:tcPr>
            <w:tcW w:w="1941"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35,059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31,072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48,636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37,663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165,498</w:t>
            </w:r>
          </w:p>
        </w:tc>
        <w:tc>
          <w:tcPr>
            <w:tcW w:w="113" w:type="dxa"/>
            <w:tcBorders/>
            <w:shd w:fill="CCEEFF" w:val="clear"/>
            <w:vAlign w:val="center"/>
          </w:tcPr>
          <w:p>
            <w:pPr>
              <w:pStyle w:val="TableContents"/>
              <w:bidi w:val="0"/>
              <w:spacing w:before="0" w:after="283"/>
              <w:jc w:val="left"/>
              <w:rPr/>
            </w:pPr>
            <w:r>
              <w:rPr/>
              <w:t> </w:t>
            </w:r>
          </w:p>
        </w:tc>
      </w:tr>
      <w:tr>
        <w:trPr/>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bl>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10205" w:type="dxa"/>
        <w:jc w:val="left"/>
        <w:tblInd w:w="0" w:type="dxa"/>
        <w:tblLayout w:type="fixed"/>
        <w:tblCellMar>
          <w:top w:w="0" w:type="dxa"/>
          <w:left w:w="0" w:type="dxa"/>
          <w:bottom w:w="0" w:type="dxa"/>
          <w:right w:w="0" w:type="dxa"/>
        </w:tblCellMar>
      </w:tblPr>
      <w:tblGrid>
        <w:gridCol w:w="1827"/>
        <w:gridCol w:w="60"/>
        <w:gridCol w:w="187"/>
        <w:gridCol w:w="915"/>
        <w:gridCol w:w="95"/>
        <w:gridCol w:w="60"/>
        <w:gridCol w:w="255"/>
        <w:gridCol w:w="1241"/>
        <w:gridCol w:w="95"/>
        <w:gridCol w:w="60"/>
        <w:gridCol w:w="144"/>
        <w:gridCol w:w="777"/>
        <w:gridCol w:w="95"/>
        <w:gridCol w:w="60"/>
        <w:gridCol w:w="140"/>
        <w:gridCol w:w="680"/>
        <w:gridCol w:w="95"/>
        <w:gridCol w:w="60"/>
        <w:gridCol w:w="215"/>
        <w:gridCol w:w="1050"/>
        <w:gridCol w:w="95"/>
        <w:gridCol w:w="60"/>
        <w:gridCol w:w="144"/>
        <w:gridCol w:w="587"/>
        <w:gridCol w:w="95"/>
        <w:gridCol w:w="60"/>
        <w:gridCol w:w="140"/>
        <w:gridCol w:w="800"/>
        <w:gridCol w:w="113"/>
      </w:tblGrid>
      <w:tr>
        <w:trPr/>
        <w:tc>
          <w:tcPr>
            <w:tcW w:w="1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2022</w:t>
            </w:r>
          </w:p>
        </w:tc>
        <w:tc>
          <w:tcPr>
            <w:tcW w:w="113" w:type="dxa"/>
            <w:tcBorders/>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20,523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17,646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22,429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19,342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87" w:type="dxa"/>
            <w:tcBorders/>
            <w:shd w:fill="CCEEFF" w:val="clear"/>
            <w:vAlign w:val="center"/>
          </w:tcPr>
          <w:p>
            <w:pPr>
              <w:pStyle w:val="TableContents"/>
              <w:bidi w:val="0"/>
              <w:spacing w:before="0" w:after="283"/>
              <w:jc w:val="right"/>
              <w:rPr/>
            </w:pPr>
            <w:r>
              <w:rPr/>
              <w:t>1,312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102,173</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Assumed premiums earned</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692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2,460</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(2,678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(3,458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(15,101</w:t>
            </w:r>
          </w:p>
        </w:tc>
        <w:tc>
          <w:tcPr>
            <w:tcW w:w="113" w:type="dxa"/>
            <w:tcBorders/>
            <w:shd w:fill="CCEEFF" w:val="clear"/>
            <w:vAlign w:val="center"/>
          </w:tcPr>
          <w:p>
            <w:pPr>
              <w:pStyle w:val="TableContents"/>
              <w:bidi w:val="0"/>
              <w:spacing w:before="0" w:after="283"/>
              <w:jc w:val="left"/>
              <w:rPr/>
            </w:pPr>
            <w:r>
              <w:rPr/>
              <w:t>)</w:t>
            </w:r>
          </w:p>
        </w:tc>
      </w:tr>
      <w:tr>
        <w:trPr/>
        <w:tc>
          <w:tcPr>
            <w:tcW w:w="1827"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19,813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17,579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19,751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14,566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15,884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1,939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89,532</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Direct losses and loss adjustment expenses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20,969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11,958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34,051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14,646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782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94,446</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868</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Ceded losses and loss adjustment expenses</w:t>
            </w:r>
          </w:p>
        </w:tc>
        <w:tc>
          <w:tcPr>
            <w:tcW w:w="6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tcMar>
              <w:bottom w:w="28" w:type="dxa"/>
            </w:tcMar>
            <w:vAlign w:val="center"/>
          </w:tcPr>
          <w:p>
            <w:pPr>
              <w:pStyle w:val="TableContents"/>
              <w:bidi w:val="0"/>
              <w:spacing w:before="0" w:after="283"/>
              <w:jc w:val="right"/>
              <w:rPr/>
            </w:pPr>
            <w:r>
              <w:rPr/>
              <w:t>(615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tcMar>
              <w:bottom w:w="28" w:type="dxa"/>
            </w:tcMar>
            <w:vAlign w:val="center"/>
          </w:tcPr>
          <w:p>
            <w:pPr>
              <w:pStyle w:val="TableContents"/>
              <w:bidi w:val="0"/>
              <w:spacing w:before="0" w:after="283"/>
              <w:jc w:val="right"/>
              <w:rPr/>
            </w:pPr>
            <w:r>
              <w:rPr/>
              <w:t>(5,229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(5,605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(4,834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tcMar>
              <w:bottom w:w="28" w:type="dxa"/>
            </w:tcMar>
            <w:vAlign w:val="center"/>
          </w:tcPr>
          <w:p>
            <w:pPr>
              <w:pStyle w:val="TableContents"/>
              <w:bidi w:val="0"/>
              <w:spacing w:before="0" w:after="283"/>
              <w:jc w:val="right"/>
              <w:rPr/>
            </w:pPr>
            <w:r>
              <w:rPr/>
              <w:t>(114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(16,397</w:t>
            </w:r>
          </w:p>
        </w:tc>
        <w:tc>
          <w:tcPr>
            <w:tcW w:w="113" w:type="dxa"/>
            <w:tcBorders/>
            <w:vAlign w:val="center"/>
          </w:tcPr>
          <w:p>
            <w:pPr>
              <w:pStyle w:val="TableContents"/>
              <w:bidi w:val="0"/>
              <w:spacing w:before="0" w:after="283"/>
              <w:jc w:val="left"/>
              <w:rPr/>
            </w:pPr>
            <w:r>
              <w:rPr/>
              <w:t>)</w:t>
            </w:r>
          </w:p>
        </w:tc>
      </w:tr>
      <w:tr>
        <w:trPr/>
        <w:tc>
          <w:tcPr>
            <w:tcW w:w="1827"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20,354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11,958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28,822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78,917</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5,621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(9,071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10,615</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5,061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6,399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5,396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5,840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23,501</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Underwriting gain (loss)</w:t>
            </w:r>
          </w:p>
        </w:tc>
        <w:tc>
          <w:tcPr>
            <w:tcW w:w="6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tcMar>
              <w:bottom w:w="28" w:type="dxa"/>
            </w:tcMar>
            <w:vAlign w:val="center"/>
          </w:tcPr>
          <w:p>
            <w:pPr>
              <w:pStyle w:val="TableContents"/>
              <w:bidi w:val="0"/>
              <w:spacing w:before="0" w:after="283"/>
              <w:jc w:val="right"/>
              <w:rPr/>
            </w:pPr>
            <w:r>
              <w:rPr/>
              <w:t>(5,602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283"/>
              <w:jc w:val="right"/>
              <w:rPr/>
            </w:pPr>
            <w:r>
              <w:rPr/>
              <w:t>(778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tcMar>
              <w:bottom w:w="28" w:type="dxa"/>
            </w:tcMar>
            <w:vAlign w:val="center"/>
          </w:tcPr>
          <w:p>
            <w:pPr>
              <w:pStyle w:val="TableContents"/>
              <w:bidi w:val="0"/>
              <w:spacing w:before="0" w:after="283"/>
              <w:jc w:val="right"/>
              <w:rPr/>
            </w:pPr>
            <w:r>
              <w:rPr/>
              <w:t>(14,467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7,249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232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tcMar>
              <w:bottom w:w="28" w:type="dxa"/>
            </w:tcMar>
            <w:vAlign w:val="center"/>
          </w:tcPr>
          <w:p>
            <w:pPr>
              <w:pStyle w:val="TableContents"/>
              <w:bidi w:val="0"/>
              <w:spacing w:before="0" w:after="283"/>
              <w:jc w:val="right"/>
              <w:rPr/>
            </w:pPr>
            <w:r>
              <w:rPr/>
              <w:t>480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(12,886</w:t>
            </w:r>
          </w:p>
        </w:tc>
        <w:tc>
          <w:tcPr>
            <w:tcW w:w="113" w:type="dxa"/>
            <w:tcBorders/>
            <w:vAlign w:val="center"/>
          </w:tcPr>
          <w:p>
            <w:pPr>
              <w:pStyle w:val="TableContents"/>
              <w:bidi w:val="0"/>
              <w:spacing w:before="0" w:after="283"/>
              <w:jc w:val="left"/>
              <w:rPr/>
            </w:pPr>
            <w:r>
              <w:rPr/>
              <w:t>)</w:t>
            </w:r>
          </w:p>
        </w:tc>
      </w:tr>
      <w:tr>
        <w:trPr/>
        <w:tc>
          <w:tcPr>
            <w:tcW w:w="1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Fee and other income</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tcMar>
              <w:bottom w:w="28" w:type="dxa"/>
            </w:tcMar>
            <w:vAlign w:val="center"/>
          </w:tcPr>
          <w:p>
            <w:pPr>
              <w:pStyle w:val="TableContents"/>
              <w:bidi w:val="0"/>
              <w:spacing w:before="0" w:after="283"/>
              <w:jc w:val="right"/>
              <w:rPr/>
            </w:pPr>
            <w:r>
              <w:rPr/>
              <w:t>246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476</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CCEEFF" w:val="clear"/>
            <w:tcMar>
              <w:bottom w:w="28" w:type="dxa"/>
            </w:tcM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2,035</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Net investment losses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(2,868</w:t>
            </w:r>
          </w:p>
        </w:tc>
        <w:tc>
          <w:tcPr>
            <w:tcW w:w="113" w:type="dxa"/>
            <w:tcBorders/>
            <w:shd w:fill="CCEEFF" w:val="clear"/>
            <w:vAlign w:val="center"/>
          </w:tcPr>
          <w:p>
            <w:pPr>
              <w:pStyle w:val="TableContents"/>
              <w:bidi w:val="0"/>
              <w:spacing w:before="0" w:after="283"/>
              <w:jc w:val="left"/>
              <w:rPr/>
            </w:pPr>
            <w:r>
              <w:rPr/>
              <w:t>)</w:t>
            </w:r>
          </w:p>
        </w:tc>
      </w:tr>
      <w:tr>
        <w:trPr/>
        <w:tc>
          <w:tcPr>
            <w:tcW w:w="1827" w:type="dxa"/>
            <w:tcBorders/>
            <w:vAlign w:val="center"/>
          </w:tcPr>
          <w:p>
            <w:pPr>
              <w:pStyle w:val="TableContents"/>
              <w:bidi w:val="0"/>
              <w:spacing w:before="0" w:after="283"/>
              <w:jc w:val="left"/>
              <w:rPr/>
            </w:pPr>
            <w:r>
              <w:rPr/>
              <w:t>Loss before income taxes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(13,243</w:t>
            </w:r>
          </w:p>
        </w:tc>
        <w:tc>
          <w:tcPr>
            <w:tcW w:w="113" w:type="dxa"/>
            <w:tcBorders/>
            <w:vAlign w:val="center"/>
          </w:tcPr>
          <w:p>
            <w:pPr>
              <w:pStyle w:val="TableContents"/>
              <w:bidi w:val="0"/>
              <w:spacing w:before="0" w:after="283"/>
              <w:jc w:val="left"/>
              <w:rPr/>
            </w:pPr>
            <w:r>
              <w:rPr/>
              <w:t>)</w:t>
            </w:r>
          </w:p>
        </w:tc>
      </w:tr>
      <w:tr>
        <w:trPr/>
        <w:tc>
          <w:tcPr>
            <w:tcW w:w="1827"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(3,074</w:t>
            </w:r>
          </w:p>
        </w:tc>
        <w:tc>
          <w:tcPr>
            <w:tcW w:w="113" w:type="dxa"/>
            <w:tcBorders/>
            <w:shd w:fill="CCEEFF" w:val="clear"/>
            <w:vAlign w:val="center"/>
          </w:tcPr>
          <w:p>
            <w:pPr>
              <w:pStyle w:val="TableContents"/>
              <w:bidi w:val="0"/>
              <w:spacing w:before="0" w:after="283"/>
              <w:jc w:val="left"/>
              <w:rPr/>
            </w:pPr>
            <w:r>
              <w:rPr/>
              <w:t>)</w:t>
            </w:r>
          </w:p>
        </w:tc>
      </w:tr>
      <w:tr>
        <w:trPr/>
        <w:tc>
          <w:tcPr>
            <w:tcW w:w="1827"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(10,169</w:t>
            </w:r>
          </w:p>
        </w:tc>
        <w:tc>
          <w:tcPr>
            <w:tcW w:w="113" w:type="dxa"/>
            <w:tcBorders/>
            <w:vAlign w:val="center"/>
          </w:tcPr>
          <w:p>
            <w:pPr>
              <w:pStyle w:val="TableContents"/>
              <w:bidi w:val="0"/>
              <w:spacing w:before="0" w:after="283"/>
              <w:jc w:val="left"/>
              <w:rPr/>
            </w:pPr>
            <w:r>
              <w:rPr/>
              <w:t>)</w:t>
            </w:r>
          </w:p>
        </w:tc>
      </w:tr>
      <w:tr>
        <w:trPr/>
        <w:tc>
          <w:tcPr>
            <w:tcW w:w="1827"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113" w:type="dxa"/>
            <w:tcBorders/>
            <w:shd w:fill="CCEEFF" w:val="clear"/>
            <w:vAlign w:val="center"/>
          </w:tcPr>
          <w:p>
            <w:pPr>
              <w:pStyle w:val="TableContents"/>
              <w:bidi w:val="0"/>
              <w:spacing w:before="0" w:after="283"/>
              <w:jc w:val="left"/>
              <w:rPr/>
            </w:pPr>
            <w:r>
              <w:rPr/>
              <w:t>)</w:t>
            </w:r>
          </w:p>
        </w:tc>
      </w:tr>
      <w:tr>
        <w:trPr/>
        <w:tc>
          <w:tcPr>
            <w:tcW w:w="1827" w:type="dxa"/>
            <w:tcBorders/>
            <w:vAlign w:val="center"/>
          </w:tcPr>
          <w:p>
            <w:pPr>
              <w:pStyle w:val="TableContents"/>
              <w:bidi w:val="0"/>
              <w:spacing w:before="0" w:after="283"/>
              <w:jc w:val="left"/>
              <w:rPr/>
            </w:pPr>
            <w:r>
              <w:rPr/>
              <w:t>Net loss attributable to NI Holdings, Inc.</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tcMar>
              <w:bottom w:w="28" w:type="dxa"/>
            </w:tcMar>
            <w:vAlign w:val="center"/>
          </w:tcPr>
          <w:p>
            <w:pPr>
              <w:pStyle w:val="TableContents"/>
              <w:bidi w:val="0"/>
              <w:spacing w:before="0" w:after="283"/>
              <w:jc w:val="right"/>
              <w:rPr/>
            </w:pPr>
            <w:r>
              <w:rPr/>
              <w:t>(9,985</w:t>
            </w:r>
          </w:p>
        </w:tc>
        <w:tc>
          <w:tcPr>
            <w:tcW w:w="113" w:type="dxa"/>
            <w:tcBorders/>
            <w:vAlign w:val="center"/>
          </w:tcPr>
          <w:p>
            <w:pPr>
              <w:pStyle w:val="TableContents"/>
              <w:bidi w:val="0"/>
              <w:spacing w:before="0" w:after="283"/>
              <w:ind w:left="0" w:right="0" w:hanging="216"/>
              <w:jc w:val="left"/>
              <w:rPr/>
            </w:pPr>
            <w:r>
              <w:rPr/>
              <w:t>)</w:t>
            </w:r>
          </w:p>
        </w:tc>
      </w:tr>
      <w:tr>
        <w:trPr/>
        <w:tc>
          <w:tcPr>
            <w:tcW w:w="1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827" w:type="dxa"/>
            <w:tcBorders/>
            <w:vAlign w:val="center"/>
          </w:tcPr>
          <w:p>
            <w:pPr>
              <w:pStyle w:val="TableContents"/>
              <w:bidi w:val="0"/>
              <w:spacing w:before="0" w:after="283"/>
              <w:jc w:val="left"/>
              <w:rPr/>
            </w:pPr>
            <w:r>
              <w:rPr/>
              <w:t>Operating Ratios: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firstLine="18"/>
              <w:jc w:val="left"/>
              <w:rPr/>
            </w:pPr>
            <w:r>
              <w:rPr/>
              <w:t> </w:t>
            </w:r>
          </w:p>
        </w:tc>
      </w:tr>
      <w:tr>
        <w:trPr/>
        <w:tc>
          <w:tcPr>
            <w:tcW w:w="1827"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88.1%</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827" w:type="dxa"/>
            <w:tcBorders/>
            <w:vAlign w:val="center"/>
          </w:tcPr>
          <w:p>
            <w:pPr>
              <w:pStyle w:val="TableContents"/>
              <w:bidi w:val="0"/>
              <w:spacing w:before="0" w:after="283"/>
              <w:jc w:val="left"/>
              <w:rPr/>
            </w:pPr>
            <w:r>
              <w:rPr/>
              <w:t>Expense ratio</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25.6%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36.4%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27.3%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23.8%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26.3%</w:t>
            </w:r>
          </w:p>
        </w:tc>
        <w:tc>
          <w:tcPr>
            <w:tcW w:w="113" w:type="dxa"/>
            <w:tcBorders/>
            <w:vAlign w:val="center"/>
          </w:tcPr>
          <w:p>
            <w:pPr>
              <w:pStyle w:val="TableContents"/>
              <w:bidi w:val="0"/>
              <w:spacing w:before="0" w:after="283"/>
              <w:ind w:left="0" w:right="0" w:hanging="216"/>
              <w:jc w:val="left"/>
              <w:rPr/>
            </w:pPr>
            <w:r>
              <w:rPr/>
              <w:t> </w:t>
            </w:r>
          </w:p>
        </w:tc>
      </w:tr>
      <w:tr>
        <w:trPr/>
        <w:tc>
          <w:tcPr>
            <w:tcW w:w="1827"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114.4%</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216"/>
              <w:jc w:val="left"/>
              <w:rPr/>
            </w:pPr>
            <w:r>
              <w:rPr/>
              <w:t> </w:t>
            </w:r>
          </w:p>
        </w:tc>
      </w:tr>
      <w:tr>
        <w:trPr/>
        <w:tc>
          <w:tcPr>
            <w:tcW w:w="1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827" w:type="dxa"/>
            <w:tcBorders/>
            <w:vAlign w:val="center"/>
          </w:tcPr>
          <w:p>
            <w:pPr>
              <w:pStyle w:val="TableContents"/>
              <w:bidi w:val="0"/>
              <w:spacing w:before="0" w:after="283"/>
              <w:jc w:val="left"/>
              <w:rPr/>
            </w:pPr>
            <w:r>
              <w:rPr/>
              <w:t>Balances at September 30, 2022:</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21,252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17,754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9,461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87" w:type="dxa"/>
            <w:tcBorders/>
            <w:shd w:fill="CCEEFF" w:val="clear"/>
            <w:vAlign w:val="center"/>
          </w:tcPr>
          <w:p>
            <w:pPr>
              <w:pStyle w:val="TableContents"/>
              <w:bidi w:val="0"/>
              <w:spacing w:before="0" w:after="283"/>
              <w:jc w:val="right"/>
              <w:rPr/>
            </w:pPr>
            <w:r>
              <w:rPr/>
              <w:t>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102,970</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Deferred policy acquisition costs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5,311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8,992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7,708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6,928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444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29,819</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15,763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32,990</w:t>
            </w:r>
          </w:p>
        </w:tc>
        <w:tc>
          <w:tcPr>
            <w:tcW w:w="113" w:type="dxa"/>
            <w:tcBorders/>
            <w:shd w:fill="CCEEFF" w:val="clear"/>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Goodwill and other intangibles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2,773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14,595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17,368</w:t>
            </w:r>
          </w:p>
        </w:tc>
        <w:tc>
          <w:tcPr>
            <w:tcW w:w="113" w:type="dxa"/>
            <w:tcBorders/>
            <w:vAlign w:val="center"/>
          </w:tcPr>
          <w:p>
            <w:pPr>
              <w:pStyle w:val="TableContents"/>
              <w:bidi w:val="0"/>
              <w:spacing w:before="0" w:after="283"/>
              <w:jc w:val="left"/>
              <w:rPr/>
            </w:pPr>
            <w:r>
              <w:rPr/>
              <w:t> </w:t>
            </w:r>
          </w:p>
        </w:tc>
      </w:tr>
      <w:tr>
        <w:trPr/>
        <w:tc>
          <w:tcPr>
            <w:tcW w:w="1827" w:type="dxa"/>
            <w:tcBorders/>
            <w:shd w:fill="CCEEFF" w:val="clear"/>
            <w:vAlign w:val="center"/>
          </w:tcPr>
          <w:p>
            <w:pPr>
              <w:pStyle w:val="TableContents"/>
              <w:bidi w:val="0"/>
              <w:spacing w:before="0" w:after="283"/>
              <w:jc w:val="left"/>
              <w:rPr/>
            </w:pPr>
            <w:r>
              <w:rPr/>
              <w:t>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29,821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41,231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31,792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49,545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8,304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185,937</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1827" w:type="dxa"/>
            <w:tcBorders/>
            <w:vAlign w:val="center"/>
          </w:tcPr>
          <w:p>
            <w:pPr>
              <w:pStyle w:val="TableContents"/>
              <w:bidi w:val="0"/>
              <w:spacing w:before="0" w:after="283"/>
              <w:jc w:val="left"/>
              <w:rPr/>
            </w:pPr>
            <w:r>
              <w:rPr/>
              <w:t>Unearned premiums</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31,331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27,031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44,841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11,071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37,042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3,093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154,409</w:t>
            </w:r>
          </w:p>
        </w:tc>
        <w:tc>
          <w:tcPr>
            <w:tcW w:w="113" w:type="dxa"/>
            <w:tcBorders/>
            <w:vAlign w:val="center"/>
          </w:tcPr>
          <w:p>
            <w:pPr>
              <w:pStyle w:val="TableContents"/>
              <w:bidi w:val="0"/>
              <w:spacing w:before="0" w:after="283"/>
              <w:ind w:left="0" w:right="0" w:firstLine="18"/>
              <w:jc w:val="left"/>
              <w:rPr/>
            </w:pPr>
            <w:r>
              <w:rPr/>
              <w:t> </w:t>
            </w:r>
          </w:p>
        </w:tc>
      </w:tr>
      <w:tr>
        <w:trPr/>
        <w:tc>
          <w:tcPr>
            <w:tcW w:w="1827" w:type="dxa"/>
            <w:tcBorders/>
            <w:shd w:fill="CCEEFF" w:val="clear"/>
            <w:vAlign w:val="center"/>
          </w:tcPr>
          <w:p>
            <w:pPr>
              <w:pStyle w:val="TableContents"/>
              <w:bidi w:val="0"/>
              <w:spacing w:before="0" w:after="283"/>
              <w:jc w:val="left"/>
              <w:rPr/>
            </w:pPr>
            <w:r>
              <w:rPr/>
              <w:t>Payable to Federal Crop Insurance Corporation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4,700</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10205" w:type="dxa"/>
        <w:jc w:val="left"/>
        <w:tblInd w:w="0" w:type="dxa"/>
        <w:tblLayout w:type="fixed"/>
        <w:tblCellMar>
          <w:top w:w="0" w:type="dxa"/>
          <w:left w:w="0" w:type="dxa"/>
          <w:bottom w:w="0" w:type="dxa"/>
          <w:right w:w="0" w:type="dxa"/>
        </w:tblCellMar>
      </w:tblPr>
      <w:tblGrid>
        <w:gridCol w:w="1770"/>
        <w:gridCol w:w="60"/>
        <w:gridCol w:w="186"/>
        <w:gridCol w:w="908"/>
        <w:gridCol w:w="95"/>
        <w:gridCol w:w="60"/>
        <w:gridCol w:w="233"/>
        <w:gridCol w:w="1261"/>
        <w:gridCol w:w="95"/>
        <w:gridCol w:w="60"/>
        <w:gridCol w:w="145"/>
        <w:gridCol w:w="704"/>
        <w:gridCol w:w="95"/>
        <w:gridCol w:w="60"/>
        <w:gridCol w:w="140"/>
        <w:gridCol w:w="755"/>
        <w:gridCol w:w="95"/>
        <w:gridCol w:w="60"/>
        <w:gridCol w:w="197"/>
        <w:gridCol w:w="1068"/>
        <w:gridCol w:w="95"/>
        <w:gridCol w:w="60"/>
        <w:gridCol w:w="143"/>
        <w:gridCol w:w="651"/>
        <w:gridCol w:w="95"/>
        <w:gridCol w:w="60"/>
        <w:gridCol w:w="140"/>
        <w:gridCol w:w="800"/>
        <w:gridCol w:w="114"/>
      </w:tblGrid>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1"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2023</w:t>
            </w:r>
          </w:p>
        </w:tc>
        <w:tc>
          <w:tcPr>
            <w:tcW w:w="114" w:type="dxa"/>
            <w:tcBorders/>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08" w:type="dxa"/>
            <w:tcBorders/>
            <w:shd w:fill="CCEEFF" w:val="clear"/>
            <w:vAlign w:val="center"/>
          </w:tcPr>
          <w:p>
            <w:pPr>
              <w:pStyle w:val="TableContents"/>
              <w:bidi w:val="0"/>
              <w:spacing w:before="0" w:after="283"/>
              <w:jc w:val="right"/>
              <w:rPr/>
            </w:pPr>
            <w:r>
              <w:rPr/>
              <w:t>64,426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64,049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69,077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61,850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3,974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296,176</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Assumed premiums earned</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1,155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3,448</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(2,995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(7,363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(13,440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283"/>
              <w:jc w:val="right"/>
              <w:rPr/>
            </w:pPr>
            <w:r>
              <w:rPr/>
              <w:t>(253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(37,081</w:t>
            </w:r>
          </w:p>
        </w:tc>
        <w:tc>
          <w:tcPr>
            <w:tcW w:w="114" w:type="dxa"/>
            <w:tcBorders/>
            <w:shd w:fill="CCEEFF" w:val="clear"/>
            <w:vAlign w:val="center"/>
          </w:tcPr>
          <w:p>
            <w:pPr>
              <w:pStyle w:val="TableContents"/>
              <w:bidi w:val="0"/>
              <w:spacing w:before="0" w:after="283"/>
              <w:jc w:val="left"/>
              <w:rPr/>
            </w:pPr>
            <w:r>
              <w:rPr/>
              <w:t>)</w:t>
            </w:r>
          </w:p>
        </w:tc>
      </w:tr>
      <w:tr>
        <w:trPr/>
        <w:tc>
          <w:tcPr>
            <w:tcW w:w="1770"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61,431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63,754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61,714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48,410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4,876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262,543</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Direct losses and loss adjustment expenses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50,227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50,015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42,548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16,932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76,050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1,345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237,117</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882</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Ceded losses and loss adjustment expenses</w:t>
            </w:r>
          </w:p>
        </w:tc>
        <w:tc>
          <w:tcPr>
            <w:tcW w:w="6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tcMar>
              <w:bottom w:w="28" w:type="dxa"/>
            </w:tcMar>
            <w:vAlign w:val="center"/>
          </w:tcPr>
          <w:p>
            <w:pPr>
              <w:pStyle w:val="TableContents"/>
              <w:bidi w:val="0"/>
              <w:spacing w:before="0" w:after="283"/>
              <w:jc w:val="right"/>
              <w:rPr/>
            </w:pPr>
            <w:r>
              <w:rPr/>
              <w:t>867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bottom w:val="single" w:sz="8" w:space="0" w:color="000000"/>
            </w:tcBorders>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tcMar>
              <w:bottom w:w="28" w:type="dxa"/>
            </w:tcMar>
            <w:vAlign w:val="center"/>
          </w:tcPr>
          <w:p>
            <w:pPr>
              <w:pStyle w:val="TableContents"/>
              <w:bidi w:val="0"/>
              <w:spacing w:before="0" w:after="283"/>
              <w:jc w:val="right"/>
              <w:rPr/>
            </w:pPr>
            <w:r>
              <w:rPr/>
              <w:t>(1,862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(6,363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tcMar>
              <w:bottom w:w="28" w:type="dxa"/>
            </w:tcMar>
            <w:vAlign w:val="center"/>
          </w:tcPr>
          <w:p>
            <w:pPr>
              <w:pStyle w:val="TableContents"/>
              <w:bidi w:val="0"/>
              <w:spacing w:before="0" w:after="283"/>
              <w:jc w:val="right"/>
              <w:rPr/>
            </w:pPr>
            <w:r>
              <w:rPr/>
              <w:t>(29,535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283"/>
              <w:jc w:val="right"/>
              <w:rPr/>
            </w:pPr>
            <w:r>
              <w:rPr/>
              <w:t>(1,211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(38,104</w:t>
            </w:r>
          </w:p>
        </w:tc>
        <w:tc>
          <w:tcPr>
            <w:tcW w:w="114" w:type="dxa"/>
            <w:tcBorders/>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51,094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50,015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40,686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46,515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199,895</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bottom w:val="single" w:sz="8" w:space="0" w:color="000000"/>
            </w:tcBorders>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10,337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13,739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21,028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283"/>
              <w:jc w:val="right"/>
              <w:rPr/>
            </w:pPr>
            <w:r>
              <w:rPr/>
              <w:t>4,418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62,648</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18,249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26,349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18,515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18,146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283"/>
              <w:jc w:val="right"/>
              <w:rPr/>
            </w:pPr>
            <w:r>
              <w:rPr/>
              <w:t>1,286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87,175</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Underwriting gain (loss)</w:t>
            </w:r>
          </w:p>
        </w:tc>
        <w:tc>
          <w:tcPr>
            <w:tcW w:w="6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tcMar>
              <w:bottom w:w="28" w:type="dxa"/>
            </w:tcMar>
            <w:vAlign w:val="center"/>
          </w:tcPr>
          <w:p>
            <w:pPr>
              <w:pStyle w:val="TableContents"/>
              <w:bidi w:val="0"/>
              <w:spacing w:before="0" w:after="283"/>
              <w:jc w:val="right"/>
              <w:rPr/>
            </w:pPr>
            <w:r>
              <w:rPr/>
              <w:t>(7,912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 w:type="dxa"/>
            <w:tcBorders>
              <w:bottom w:val="single" w:sz="8" w:space="0" w:color="000000"/>
            </w:tcBorders>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tcMar>
              <w:bottom w:w="28" w:type="dxa"/>
            </w:tcMar>
            <w:vAlign w:val="center"/>
          </w:tcPr>
          <w:p>
            <w:pPr>
              <w:pStyle w:val="TableContents"/>
              <w:bidi w:val="0"/>
              <w:spacing w:before="0" w:after="283"/>
              <w:jc w:val="right"/>
              <w:rPr/>
            </w:pPr>
            <w:r>
              <w:rPr/>
              <w:t>(12,610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tcMar>
              <w:bottom w:w="28" w:type="dxa"/>
            </w:tcMar>
            <w:vAlign w:val="center"/>
          </w:tcPr>
          <w:p>
            <w:pPr>
              <w:pStyle w:val="TableContents"/>
              <w:bidi w:val="0"/>
              <w:spacing w:before="0" w:after="283"/>
              <w:jc w:val="right"/>
              <w:rPr/>
            </w:pPr>
            <w:r>
              <w:rPr/>
              <w:t>2,513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6,601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tcMar>
              <w:bottom w:w="28" w:type="dxa"/>
            </w:tcMar>
            <w:vAlign w:val="center"/>
          </w:tcPr>
          <w:p>
            <w:pPr>
              <w:pStyle w:val="TableContents"/>
              <w:bidi w:val="0"/>
              <w:spacing w:before="0" w:after="283"/>
              <w:jc w:val="right"/>
              <w:rPr/>
            </w:pPr>
            <w:r>
              <w:rPr/>
              <w:t>(16,251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283"/>
              <w:jc w:val="right"/>
              <w:rPr/>
            </w:pPr>
            <w:r>
              <w:rPr/>
              <w:t>3,132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(24,527</w:t>
            </w:r>
          </w:p>
        </w:tc>
        <w:tc>
          <w:tcPr>
            <w:tcW w:w="114" w:type="dxa"/>
            <w:tcBorders/>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Fee and other income</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bottom w:val="single" w:sz="8" w:space="0" w:color="000000"/>
            </w:tcBorders>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tcMar>
              <w:bottom w:w="28" w:type="dxa"/>
            </w:tcMar>
            <w:vAlign w:val="center"/>
          </w:tcPr>
          <w:p>
            <w:pPr>
              <w:pStyle w:val="TableContents"/>
              <w:bidi w:val="0"/>
              <w:spacing w:before="0" w:after="283"/>
              <w:jc w:val="right"/>
              <w:rPr/>
            </w:pPr>
            <w:r>
              <w:rPr/>
              <w:t>748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1,228</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pPr>
            <w:r>
              <w:rPr/>
              <w:t>(11,862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7,495</w:t>
            </w:r>
          </w:p>
        </w:tc>
        <w:tc>
          <w:tcPr>
            <w:tcW w:w="114"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4" w:type="dxa"/>
            <w:tcBorders/>
            <w:shd w:fill="CCEEFF" w:val="clear"/>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Loss before income taxes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(15,789</w:t>
            </w:r>
          </w:p>
        </w:tc>
        <w:tc>
          <w:tcPr>
            <w:tcW w:w="114" w:type="dxa"/>
            <w:tcBorders/>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(3,352</w:t>
            </w:r>
          </w:p>
        </w:tc>
        <w:tc>
          <w:tcPr>
            <w:tcW w:w="114" w:type="dxa"/>
            <w:tcBorders/>
            <w:shd w:fill="CCEEFF" w:val="clear"/>
            <w:vAlign w:val="center"/>
          </w:tcPr>
          <w:p>
            <w:pPr>
              <w:pStyle w:val="TableContents"/>
              <w:bidi w:val="0"/>
              <w:spacing w:before="0" w:after="283"/>
              <w:jc w:val="left"/>
              <w:rPr/>
            </w:pPr>
            <w:r>
              <w:rPr/>
              <w:t>)</w:t>
            </w:r>
          </w:p>
        </w:tc>
      </w:tr>
      <w:tr>
        <w:trPr/>
        <w:tc>
          <w:tcPr>
            <w:tcW w:w="177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(12,437</w:t>
            </w:r>
          </w:p>
        </w:tc>
        <w:tc>
          <w:tcPr>
            <w:tcW w:w="114" w:type="dxa"/>
            <w:tcBorders/>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114" w:type="dxa"/>
            <w:tcBorders/>
            <w:shd w:fill="CCEEFF" w:val="clear"/>
            <w:vAlign w:val="center"/>
          </w:tcPr>
          <w:p>
            <w:pPr>
              <w:pStyle w:val="TableContents"/>
              <w:bidi w:val="0"/>
              <w:spacing w:before="0" w:after="283"/>
              <w:jc w:val="left"/>
              <w:rPr/>
            </w:pPr>
            <w:r>
              <w:rPr/>
              <w:t>)</w:t>
            </w:r>
          </w:p>
        </w:tc>
      </w:tr>
      <w:tr>
        <w:trPr/>
        <w:tc>
          <w:tcPr>
            <w:tcW w:w="1770" w:type="dxa"/>
            <w:tcBorders/>
            <w:vAlign w:val="center"/>
          </w:tcPr>
          <w:p>
            <w:pPr>
              <w:pStyle w:val="TableContents"/>
              <w:bidi w:val="0"/>
              <w:spacing w:before="0" w:after="283"/>
              <w:jc w:val="left"/>
              <w:rPr/>
            </w:pPr>
            <w:r>
              <w:rPr/>
              <w:t>Net loss attributable to NI Holdings, Inc.</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tcMar>
              <w:bottom w:w="28" w:type="dxa"/>
            </w:tcMar>
            <w:vAlign w:val="center"/>
          </w:tcPr>
          <w:p>
            <w:pPr>
              <w:pStyle w:val="TableContents"/>
              <w:bidi w:val="0"/>
              <w:spacing w:before="0" w:after="283"/>
              <w:jc w:val="right"/>
              <w:rPr/>
            </w:pPr>
            <w:r>
              <w:rPr/>
              <w:t>(12,101</w:t>
            </w:r>
          </w:p>
        </w:tc>
        <w:tc>
          <w:tcPr>
            <w:tcW w:w="114" w:type="dxa"/>
            <w:tcBorders/>
            <w:vAlign w:val="center"/>
          </w:tcPr>
          <w:p>
            <w:pPr>
              <w:pStyle w:val="TableContents"/>
              <w:bidi w:val="0"/>
              <w:spacing w:before="0" w:after="283"/>
              <w:ind w:left="0" w:right="0" w:hanging="216"/>
              <w:jc w:val="left"/>
              <w:rPr/>
            </w:pPr>
            <w:r>
              <w:rPr/>
              <w:t>)</w:t>
            </w:r>
          </w:p>
        </w:tc>
      </w:tr>
      <w:tr>
        <w:trPr/>
        <w:tc>
          <w:tcPr>
            <w:tcW w:w="1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1770" w:type="dxa"/>
            <w:tcBorders/>
            <w:vAlign w:val="center"/>
          </w:tcPr>
          <w:p>
            <w:pPr>
              <w:pStyle w:val="TableContents"/>
              <w:bidi w:val="0"/>
              <w:spacing w:before="0" w:after="283"/>
              <w:jc w:val="left"/>
              <w:rPr/>
            </w:pPr>
            <w:r>
              <w:rPr/>
              <w:t>Operating Ratios: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ind w:left="0" w:right="0" w:firstLine="18"/>
              <w:jc w:val="left"/>
              <w:rPr/>
            </w:pPr>
            <w:r>
              <w:rPr/>
              <w:t> </w:t>
            </w:r>
          </w:p>
        </w:tc>
      </w:tr>
      <w:tr>
        <w:trPr/>
        <w:tc>
          <w:tcPr>
            <w:tcW w:w="1770"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76.1%</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1770" w:type="dxa"/>
            <w:tcBorders/>
            <w:vAlign w:val="center"/>
          </w:tcPr>
          <w:p>
            <w:pPr>
              <w:pStyle w:val="TableContents"/>
              <w:bidi w:val="0"/>
              <w:spacing w:before="0" w:after="283"/>
              <w:jc w:val="left"/>
              <w:rPr/>
            </w:pPr>
            <w:r>
              <w:rPr/>
              <w:t>Expense ratio</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29.7%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41.3%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26.4%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33.2%</w:t>
            </w:r>
          </w:p>
        </w:tc>
        <w:tc>
          <w:tcPr>
            <w:tcW w:w="114" w:type="dxa"/>
            <w:tcBorders/>
            <w:vAlign w:val="center"/>
          </w:tcPr>
          <w:p>
            <w:pPr>
              <w:pStyle w:val="TableContents"/>
              <w:bidi w:val="0"/>
              <w:spacing w:before="0" w:after="283"/>
              <w:ind w:left="0" w:right="0" w:hanging="216"/>
              <w:jc w:val="left"/>
              <w:rPr/>
            </w:pPr>
            <w:r>
              <w:rPr/>
              <w:t> </w:t>
            </w:r>
          </w:p>
        </w:tc>
      </w:tr>
      <w:tr>
        <w:trPr/>
        <w:tc>
          <w:tcPr>
            <w:tcW w:w="177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109.3%</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12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 (Unaudited)</w:t>
        <w:br/>
        <w:t>(dollar amounts in thousands, except per share amounts) </w:t>
      </w:r>
    </w:p>
    <w:tbl>
      <w:tblPr>
        <w:tblW w:w="10205" w:type="dxa"/>
        <w:jc w:val="left"/>
        <w:tblInd w:w="0" w:type="dxa"/>
        <w:tblLayout w:type="fixed"/>
        <w:tblCellMar>
          <w:top w:w="0" w:type="dxa"/>
          <w:left w:w="0" w:type="dxa"/>
          <w:bottom w:w="0" w:type="dxa"/>
          <w:right w:w="0" w:type="dxa"/>
        </w:tblCellMar>
      </w:tblPr>
      <w:tblGrid>
        <w:gridCol w:w="1740"/>
        <w:gridCol w:w="60"/>
        <w:gridCol w:w="169"/>
        <w:gridCol w:w="919"/>
        <w:gridCol w:w="95"/>
        <w:gridCol w:w="60"/>
        <w:gridCol w:w="254"/>
        <w:gridCol w:w="1240"/>
        <w:gridCol w:w="95"/>
        <w:gridCol w:w="60"/>
        <w:gridCol w:w="142"/>
        <w:gridCol w:w="813"/>
        <w:gridCol w:w="95"/>
        <w:gridCol w:w="60"/>
        <w:gridCol w:w="140"/>
        <w:gridCol w:w="755"/>
        <w:gridCol w:w="95"/>
        <w:gridCol w:w="60"/>
        <w:gridCol w:w="215"/>
        <w:gridCol w:w="1050"/>
        <w:gridCol w:w="95"/>
        <w:gridCol w:w="60"/>
        <w:gridCol w:w="143"/>
        <w:gridCol w:w="580"/>
        <w:gridCol w:w="95"/>
        <w:gridCol w:w="60"/>
        <w:gridCol w:w="140"/>
        <w:gridCol w:w="800"/>
        <w:gridCol w:w="115"/>
      </w:tblGrid>
      <w:tr>
        <w:trPr/>
        <w:tc>
          <w:tcPr>
            <w:tcW w:w="1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2022</w:t>
            </w:r>
          </w:p>
        </w:tc>
        <w:tc>
          <w:tcPr>
            <w:tcW w:w="115" w:type="dxa"/>
            <w:tcBorders/>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9" w:type="dxa"/>
            <w:tcBorders/>
            <w:shd w:fill="CCEEFF" w:val="clear"/>
            <w:vAlign w:val="center"/>
          </w:tcPr>
          <w:p>
            <w:pPr>
              <w:pStyle w:val="TableContents"/>
              <w:bidi w:val="0"/>
              <w:spacing w:before="0" w:after="283"/>
              <w:jc w:val="right"/>
              <w:rPr/>
            </w:pPr>
            <w:r>
              <w:rPr/>
              <w:t>59,648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47,665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65,312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54,733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3,853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269,823</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Assumed premiums earned</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3,753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6,012</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pPr>
            <w:r>
              <w:rPr/>
              <w:t>(1,830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(6,393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(9,630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(32,220</w:t>
            </w:r>
          </w:p>
        </w:tc>
        <w:tc>
          <w:tcPr>
            <w:tcW w:w="115" w:type="dxa"/>
            <w:tcBorders/>
            <w:shd w:fill="CCEEFF" w:val="clear"/>
            <w:vAlign w:val="center"/>
          </w:tcPr>
          <w:p>
            <w:pPr>
              <w:pStyle w:val="TableContents"/>
              <w:bidi w:val="0"/>
              <w:spacing w:before="0" w:after="283"/>
              <w:jc w:val="left"/>
              <w:rPr/>
            </w:pPr>
            <w:r>
              <w:rPr/>
              <w:t>)</w:t>
            </w:r>
          </w:p>
        </w:tc>
      </w:tr>
      <w:tr>
        <w:trPr/>
        <w:tc>
          <w:tcPr>
            <w:tcW w:w="1740"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57,818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47,469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58,919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26,848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45,103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7,458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243,615</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Direct losses and loss adjustment expenses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52,360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24,582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103,430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42,791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2,275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250,611</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2,413</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Ceded losses and loss adjustment expenses</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tcMar>
              <w:bottom w:w="28" w:type="dxa"/>
            </w:tcMar>
            <w:vAlign w:val="center"/>
          </w:tcPr>
          <w:p>
            <w:pPr>
              <w:pStyle w:val="TableContents"/>
              <w:bidi w:val="0"/>
              <w:spacing w:before="0" w:after="283"/>
              <w:jc w:val="right"/>
              <w:rPr/>
            </w:pPr>
            <w:r>
              <w:rPr/>
              <w:t>(442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(5,938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(8,819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(9,970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tcMar>
              <w:bottom w:w="28" w:type="dxa"/>
            </w:tcMar>
            <w:vAlign w:val="center"/>
          </w:tcPr>
          <w:p>
            <w:pPr>
              <w:pStyle w:val="TableContents"/>
              <w:bidi w:val="0"/>
              <w:spacing w:before="0" w:after="283"/>
              <w:jc w:val="right"/>
              <w:rPr/>
            </w:pPr>
            <w:r>
              <w:rPr/>
              <w:t>(214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(25,383</w:t>
            </w:r>
          </w:p>
        </w:tc>
        <w:tc>
          <w:tcPr>
            <w:tcW w:w="115" w:type="dxa"/>
            <w:tcBorders/>
            <w:vAlign w:val="center"/>
          </w:tcPr>
          <w:p>
            <w:pPr>
              <w:pStyle w:val="TableContents"/>
              <w:bidi w:val="0"/>
              <w:spacing w:before="0" w:after="283"/>
              <w:jc w:val="left"/>
              <w:rPr/>
            </w:pPr>
            <w:r>
              <w:rPr/>
              <w:t>)</w:t>
            </w:r>
          </w:p>
        </w:tc>
      </w:tr>
      <w:tr>
        <w:trPr/>
        <w:tc>
          <w:tcPr>
            <w:tcW w:w="1740"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51,918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24,582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97,492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32,821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3,693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227,641</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pPr>
            <w:r>
              <w:rPr/>
              <w:t>5,900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22,887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(38,573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12,282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pPr>
            <w:r>
              <w:rPr/>
              <w:t>3,765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15,974</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pPr>
            <w:r>
              <w:rPr/>
              <w:t>16,382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19,357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17,425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16,752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pPr>
            <w:r>
              <w:rPr/>
              <w:t>1,835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73,151</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Underwriting gain (loss)</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tcMar>
              <w:bottom w:w="28" w:type="dxa"/>
            </w:tcMar>
            <w:vAlign w:val="center"/>
          </w:tcPr>
          <w:p>
            <w:pPr>
              <w:pStyle w:val="TableContents"/>
              <w:bidi w:val="0"/>
              <w:spacing w:before="0" w:after="283"/>
              <w:jc w:val="right"/>
              <w:rPr/>
            </w:pPr>
            <w:r>
              <w:rPr/>
              <w:t>(10,482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283"/>
              <w:jc w:val="right"/>
              <w:rPr/>
            </w:pPr>
            <w:r>
              <w:rPr/>
              <w:t>3,530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(55,998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8,313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tcMar>
              <w:bottom w:w="28" w:type="dxa"/>
            </w:tcMar>
            <w:vAlign w:val="center"/>
          </w:tcPr>
          <w:p>
            <w:pPr>
              <w:pStyle w:val="TableContents"/>
              <w:bidi w:val="0"/>
              <w:spacing w:before="0" w:after="283"/>
              <w:jc w:val="right"/>
              <w:rPr/>
            </w:pPr>
            <w:r>
              <w:rPr/>
              <w:t>(4,470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tcMar>
              <w:bottom w:w="28" w:type="dxa"/>
            </w:tcMar>
            <w:vAlign w:val="center"/>
          </w:tcPr>
          <w:p>
            <w:pPr>
              <w:pStyle w:val="TableContents"/>
              <w:bidi w:val="0"/>
              <w:spacing w:before="0" w:after="283"/>
              <w:jc w:val="right"/>
              <w:rPr/>
            </w:pPr>
            <w:r>
              <w:rPr/>
              <w:t>1,930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(57,177</w:t>
            </w:r>
          </w:p>
        </w:tc>
        <w:tc>
          <w:tcPr>
            <w:tcW w:w="115" w:type="dxa"/>
            <w:tcBorders/>
            <w:vAlign w:val="center"/>
          </w:tcPr>
          <w:p>
            <w:pPr>
              <w:pStyle w:val="TableContents"/>
              <w:bidi w:val="0"/>
              <w:spacing w:before="0" w:after="283"/>
              <w:jc w:val="left"/>
              <w:rPr/>
            </w:pPr>
            <w:r>
              <w:rPr/>
              <w:t>)</w:t>
            </w:r>
          </w:p>
        </w:tc>
      </w:tr>
      <w:tr>
        <w:trPr/>
        <w:tc>
          <w:tcPr>
            <w:tcW w:w="1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Fee and other income</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283"/>
              <w:jc w:val="right"/>
              <w:rPr/>
            </w:pPr>
            <w:r>
              <w:rPr/>
              <w:t>888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1,319</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4,418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1740"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5,703</w:t>
            </w:r>
          </w:p>
        </w:tc>
        <w:tc>
          <w:tcPr>
            <w:tcW w:w="115" w:type="dxa"/>
            <w:tcBorders/>
            <w:vAlign w:val="center"/>
          </w:tcPr>
          <w:p>
            <w:pPr>
              <w:pStyle w:val="TableContents"/>
              <w:bidi w:val="0"/>
              <w:spacing w:before="0" w:after="283"/>
              <w:jc w:val="left"/>
              <w:rPr/>
            </w:pPr>
            <w:r>
              <w:rPr/>
              <w:t> </w:t>
            </w:r>
          </w:p>
        </w:tc>
      </w:tr>
      <w:tr>
        <w:trPr/>
        <w:tc>
          <w:tcPr>
            <w:tcW w:w="1740" w:type="dxa"/>
            <w:tcBorders/>
            <w:shd w:fill="CCEEFF" w:val="clear"/>
            <w:vAlign w:val="center"/>
          </w:tcPr>
          <w:p>
            <w:pPr>
              <w:pStyle w:val="TableContents"/>
              <w:bidi w:val="0"/>
              <w:spacing w:before="0" w:after="283"/>
              <w:jc w:val="left"/>
              <w:rPr/>
            </w:pPr>
            <w:r>
              <w:rPr/>
              <w:t>Net investment losses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(19,532</w:t>
            </w:r>
          </w:p>
        </w:tc>
        <w:tc>
          <w:tcPr>
            <w:tcW w:w="115" w:type="dxa"/>
            <w:tcBorders/>
            <w:shd w:fill="CCEEFF" w:val="clear"/>
            <w:vAlign w:val="center"/>
          </w:tcPr>
          <w:p>
            <w:pPr>
              <w:pStyle w:val="TableContents"/>
              <w:bidi w:val="0"/>
              <w:spacing w:before="0" w:after="283"/>
              <w:jc w:val="left"/>
              <w:rPr/>
            </w:pPr>
            <w:r>
              <w:rPr/>
              <w:t>)</w:t>
            </w:r>
          </w:p>
        </w:tc>
      </w:tr>
      <w:tr>
        <w:trPr/>
        <w:tc>
          <w:tcPr>
            <w:tcW w:w="1740" w:type="dxa"/>
            <w:tcBorders/>
            <w:vAlign w:val="center"/>
          </w:tcPr>
          <w:p>
            <w:pPr>
              <w:pStyle w:val="TableContents"/>
              <w:bidi w:val="0"/>
              <w:spacing w:before="0" w:after="283"/>
              <w:jc w:val="left"/>
              <w:rPr/>
            </w:pPr>
            <w:r>
              <w:rPr/>
              <w:t>Loss before income taxes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(69,687</w:t>
            </w:r>
          </w:p>
        </w:tc>
        <w:tc>
          <w:tcPr>
            <w:tcW w:w="115" w:type="dxa"/>
            <w:tcBorders/>
            <w:vAlign w:val="center"/>
          </w:tcPr>
          <w:p>
            <w:pPr>
              <w:pStyle w:val="TableContents"/>
              <w:bidi w:val="0"/>
              <w:spacing w:before="0" w:after="283"/>
              <w:jc w:val="left"/>
              <w:rPr/>
            </w:pPr>
            <w:r>
              <w:rPr/>
              <w:t>)</w:t>
            </w:r>
          </w:p>
        </w:tc>
      </w:tr>
      <w:tr>
        <w:trPr/>
        <w:tc>
          <w:tcPr>
            <w:tcW w:w="174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(14,921</w:t>
            </w:r>
          </w:p>
        </w:tc>
        <w:tc>
          <w:tcPr>
            <w:tcW w:w="115" w:type="dxa"/>
            <w:tcBorders/>
            <w:shd w:fill="CCEEFF" w:val="clear"/>
            <w:vAlign w:val="center"/>
          </w:tcPr>
          <w:p>
            <w:pPr>
              <w:pStyle w:val="TableContents"/>
              <w:bidi w:val="0"/>
              <w:spacing w:before="0" w:after="283"/>
              <w:jc w:val="left"/>
              <w:rPr/>
            </w:pPr>
            <w:r>
              <w:rPr/>
              <w:t>)</w:t>
            </w:r>
          </w:p>
        </w:tc>
      </w:tr>
      <w:tr>
        <w:trPr/>
        <w:tc>
          <w:tcPr>
            <w:tcW w:w="174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(54,766</w:t>
            </w:r>
          </w:p>
        </w:tc>
        <w:tc>
          <w:tcPr>
            <w:tcW w:w="115" w:type="dxa"/>
            <w:tcBorders/>
            <w:vAlign w:val="center"/>
          </w:tcPr>
          <w:p>
            <w:pPr>
              <w:pStyle w:val="TableContents"/>
              <w:bidi w:val="0"/>
              <w:spacing w:before="0" w:after="283"/>
              <w:jc w:val="left"/>
              <w:rPr/>
            </w:pPr>
            <w:r>
              <w:rPr/>
              <w:t>)</w:t>
            </w:r>
          </w:p>
        </w:tc>
      </w:tr>
      <w:tr>
        <w:trPr/>
        <w:tc>
          <w:tcPr>
            <w:tcW w:w="1740"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(780</w:t>
            </w:r>
          </w:p>
        </w:tc>
        <w:tc>
          <w:tcPr>
            <w:tcW w:w="115" w:type="dxa"/>
            <w:tcBorders/>
            <w:shd w:fill="CCEEFF" w:val="clear"/>
            <w:vAlign w:val="center"/>
          </w:tcPr>
          <w:p>
            <w:pPr>
              <w:pStyle w:val="TableContents"/>
              <w:bidi w:val="0"/>
              <w:spacing w:before="0" w:after="283"/>
              <w:jc w:val="left"/>
              <w:rPr/>
            </w:pPr>
            <w:r>
              <w:rPr/>
              <w:t>)</w:t>
            </w:r>
          </w:p>
        </w:tc>
      </w:tr>
      <w:tr>
        <w:trPr/>
        <w:tc>
          <w:tcPr>
            <w:tcW w:w="1740" w:type="dxa"/>
            <w:tcBorders/>
            <w:vAlign w:val="center"/>
          </w:tcPr>
          <w:p>
            <w:pPr>
              <w:pStyle w:val="TableContents"/>
              <w:bidi w:val="0"/>
              <w:spacing w:before="0" w:after="283"/>
              <w:jc w:val="left"/>
              <w:rPr/>
            </w:pPr>
            <w:r>
              <w:rPr/>
              <w:t>Net loss attributable to NI Holdings, Inc.</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tcMar>
              <w:bottom w:w="28" w:type="dxa"/>
            </w:tcMar>
            <w:vAlign w:val="center"/>
          </w:tcPr>
          <w:p>
            <w:pPr>
              <w:pStyle w:val="TableContents"/>
              <w:bidi w:val="0"/>
              <w:spacing w:before="0" w:after="283"/>
              <w:jc w:val="right"/>
              <w:rPr/>
            </w:pPr>
            <w:r>
              <w:rPr/>
              <w:t>(53,986</w:t>
            </w:r>
          </w:p>
        </w:tc>
        <w:tc>
          <w:tcPr>
            <w:tcW w:w="115" w:type="dxa"/>
            <w:tcBorders/>
            <w:vAlign w:val="center"/>
          </w:tcPr>
          <w:p>
            <w:pPr>
              <w:pStyle w:val="TableContents"/>
              <w:bidi w:val="0"/>
              <w:spacing w:before="0" w:after="283"/>
              <w:ind w:left="0" w:right="0" w:hanging="216"/>
              <w:jc w:val="left"/>
              <w:rPr/>
            </w:pPr>
            <w:r>
              <w:rPr/>
              <w:t>)</w:t>
            </w:r>
          </w:p>
        </w:tc>
      </w:tr>
      <w:tr>
        <w:trPr/>
        <w:tc>
          <w:tcPr>
            <w:tcW w:w="1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16"/>
              <w:jc w:val="left"/>
              <w:rPr/>
            </w:pPr>
            <w:r>
              <w:rPr/>
              <w:t> </w:t>
            </w:r>
          </w:p>
        </w:tc>
      </w:tr>
      <w:tr>
        <w:trPr/>
        <w:tc>
          <w:tcPr>
            <w:tcW w:w="1740" w:type="dxa"/>
            <w:tcBorders/>
            <w:vAlign w:val="center"/>
          </w:tcPr>
          <w:p>
            <w:pPr>
              <w:pStyle w:val="TableContents"/>
              <w:bidi w:val="0"/>
              <w:spacing w:before="0" w:after="283"/>
              <w:jc w:val="left"/>
              <w:rPr/>
            </w:pPr>
            <w:r>
              <w:rPr/>
              <w:t>Operating Ratios: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ind w:left="0" w:right="0" w:firstLine="18"/>
              <w:jc w:val="left"/>
              <w:rPr/>
            </w:pPr>
            <w:r>
              <w:rPr/>
              <w:t> </w:t>
            </w:r>
          </w:p>
        </w:tc>
      </w:tr>
      <w:tr>
        <w:trPr/>
        <w:tc>
          <w:tcPr>
            <w:tcW w:w="1740"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93.5%</w:t>
            </w:r>
          </w:p>
        </w:tc>
        <w:tc>
          <w:tcPr>
            <w:tcW w:w="115" w:type="dxa"/>
            <w:tcBorders/>
            <w:shd w:fill="CCEEFF" w:val="clear"/>
            <w:vAlign w:val="center"/>
          </w:tcPr>
          <w:p>
            <w:pPr>
              <w:pStyle w:val="TableContents"/>
              <w:bidi w:val="0"/>
              <w:spacing w:before="0" w:after="283"/>
              <w:ind w:left="0" w:right="0" w:hanging="216"/>
              <w:jc w:val="left"/>
              <w:rPr/>
            </w:pPr>
            <w:r>
              <w:rPr/>
              <w:t> </w:t>
            </w:r>
          </w:p>
        </w:tc>
      </w:tr>
      <w:tr>
        <w:trPr/>
        <w:tc>
          <w:tcPr>
            <w:tcW w:w="1740" w:type="dxa"/>
            <w:tcBorders/>
            <w:vAlign w:val="center"/>
          </w:tcPr>
          <w:p>
            <w:pPr>
              <w:pStyle w:val="TableContents"/>
              <w:bidi w:val="0"/>
              <w:spacing w:before="0" w:after="283"/>
              <w:jc w:val="left"/>
              <w:rPr/>
            </w:pPr>
            <w:r>
              <w:rPr/>
              <w:t>Expense ratio</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28.3%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24.6%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30.0%</w:t>
            </w:r>
          </w:p>
        </w:tc>
        <w:tc>
          <w:tcPr>
            <w:tcW w:w="115" w:type="dxa"/>
            <w:tcBorders/>
            <w:vAlign w:val="center"/>
          </w:tcPr>
          <w:p>
            <w:pPr>
              <w:pStyle w:val="TableContents"/>
              <w:bidi w:val="0"/>
              <w:spacing w:before="0" w:after="283"/>
              <w:ind w:left="0" w:right="0" w:hanging="216"/>
              <w:jc w:val="left"/>
              <w:rPr/>
            </w:pPr>
            <w:r>
              <w:rPr/>
              <w:t> </w:t>
            </w:r>
          </w:p>
        </w:tc>
      </w:tr>
      <w:tr>
        <w:trPr/>
        <w:tc>
          <w:tcPr>
            <w:tcW w:w="174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118.1%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123.5%</w:t>
            </w:r>
          </w:p>
        </w:tc>
        <w:tc>
          <w:tcPr>
            <w:tcW w:w="11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intended to provide a more comprehensive review of our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2022 Annual Report should also be reviewed for a discussion of important factors that could cause actual results to differ materially from the results described, or implied by, the forward-looking statements contained herein.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are in thousands.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net income was $298 for the three months ended September 30, 2023, compared to net loss of $10,169 for the three months ended September 30, 2022. Our consolidated net loss was $12,437 for the nine months ended September 30, 2023, compared to net loss of $54,766 for the nine months ended September 30, 2022.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components of revenues and net loss are shown below:</w:t>
      </w:r>
    </w:p>
    <w:tbl>
      <w:tblPr>
        <w:tblW w:w="10205" w:type="dxa"/>
        <w:jc w:val="left"/>
        <w:tblInd w:w="0" w:type="dxa"/>
        <w:tblLayout w:type="fixed"/>
        <w:tblCellMar>
          <w:top w:w="0" w:type="dxa"/>
          <w:left w:w="0" w:type="dxa"/>
          <w:bottom w:w="0" w:type="dxa"/>
          <w:right w:w="0" w:type="dxa"/>
        </w:tblCellMar>
      </w:tblPr>
      <w:tblGrid>
        <w:gridCol w:w="5691"/>
        <w:gridCol w:w="60"/>
        <w:gridCol w:w="156"/>
        <w:gridCol w:w="763"/>
        <w:gridCol w:w="106"/>
        <w:gridCol w:w="66"/>
        <w:gridCol w:w="156"/>
        <w:gridCol w:w="847"/>
        <w:gridCol w:w="95"/>
        <w:gridCol w:w="60"/>
        <w:gridCol w:w="143"/>
        <w:gridCol w:w="822"/>
        <w:gridCol w:w="97"/>
        <w:gridCol w:w="61"/>
        <w:gridCol w:w="143"/>
        <w:gridCol w:w="822"/>
        <w:gridCol w:w="117"/>
      </w:tblGrid>
      <w:tr>
        <w:trPr/>
        <w:tc>
          <w:tcPr>
            <w:tcW w:w="5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7" w:type="dxa"/>
            <w:tcBorders/>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7" w:type="dxa"/>
            <w:tcBorders/>
            <w:vAlign w:val="center"/>
          </w:tcPr>
          <w:p>
            <w:pPr>
              <w:pStyle w:val="TableContents"/>
              <w:bidi w:val="0"/>
              <w:spacing w:before="0" w:after="283"/>
              <w:jc w:val="left"/>
              <w:rPr/>
            </w:pPr>
            <w:r>
              <w:rPr/>
              <w:t> </w:t>
            </w:r>
          </w:p>
        </w:tc>
      </w:tr>
      <w:tr>
        <w:trPr/>
        <w:tc>
          <w:tcPr>
            <w:tcW w:w="5691"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03"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Net premiums earned</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90,770</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847" w:type="dxa"/>
            <w:tcBorders/>
            <w:vAlign w:val="center"/>
          </w:tcPr>
          <w:p>
            <w:pPr>
              <w:pStyle w:val="TableContents"/>
              <w:bidi w:val="0"/>
              <w:spacing w:before="0" w:after="283"/>
              <w:jc w:val="right"/>
              <w:rPr/>
            </w:pPr>
            <w:r>
              <w:rPr/>
              <w:t>89,532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262,543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243,615</w:t>
            </w:r>
          </w:p>
        </w:tc>
        <w:tc>
          <w:tcPr>
            <w:tcW w:w="117" w:type="dxa"/>
            <w:tcBorders/>
            <w:vAlign w:val="center"/>
          </w:tcPr>
          <w:p>
            <w:pPr>
              <w:pStyle w:val="TableContents"/>
              <w:bidi w:val="0"/>
              <w:spacing w:before="0" w:after="283"/>
              <w:jc w:val="left"/>
              <w:rPr/>
            </w:pPr>
            <w:r>
              <w:rPr/>
              <w:t> </w:t>
            </w:r>
          </w:p>
        </w:tc>
      </w:tr>
      <w:tr>
        <w:trPr/>
        <w:tc>
          <w:tcPr>
            <w:tcW w:w="5691"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455</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1,228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1,319</w:t>
            </w:r>
          </w:p>
        </w:tc>
        <w:tc>
          <w:tcPr>
            <w:tcW w:w="117" w:type="dxa"/>
            <w:tcBorders/>
            <w:shd w:fill="CCEEFF" w:val="clear"/>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2,751</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2,035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7,495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5,703</w:t>
            </w:r>
          </w:p>
        </w:tc>
        <w:tc>
          <w:tcPr>
            <w:tcW w:w="117" w:type="dxa"/>
            <w:tcBorders/>
            <w:vAlign w:val="center"/>
          </w:tcPr>
          <w:p>
            <w:pPr>
              <w:pStyle w:val="TableContents"/>
              <w:bidi w:val="0"/>
              <w:spacing w:before="0" w:after="283"/>
              <w:jc w:val="left"/>
              <w:rPr/>
            </w:pPr>
            <w:r>
              <w:rPr/>
              <w:t> </w:t>
            </w:r>
          </w:p>
        </w:tc>
      </w:tr>
      <w:tr>
        <w:trPr/>
        <w:tc>
          <w:tcPr>
            <w:tcW w:w="5691"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(1,227</w:t>
            </w:r>
          </w:p>
        </w:tc>
        <w:tc>
          <w:tcPr>
            <w:tcW w:w="106"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(2,868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pPr>
            <w:r>
              <w:rPr/>
              <w:t>(19,532</w:t>
            </w:r>
          </w:p>
        </w:tc>
        <w:tc>
          <w:tcPr>
            <w:tcW w:w="117" w:type="dxa"/>
            <w:tcBorders/>
            <w:shd w:fill="CCEEFF" w:val="clear"/>
            <w:vAlign w:val="center"/>
          </w:tcPr>
          <w:p>
            <w:pPr>
              <w:pStyle w:val="TableContents"/>
              <w:bidi w:val="0"/>
              <w:spacing w:before="0" w:after="283"/>
              <w:jc w:val="left"/>
              <w:rPr/>
            </w:pPr>
            <w:r>
              <w:rPr/>
              <w:t>)</w:t>
            </w:r>
          </w:p>
        </w:tc>
      </w:tr>
      <w:tr>
        <w:trPr/>
        <w:tc>
          <w:tcPr>
            <w:tcW w:w="5691" w:type="dxa"/>
            <w:tcBorders/>
            <w:vAlign w:val="center"/>
          </w:tcPr>
          <w:p>
            <w:pPr>
              <w:pStyle w:val="TableContents"/>
              <w:bidi w:val="0"/>
              <w:spacing w:before="0" w:after="283"/>
              <w:jc w:val="left"/>
              <w:rPr/>
            </w:pPr>
            <w:r>
              <w:rPr/>
              <w:t>Total revenues</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92,749</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89,175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271,281</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231,105</w:t>
            </w:r>
          </w:p>
        </w:tc>
        <w:tc>
          <w:tcPr>
            <w:tcW w:w="117" w:type="dxa"/>
            <w:tcBorders/>
            <w:vAlign w:val="center"/>
          </w:tcPr>
          <w:p>
            <w:pPr>
              <w:pStyle w:val="TableContents"/>
              <w:bidi w:val="0"/>
              <w:spacing w:before="0" w:after="283"/>
              <w:ind w:left="0" w:right="0" w:hanging="216"/>
              <w:jc w:val="left"/>
              <w:rPr/>
            </w:pPr>
            <w:r>
              <w:rPr/>
              <w:t> </w:t>
            </w:r>
          </w:p>
        </w:tc>
      </w:tr>
      <w:tr>
        <w:trPr/>
        <w:tc>
          <w:tcPr>
            <w:tcW w:w="56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Components of net income: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r>
      <w:tr>
        <w:trPr/>
        <w:tc>
          <w:tcPr>
            <w:tcW w:w="5691"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90,770</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89,532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262,543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243,615</w:t>
            </w:r>
          </w:p>
        </w:tc>
        <w:tc>
          <w:tcPr>
            <w:tcW w:w="117" w:type="dxa"/>
            <w:tcBorders/>
            <w:shd w:fill="CCEEFF" w:val="clear"/>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Losses and loss adjustment expenses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63,564</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78,917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199,895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227,641</w:t>
            </w:r>
          </w:p>
        </w:tc>
        <w:tc>
          <w:tcPr>
            <w:tcW w:w="117" w:type="dxa"/>
            <w:tcBorders/>
            <w:vAlign w:val="center"/>
          </w:tcPr>
          <w:p>
            <w:pPr>
              <w:pStyle w:val="TableContents"/>
              <w:bidi w:val="0"/>
              <w:spacing w:before="0" w:after="283"/>
              <w:jc w:val="left"/>
              <w:rPr/>
            </w:pPr>
            <w:r>
              <w:rPr/>
              <w:t> </w:t>
            </w:r>
          </w:p>
        </w:tc>
      </w:tr>
      <w:tr>
        <w:trPr/>
        <w:tc>
          <w:tcPr>
            <w:tcW w:w="5691" w:type="dxa"/>
            <w:tcBorders/>
            <w:shd w:fill="CCEEFF" w:val="clear"/>
            <w:vAlign w:val="center"/>
          </w:tcPr>
          <w:p>
            <w:pPr>
              <w:pStyle w:val="TableContents"/>
              <w:bidi w:val="0"/>
              <w:spacing w:before="0" w:after="283"/>
              <w:jc w:val="left"/>
              <w:rPr/>
            </w:pPr>
            <w:r>
              <w:rPr/>
              <w:t>Amortization of deferred policy acquisition costs and 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29,057</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23,501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pPr>
            <w:r>
              <w:rPr/>
              <w:t>87,175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pPr>
            <w:r>
              <w:rPr/>
              <w:t>73,151</w:t>
            </w:r>
          </w:p>
        </w:tc>
        <w:tc>
          <w:tcPr>
            <w:tcW w:w="117" w:type="dxa"/>
            <w:tcBorders/>
            <w:shd w:fill="CCEEFF" w:val="clear"/>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Underwriting loss</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(1,851</w:t>
            </w:r>
          </w:p>
        </w:tc>
        <w:tc>
          <w:tcPr>
            <w:tcW w:w="106"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(12,886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(24,527</w:t>
            </w:r>
          </w:p>
        </w:tc>
        <w:tc>
          <w:tcPr>
            <w:tcW w:w="97" w:type="dxa"/>
            <w:tcBorders/>
            <w:vAlign w:val="center"/>
          </w:tcPr>
          <w:p>
            <w:pPr>
              <w:pStyle w:val="TableContents"/>
              <w:bidi w:val="0"/>
              <w:spacing w:before="0" w:after="283"/>
              <w:jc w:val="left"/>
              <w:rPr/>
            </w:pPr>
            <w:r>
              <w:rPr/>
              <w:t>)</w:t>
            </w:r>
          </w:p>
        </w:tc>
        <w:tc>
          <w:tcPr>
            <w:tcW w:w="61"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(57,177</w:t>
            </w:r>
          </w:p>
        </w:tc>
        <w:tc>
          <w:tcPr>
            <w:tcW w:w="117" w:type="dxa"/>
            <w:tcBorders/>
            <w:vAlign w:val="center"/>
          </w:tcPr>
          <w:p>
            <w:pPr>
              <w:pStyle w:val="TableContents"/>
              <w:bidi w:val="0"/>
              <w:spacing w:before="0" w:after="283"/>
              <w:ind w:left="0" w:right="0" w:hanging="216"/>
              <w:jc w:val="left"/>
              <w:rPr/>
            </w:pPr>
            <w:r>
              <w:rPr/>
              <w:t>)</w:t>
            </w:r>
          </w:p>
        </w:tc>
      </w:tr>
      <w:tr>
        <w:trPr/>
        <w:tc>
          <w:tcPr>
            <w:tcW w:w="56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ind w:left="0" w:right="0" w:hanging="216"/>
              <w:jc w:val="left"/>
              <w:rPr/>
            </w:pPr>
            <w:r>
              <w:rPr/>
              <w:t> </w:t>
            </w:r>
          </w:p>
        </w:tc>
      </w:tr>
      <w:tr>
        <w:trPr/>
        <w:tc>
          <w:tcPr>
            <w:tcW w:w="5691" w:type="dxa"/>
            <w:tcBorders/>
            <w:vAlign w:val="center"/>
          </w:tcPr>
          <w:p>
            <w:pPr>
              <w:pStyle w:val="TableContents"/>
              <w:bidi w:val="0"/>
              <w:spacing w:before="0" w:after="283"/>
              <w:jc w:val="left"/>
              <w:rPr/>
            </w:pPr>
            <w:r>
              <w:rPr/>
              <w:t>Fee and other income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455</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476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1,228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1,319</w:t>
            </w:r>
          </w:p>
        </w:tc>
        <w:tc>
          <w:tcPr>
            <w:tcW w:w="117" w:type="dxa"/>
            <w:tcBorders/>
            <w:vAlign w:val="center"/>
          </w:tcPr>
          <w:p>
            <w:pPr>
              <w:pStyle w:val="TableContents"/>
              <w:bidi w:val="0"/>
              <w:spacing w:before="0" w:after="283"/>
              <w:jc w:val="left"/>
              <w:rPr/>
            </w:pPr>
            <w:r>
              <w:rPr/>
              <w:t> </w:t>
            </w:r>
          </w:p>
        </w:tc>
      </w:tr>
      <w:tr>
        <w:trPr/>
        <w:tc>
          <w:tcPr>
            <w:tcW w:w="5691"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2,751</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7,495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5,703</w:t>
            </w:r>
          </w:p>
        </w:tc>
        <w:tc>
          <w:tcPr>
            <w:tcW w:w="117" w:type="dxa"/>
            <w:tcBorders/>
            <w:shd w:fill="CCEEFF" w:val="clear"/>
            <w:vAlign w:val="center"/>
          </w:tcPr>
          <w:p>
            <w:pPr>
              <w:pStyle w:val="TableContents"/>
              <w:bidi w:val="0"/>
              <w:spacing w:before="0" w:after="283"/>
              <w:jc w:val="left"/>
              <w:rPr/>
            </w:pPr>
            <w:r>
              <w:rPr/>
              <w:t> </w:t>
            </w:r>
          </w:p>
        </w:tc>
      </w:tr>
      <w:tr>
        <w:trPr/>
        <w:tc>
          <w:tcPr>
            <w:tcW w:w="5691" w:type="dxa"/>
            <w:tcBorders/>
            <w:vAlign w:val="center"/>
          </w:tcPr>
          <w:p>
            <w:pPr>
              <w:pStyle w:val="TableContents"/>
              <w:bidi w:val="0"/>
              <w:spacing w:before="0" w:after="283"/>
              <w:jc w:val="left"/>
              <w:rPr/>
            </w:pPr>
            <w:r>
              <w:rPr/>
              <w:t>Net investment gains (losses)</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(1,227</w:t>
            </w:r>
          </w:p>
        </w:tc>
        <w:tc>
          <w:tcPr>
            <w:tcW w:w="106"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(2,868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15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(19,532</w:t>
            </w:r>
          </w:p>
        </w:tc>
        <w:tc>
          <w:tcPr>
            <w:tcW w:w="117" w:type="dxa"/>
            <w:tcBorders/>
            <w:vAlign w:val="center"/>
          </w:tcPr>
          <w:p>
            <w:pPr>
              <w:pStyle w:val="TableContents"/>
              <w:bidi w:val="0"/>
              <w:spacing w:before="0" w:after="283"/>
              <w:jc w:val="left"/>
              <w:rPr/>
            </w:pPr>
            <w:r>
              <w:rPr/>
              <w:t>)</w:t>
            </w:r>
          </w:p>
        </w:tc>
      </w:tr>
      <w:tr>
        <w:trPr/>
        <w:tc>
          <w:tcPr>
            <w:tcW w:w="5691"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128</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(13,243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(15,789</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(69,687</w:t>
            </w:r>
          </w:p>
        </w:tc>
        <w:tc>
          <w:tcPr>
            <w:tcW w:w="117" w:type="dxa"/>
            <w:tcBorders/>
            <w:shd w:fill="CCEEFF" w:val="clear"/>
            <w:vAlign w:val="center"/>
          </w:tcPr>
          <w:p>
            <w:pPr>
              <w:pStyle w:val="TableContents"/>
              <w:bidi w:val="0"/>
              <w:spacing w:before="0" w:after="283"/>
              <w:jc w:val="left"/>
              <w:rPr/>
            </w:pPr>
            <w:r>
              <w:rPr/>
              <w:t>)</w:t>
            </w:r>
          </w:p>
        </w:tc>
      </w:tr>
      <w:tr>
        <w:trPr/>
        <w:tc>
          <w:tcPr>
            <w:tcW w:w="5691" w:type="dxa"/>
            <w:tcBorders/>
            <w:vAlign w:val="center"/>
          </w:tcPr>
          <w:p>
            <w:pPr>
              <w:pStyle w:val="TableContents"/>
              <w:bidi w:val="0"/>
              <w:spacing w:before="0" w:after="283"/>
              <w:jc w:val="left"/>
              <w:rPr/>
            </w:pPr>
            <w:r>
              <w:rPr/>
              <w:t>Income tax benefit</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(170</w:t>
            </w:r>
          </w:p>
        </w:tc>
        <w:tc>
          <w:tcPr>
            <w:tcW w:w="106"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(3,074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(3,352</w:t>
            </w:r>
          </w:p>
        </w:tc>
        <w:tc>
          <w:tcPr>
            <w:tcW w:w="97" w:type="dxa"/>
            <w:tcBorders/>
            <w:vAlign w:val="center"/>
          </w:tcPr>
          <w:p>
            <w:pPr>
              <w:pStyle w:val="TableContents"/>
              <w:bidi w:val="0"/>
              <w:spacing w:before="0" w:after="283"/>
              <w:jc w:val="left"/>
              <w:rPr/>
            </w:pPr>
            <w:r>
              <w:rPr/>
              <w:t>)</w:t>
            </w:r>
          </w:p>
        </w:tc>
        <w:tc>
          <w:tcPr>
            <w:tcW w:w="61"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tcMar>
              <w:bottom w:w="28" w:type="dxa"/>
            </w:tcMar>
            <w:vAlign w:val="center"/>
          </w:tcPr>
          <w:p>
            <w:pPr>
              <w:pStyle w:val="TableContents"/>
              <w:bidi w:val="0"/>
              <w:spacing w:before="0" w:after="283"/>
              <w:jc w:val="right"/>
              <w:rPr/>
            </w:pPr>
            <w:r>
              <w:rPr/>
              <w:t>(14,921</w:t>
            </w:r>
          </w:p>
        </w:tc>
        <w:tc>
          <w:tcPr>
            <w:tcW w:w="117" w:type="dxa"/>
            <w:tcBorders/>
            <w:vAlign w:val="center"/>
          </w:tcPr>
          <w:p>
            <w:pPr>
              <w:pStyle w:val="TableContents"/>
              <w:bidi w:val="0"/>
              <w:spacing w:before="0" w:after="283"/>
              <w:jc w:val="left"/>
              <w:rPr/>
            </w:pPr>
            <w:r>
              <w:rPr/>
              <w:t>)</w:t>
            </w:r>
          </w:p>
        </w:tc>
      </w:tr>
      <w:tr>
        <w:trPr/>
        <w:tc>
          <w:tcPr>
            <w:tcW w:w="569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pPr>
            <w:r>
              <w:rPr/>
              <w:t>298</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rPr/>
            </w:pPr>
            <w:r>
              <w:rPr/>
              <w:t>(10,169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jc w:val="right"/>
              <w:rPr/>
            </w:pPr>
            <w:r>
              <w:rPr/>
              <w:t>(12,437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jc w:val="right"/>
              <w:rPr/>
            </w:pPr>
            <w:r>
              <w:rPr/>
              <w:t>(54,766</w:t>
            </w:r>
          </w:p>
        </w:tc>
        <w:tc>
          <w:tcPr>
            <w:tcW w:w="117" w:type="dxa"/>
            <w:tcBorders/>
            <w:shd w:fill="CCEEFF" w:val="clear"/>
            <w:vAlign w:val="center"/>
          </w:tcPr>
          <w:p>
            <w:pPr>
              <w:pStyle w:val="TableContents"/>
              <w:bidi w:val="0"/>
              <w:spacing w:before="0" w:after="283"/>
              <w:jc w:val="left"/>
              <w:rPr/>
            </w:pPr>
            <w:r>
              <w:rPr/>
              <w:t>)</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Premiums Earned</w:t>
      </w:r>
    </w:p>
    <w:tbl>
      <w:tblPr>
        <w:tblW w:w="10188" w:type="dxa"/>
        <w:jc w:val="left"/>
        <w:tblInd w:w="0" w:type="dxa"/>
        <w:tblLayout w:type="fixed"/>
        <w:tblCellMar>
          <w:top w:w="0" w:type="dxa"/>
          <w:left w:w="0" w:type="dxa"/>
          <w:bottom w:w="0" w:type="dxa"/>
          <w:right w:w="0" w:type="dxa"/>
        </w:tblCellMar>
      </w:tblPr>
      <w:tblGrid>
        <w:gridCol w:w="2555"/>
        <w:gridCol w:w="60"/>
        <w:gridCol w:w="256"/>
        <w:gridCol w:w="1464"/>
        <w:gridCol w:w="173"/>
        <w:gridCol w:w="109"/>
        <w:gridCol w:w="256"/>
        <w:gridCol w:w="1464"/>
        <w:gridCol w:w="95"/>
        <w:gridCol w:w="60"/>
        <w:gridCol w:w="246"/>
        <w:gridCol w:w="1411"/>
        <w:gridCol w:w="167"/>
        <w:gridCol w:w="105"/>
        <w:gridCol w:w="246"/>
        <w:gridCol w:w="1411"/>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6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216"/>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Direct premium</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464" w:type="dxa"/>
            <w:tcBorders/>
            <w:vAlign w:val="center"/>
          </w:tcPr>
          <w:p>
            <w:pPr>
              <w:pStyle w:val="TableContents"/>
              <w:bidi w:val="0"/>
              <w:spacing w:before="0" w:after="283"/>
              <w:jc w:val="right"/>
              <w:rPr/>
            </w:pPr>
            <w:r>
              <w:rPr/>
              <w:t>104,540</w:t>
            </w:r>
          </w:p>
        </w:tc>
        <w:tc>
          <w:tcPr>
            <w:tcW w:w="17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464" w:type="dxa"/>
            <w:tcBorders/>
            <w:vAlign w:val="center"/>
          </w:tcPr>
          <w:p>
            <w:pPr>
              <w:pStyle w:val="TableContents"/>
              <w:bidi w:val="0"/>
              <w:spacing w:before="0" w:after="283"/>
              <w:jc w:val="right"/>
              <w:rPr/>
            </w:pPr>
            <w:r>
              <w:rPr/>
              <w:t>102,173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283"/>
              <w:jc w:val="right"/>
              <w:rPr/>
            </w:pPr>
            <w:r>
              <w:rPr/>
              <w:t>296,176</w:t>
            </w:r>
          </w:p>
        </w:tc>
        <w:tc>
          <w:tcPr>
            <w:tcW w:w="16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283"/>
              <w:jc w:val="right"/>
              <w:rPr/>
            </w:pPr>
            <w:r>
              <w:rPr/>
              <w:t>269,823</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Assumed premium</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2,045</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3,448</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6,012</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Ceded premium</w:t>
            </w:r>
          </w:p>
        </w:tc>
        <w:tc>
          <w:tcPr>
            <w:tcW w:w="60" w:type="dxa"/>
            <w:tcBorders/>
            <w:vAlign w:val="center"/>
          </w:tcPr>
          <w:p>
            <w:pPr>
              <w:pStyle w:val="TableContents"/>
              <w:bidi w:val="0"/>
              <w:spacing w:before="0" w:after="283"/>
              <w:jc w:val="left"/>
              <w:rPr/>
            </w:pPr>
            <w:r>
              <w:rPr/>
              <w:t> </w:t>
            </w:r>
          </w:p>
        </w:tc>
        <w:tc>
          <w:tcPr>
            <w:tcW w:w="256" w:type="dxa"/>
            <w:tcBorders>
              <w:bottom w:val="single" w:sz="8" w:space="0" w:color="000000"/>
            </w:tcBorders>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tcMar>
              <w:bottom w:w="28" w:type="dxa"/>
            </w:tcMar>
            <w:vAlign w:val="center"/>
          </w:tcPr>
          <w:p>
            <w:pPr>
              <w:pStyle w:val="TableContents"/>
              <w:bidi w:val="0"/>
              <w:spacing w:before="0" w:after="283"/>
              <w:jc w:val="right"/>
              <w:rPr/>
            </w:pPr>
            <w:r>
              <w:rPr/>
              <w:t>(15,815</w:t>
            </w:r>
          </w:p>
        </w:tc>
        <w:tc>
          <w:tcPr>
            <w:tcW w:w="1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 </w:t>
            </w:r>
          </w:p>
        </w:tc>
        <w:tc>
          <w:tcPr>
            <w:tcW w:w="256" w:type="dxa"/>
            <w:tcBorders>
              <w:bottom w:val="single" w:sz="8" w:space="0" w:color="000000"/>
            </w:tcBorders>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tcMar>
              <w:bottom w:w="28" w:type="dxa"/>
            </w:tcMar>
            <w:vAlign w:val="center"/>
          </w:tcPr>
          <w:p>
            <w:pPr>
              <w:pStyle w:val="TableContents"/>
              <w:bidi w:val="0"/>
              <w:spacing w:before="0" w:after="283"/>
              <w:jc w:val="right"/>
              <w:rPr/>
            </w:pPr>
            <w:r>
              <w:rPr/>
              <w:t>(15,101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tcMar>
              <w:bottom w:w="28" w:type="dxa"/>
            </w:tcMar>
            <w:vAlign w:val="center"/>
          </w:tcPr>
          <w:p>
            <w:pPr>
              <w:pStyle w:val="TableContents"/>
              <w:bidi w:val="0"/>
              <w:spacing w:before="0" w:after="283"/>
              <w:jc w:val="right"/>
              <w:rPr/>
            </w:pPr>
            <w:r>
              <w:rPr/>
              <w:t>(37,081</w:t>
            </w:r>
          </w:p>
        </w:tc>
        <w:tc>
          <w:tcPr>
            <w:tcW w:w="167" w:type="dxa"/>
            <w:tcBorders/>
            <w:vAlign w:val="center"/>
          </w:tcPr>
          <w:p>
            <w:pPr>
              <w:pStyle w:val="TableContents"/>
              <w:bidi w:val="0"/>
              <w:spacing w:before="0" w:after="283"/>
              <w:jc w:val="left"/>
              <w:rPr/>
            </w:pPr>
            <w:r>
              <w:rPr/>
              <w:t>)</w:t>
            </w:r>
          </w:p>
        </w:tc>
        <w:tc>
          <w:tcPr>
            <w:tcW w:w="105"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411" w:type="dxa"/>
            <w:tcBorders>
              <w:bottom w:val="single" w:sz="8" w:space="0" w:color="000000"/>
            </w:tcBorders>
            <w:tcMar>
              <w:bottom w:w="28" w:type="dxa"/>
            </w:tcMar>
            <w:vAlign w:val="center"/>
          </w:tcPr>
          <w:p>
            <w:pPr>
              <w:pStyle w:val="TableContents"/>
              <w:bidi w:val="0"/>
              <w:spacing w:before="0" w:after="283"/>
              <w:jc w:val="right"/>
              <w:rPr/>
            </w:pPr>
            <w:r>
              <w:rPr/>
              <w:t>(32,220</w:t>
            </w:r>
          </w:p>
        </w:tc>
        <w:tc>
          <w:tcPr>
            <w:tcW w:w="110" w:type="dxa"/>
            <w:tcBorders/>
            <w:vAlign w:val="center"/>
          </w:tcPr>
          <w:p>
            <w:pPr>
              <w:pStyle w:val="TableContents"/>
              <w:bidi w:val="0"/>
              <w:spacing w:before="0" w:after="283"/>
              <w:jc w:val="left"/>
              <w:rPr/>
            </w:pPr>
            <w:r>
              <w:rPr/>
              <w:t>)</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64" w:type="dxa"/>
            <w:tcBorders>
              <w:bottom w:val="double" w:sz="6" w:space="0" w:color="000000"/>
            </w:tcBorders>
            <w:shd w:fill="CCEEFF" w:val="clear"/>
            <w:tcMar>
              <w:bottom w:w="28" w:type="dxa"/>
            </w:tcMar>
            <w:vAlign w:val="center"/>
          </w:tcPr>
          <w:p>
            <w:pPr>
              <w:pStyle w:val="TableContents"/>
              <w:bidi w:val="0"/>
              <w:spacing w:before="0" w:after="283"/>
              <w:jc w:val="right"/>
              <w:rPr/>
            </w:pPr>
            <w:r>
              <w:rPr/>
              <w:t>90,770</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64" w:type="dxa"/>
            <w:tcBorders>
              <w:bottom w:val="double" w:sz="6" w:space="0" w:color="000000"/>
            </w:tcBorders>
            <w:shd w:fill="CCEEFF" w:val="clear"/>
            <w:tcMar>
              <w:bottom w:w="28" w:type="dxa"/>
            </w:tcMar>
            <w:vAlign w:val="center"/>
          </w:tcPr>
          <w:p>
            <w:pPr>
              <w:pStyle w:val="TableContents"/>
              <w:bidi w:val="0"/>
              <w:spacing w:before="0" w:after="283"/>
              <w:jc w:val="right"/>
              <w:rPr/>
            </w:pPr>
            <w:r>
              <w:rPr/>
              <w:t>89,532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283"/>
              <w:jc w:val="right"/>
              <w:rPr/>
            </w:pPr>
            <w:r>
              <w:rPr/>
              <w:t>262,543</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283"/>
              <w:jc w:val="right"/>
              <w:rPr/>
            </w:pPr>
            <w:r>
              <w:rPr/>
              <w:t>243,615</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 </w:t>
            </w:r>
          </w:p>
        </w:tc>
        <w:tc>
          <w:tcPr>
            <w:tcW w:w="16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premiums earned for the three months ended September 30, 2023, increased $1,238, or 1.4%, compared to the three months ended September 30, 2022. Net premiums earned for the nine months ended September 30, 2023, increased $18,928, or 7.8%, compared to the nine months ended September 30, 2022.</w:t>
      </w:r>
    </w:p>
    <w:tbl>
      <w:tblPr>
        <w:tblW w:w="10120" w:type="dxa"/>
        <w:jc w:val="left"/>
        <w:tblInd w:w="0" w:type="dxa"/>
        <w:tblLayout w:type="fixed"/>
        <w:tblCellMar>
          <w:top w:w="0" w:type="dxa"/>
          <w:left w:w="0" w:type="dxa"/>
          <w:bottom w:w="0" w:type="dxa"/>
          <w:right w:w="0" w:type="dxa"/>
        </w:tblCellMar>
      </w:tblPr>
      <w:tblGrid>
        <w:gridCol w:w="2555"/>
        <w:gridCol w:w="60"/>
        <w:gridCol w:w="296"/>
        <w:gridCol w:w="1439"/>
        <w:gridCol w:w="126"/>
        <w:gridCol w:w="126"/>
        <w:gridCol w:w="296"/>
        <w:gridCol w:w="1439"/>
        <w:gridCol w:w="60"/>
        <w:gridCol w:w="60"/>
        <w:gridCol w:w="251"/>
        <w:gridCol w:w="1436"/>
        <w:gridCol w:w="107"/>
        <w:gridCol w:w="107"/>
        <w:gridCol w:w="251"/>
        <w:gridCol w:w="1436"/>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216"/>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Private passenger auto</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w:t>
            </w:r>
          </w:p>
        </w:tc>
        <w:tc>
          <w:tcPr>
            <w:tcW w:w="1439" w:type="dxa"/>
            <w:tcBorders/>
            <w:vAlign w:val="center"/>
          </w:tcPr>
          <w:p>
            <w:pPr>
              <w:pStyle w:val="TableContents"/>
              <w:bidi w:val="0"/>
              <w:spacing w:before="0" w:after="283"/>
              <w:jc w:val="right"/>
              <w:rPr/>
            </w:pPr>
            <w:r>
              <w:rPr/>
              <w:t>21,235</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w:t>
            </w:r>
          </w:p>
        </w:tc>
        <w:tc>
          <w:tcPr>
            <w:tcW w:w="1439" w:type="dxa"/>
            <w:tcBorders/>
            <w:vAlign w:val="center"/>
          </w:tcPr>
          <w:p>
            <w:pPr>
              <w:pStyle w:val="TableContents"/>
              <w:bidi w:val="0"/>
              <w:spacing w:before="0" w:after="283"/>
              <w:jc w:val="right"/>
              <w:rPr/>
            </w:pPr>
            <w:r>
              <w:rPr/>
              <w:t>19,813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436" w:type="dxa"/>
            <w:tcBorders/>
            <w:vAlign w:val="center"/>
          </w:tcPr>
          <w:p>
            <w:pPr>
              <w:pStyle w:val="TableContents"/>
              <w:bidi w:val="0"/>
              <w:spacing w:before="0" w:after="283"/>
              <w:jc w:val="right"/>
              <w:rPr/>
            </w:pPr>
            <w:r>
              <w:rPr/>
              <w:t>61,431</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436" w:type="dxa"/>
            <w:tcBorders/>
            <w:vAlign w:val="center"/>
          </w:tcPr>
          <w:p>
            <w:pPr>
              <w:pStyle w:val="TableContents"/>
              <w:bidi w:val="0"/>
              <w:spacing w:before="0" w:after="283"/>
              <w:jc w:val="right"/>
              <w:rPr/>
            </w:pPr>
            <w:r>
              <w:rPr/>
              <w:t>57,818</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21,231</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17,579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63,754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47,469</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Home and farm</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21,309</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19,751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61,714</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58,919</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9,746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14,566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22,358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26,848</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Commercial</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15,751</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15,884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48,410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45,103</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All other</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pPr>
            <w:r>
              <w:rPr/>
              <w:t>1,498</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8" w:space="0" w:color="000000"/>
            </w:tcBorders>
            <w:shd w:fill="CCEEFF" w:val="clear"/>
            <w:tcMar>
              <w:bottom w:w="28" w:type="dxa"/>
            </w:tcMar>
            <w:vAlign w:val="center"/>
          </w:tcPr>
          <w:p>
            <w:pPr>
              <w:pStyle w:val="TableContents"/>
              <w:bidi w:val="0"/>
              <w:spacing w:before="0" w:after="283"/>
              <w:jc w:val="right"/>
              <w:rPr/>
            </w:pPr>
            <w:r>
              <w:rPr/>
              <w:t>1,939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4,876</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7,458</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Total net premiums earned</w:t>
            </w:r>
          </w:p>
        </w:tc>
        <w:tc>
          <w:tcPr>
            <w:tcW w:w="60" w:type="dxa"/>
            <w:tcBorders/>
            <w:vAlign w:val="center"/>
          </w:tcPr>
          <w:p>
            <w:pPr>
              <w:pStyle w:val="TableContents"/>
              <w:bidi w:val="0"/>
              <w:spacing w:before="0" w:after="283"/>
              <w:jc w:val="left"/>
              <w:rPr/>
            </w:pPr>
            <w:r>
              <w:rPr/>
              <w:t> </w:t>
            </w:r>
          </w:p>
        </w:tc>
        <w:tc>
          <w:tcPr>
            <w:tcW w:w="296" w:type="dxa"/>
            <w:tcBorders>
              <w:bottom w:val="double" w:sz="6" w:space="0" w:color="000000"/>
            </w:tcBorders>
            <w:tcMar>
              <w:bottom w:w="28" w:type="dxa"/>
            </w:tcMar>
            <w:vAlign w:val="center"/>
          </w:tcPr>
          <w:p>
            <w:pPr>
              <w:pStyle w:val="TableContents"/>
              <w:bidi w:val="0"/>
              <w:spacing w:before="0" w:after="283"/>
              <w:jc w:val="left"/>
              <w:rPr/>
            </w:pPr>
            <w:r>
              <w:rPr/>
              <w:t>$</w:t>
            </w:r>
          </w:p>
        </w:tc>
        <w:tc>
          <w:tcPr>
            <w:tcW w:w="1439" w:type="dxa"/>
            <w:tcBorders>
              <w:bottom w:val="double" w:sz="6" w:space="0" w:color="000000"/>
            </w:tcBorders>
            <w:tcMar>
              <w:bottom w:w="28" w:type="dxa"/>
            </w:tcMar>
            <w:vAlign w:val="center"/>
          </w:tcPr>
          <w:p>
            <w:pPr>
              <w:pStyle w:val="TableContents"/>
              <w:bidi w:val="0"/>
              <w:spacing w:before="0" w:after="283"/>
              <w:jc w:val="right"/>
              <w:rPr/>
            </w:pPr>
            <w:r>
              <w:rPr/>
              <w:t>90,770</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6" w:type="dxa"/>
            <w:tcBorders>
              <w:bottom w:val="double" w:sz="6" w:space="0" w:color="000000"/>
            </w:tcBorders>
            <w:tcMar>
              <w:bottom w:w="28" w:type="dxa"/>
            </w:tcMar>
            <w:vAlign w:val="center"/>
          </w:tcPr>
          <w:p>
            <w:pPr>
              <w:pStyle w:val="TableContents"/>
              <w:bidi w:val="0"/>
              <w:spacing w:before="0" w:after="283"/>
              <w:jc w:val="left"/>
              <w:rPr/>
            </w:pPr>
            <w:r>
              <w:rPr/>
              <w:t>$</w:t>
            </w:r>
          </w:p>
        </w:tc>
        <w:tc>
          <w:tcPr>
            <w:tcW w:w="1439" w:type="dxa"/>
            <w:tcBorders>
              <w:bottom w:val="double" w:sz="6" w:space="0" w:color="000000"/>
            </w:tcBorders>
            <w:tcMar>
              <w:bottom w:w="28" w:type="dxa"/>
            </w:tcMar>
            <w:vAlign w:val="center"/>
          </w:tcPr>
          <w:p>
            <w:pPr>
              <w:pStyle w:val="TableContents"/>
              <w:bidi w:val="0"/>
              <w:spacing w:before="0" w:after="283"/>
              <w:jc w:val="right"/>
              <w:rPr/>
            </w:pPr>
            <w:r>
              <w:rPr/>
              <w:t>89,532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bottom w:val="double" w:sz="6" w:space="0" w:color="000000"/>
            </w:tcBorders>
            <w:tcMar>
              <w:bottom w:w="28" w:type="dxa"/>
            </w:tcMar>
            <w:vAlign w:val="center"/>
          </w:tcPr>
          <w:p>
            <w:pPr>
              <w:pStyle w:val="TableContents"/>
              <w:bidi w:val="0"/>
              <w:spacing w:before="0" w:after="283"/>
              <w:jc w:val="left"/>
              <w:rPr/>
            </w:pPr>
            <w:r>
              <w:rPr/>
              <w:t>$</w:t>
            </w:r>
          </w:p>
        </w:tc>
        <w:tc>
          <w:tcPr>
            <w:tcW w:w="1436" w:type="dxa"/>
            <w:tcBorders>
              <w:bottom w:val="double" w:sz="6" w:space="0" w:color="000000"/>
            </w:tcBorders>
            <w:tcMar>
              <w:bottom w:w="28" w:type="dxa"/>
            </w:tcMar>
            <w:vAlign w:val="center"/>
          </w:tcPr>
          <w:p>
            <w:pPr>
              <w:pStyle w:val="TableContents"/>
              <w:bidi w:val="0"/>
              <w:spacing w:before="0" w:after="283"/>
              <w:jc w:val="right"/>
              <w:rPr/>
            </w:pPr>
            <w:r>
              <w:rPr/>
              <w:t>262,543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1" w:type="dxa"/>
            <w:tcBorders>
              <w:bottom w:val="double" w:sz="6" w:space="0" w:color="000000"/>
            </w:tcBorders>
            <w:tcMar>
              <w:bottom w:w="28" w:type="dxa"/>
            </w:tcMar>
            <w:vAlign w:val="center"/>
          </w:tcPr>
          <w:p>
            <w:pPr>
              <w:pStyle w:val="TableContents"/>
              <w:bidi w:val="0"/>
              <w:spacing w:before="0" w:after="283"/>
              <w:jc w:val="left"/>
              <w:rPr/>
            </w:pPr>
            <w:r>
              <w:rPr/>
              <w:t>$</w:t>
            </w:r>
          </w:p>
        </w:tc>
        <w:tc>
          <w:tcPr>
            <w:tcW w:w="1436" w:type="dxa"/>
            <w:tcBorders>
              <w:bottom w:val="double" w:sz="6" w:space="0" w:color="000000"/>
            </w:tcBorders>
            <w:tcMar>
              <w:bottom w:w="28" w:type="dxa"/>
            </w:tcMar>
            <w:vAlign w:val="center"/>
          </w:tcPr>
          <w:p>
            <w:pPr>
              <w:pStyle w:val="TableContents"/>
              <w:bidi w:val="0"/>
              <w:spacing w:before="0" w:after="283"/>
              <w:jc w:val="right"/>
              <w:rPr/>
            </w:pPr>
            <w:r>
              <w:rPr/>
              <w:t>243,615</w:t>
            </w:r>
          </w:p>
        </w:tc>
        <w:tc>
          <w:tcPr>
            <w:tcW w:w="75" w:type="dxa"/>
            <w:tcBorders/>
            <w:vAlign w:val="center"/>
          </w:tcPr>
          <w:p>
            <w:pPr>
              <w:pStyle w:val="TableContents"/>
              <w:bidi w:val="0"/>
              <w:spacing w:before="0" w:after="283"/>
              <w:jc w:val="left"/>
              <w:rPr/>
            </w:pPr>
            <w:r>
              <w:rPr/>
              <w:t> </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net premiums earned by business segment: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Net premiums earned for the third quarter of 2023 increased $1,422, or 7.2%, from the third quarter of 2022. Net premiums earned for the first nine months of 2023 increased $3,613, or 6.2% from the first nine months of 2022. Results were driven by significant rate increases in North Dakota, South Dakota, and Nebraska, partially offset by lower new business production as a result of underwriting actions taken to improve profitability.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Net premiums earned for the third quarter of 2023 increased $3,652, or 20.8%, from the third quarter of 2022. Net premiums earned for the first nine months of 2023 increased $16,285, or 34.3% from the first nine months of 2022. Results were driven by new business growth, improved retention, and significant rate increases in the Chicago market where our non-standard auto business is concentrated.</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Net premiums earned for the third quarter of 2023 increased $1,558, or 7.9%, from the third quarter of 2022. Net premiums earned for the first nine months of 2023 increased $2,795, or 4.7% from the first nine months of 2022. Results were driven by rate increases along with increased insured property values, which were primarily the result of higher inflationary factors. These premium increases were partially offset by lower levels of new business production as a result of underwriting actions taken to improve profitability.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Crop </w:t>
      </w:r>
      <w:r>
        <w:rPr>
          <w:rFonts w:ascii="Times New Roman;Times;Serif" w:hAnsi="Times New Roman;Times;Serif"/>
          <w:b w:val="false"/>
          <w:i w:val="false"/>
          <w:caps w:val="false"/>
          <w:smallCaps w:val="false"/>
          <w:sz w:val="20"/>
        </w:rPr>
        <w:t>– Net premiums earned for the third quarter of 2023 decreased $4,820, or 33.1%, from the third quarter of 2022. Net premiums earned for the first nine months of 2023 decreased $4,490, or 16.7% from the first nine months of 2022. These decreases were driven by lower commodity prices and lower muti-peril crop insurance rates, combined with fewer acres insured in the current year.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Commercial</w:t>
      </w:r>
      <w:r>
        <w:rPr>
          <w:rFonts w:ascii="Times New Roman;Times;Serif" w:hAnsi="Times New Roman;Times;Serif"/>
          <w:b w:val="false"/>
          <w:i w:val="false"/>
          <w:caps w:val="false"/>
          <w:smallCaps w:val="false"/>
          <w:sz w:val="20"/>
        </w:rPr>
        <w:t xml:space="preserve"> – Net premiums earned for the third quarter of 2023 decreased $133, or 0.8%, from the third quarter of 2022. Net premiums earned for the first nine months of 2023 increased $3,307, or 7.3% from the first nine months of 2022. The current quarter decrease was driven by higher levels of ceded premium. The year-to-date increase was driven by prior period new business growth, increased insured values which were primarily the result of higher inflationary factors, and continued increases in rate, partially offset by higher levels of ceded premium and the impact of underwriting actions taken to improve profitability.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Net premiums earned for the third quarter of 2023 decreased $441, or 22.7%, from the third quarter of 2022. Net premiums earned for the first nine months of 2023 decreased $2,582, or 34.6%, from the first nine months of 2022. These decreases were driven by the decision to non-renew our participation in an assumed domestic and international reinsurance pool of business as of January 1, 2022.</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tbl>
      <w:tblPr>
        <w:tblW w:w="10205" w:type="dxa"/>
        <w:jc w:val="left"/>
        <w:tblInd w:w="0" w:type="dxa"/>
        <w:tblLayout w:type="fixed"/>
        <w:tblCellMar>
          <w:top w:w="0" w:type="dxa"/>
          <w:left w:w="0" w:type="dxa"/>
          <w:bottom w:w="0" w:type="dxa"/>
          <w:right w:w="0" w:type="dxa"/>
        </w:tblCellMar>
      </w:tblPr>
      <w:tblGrid>
        <w:gridCol w:w="3477"/>
        <w:gridCol w:w="60"/>
        <w:gridCol w:w="241"/>
        <w:gridCol w:w="1174"/>
        <w:gridCol w:w="164"/>
        <w:gridCol w:w="103"/>
        <w:gridCol w:w="241"/>
        <w:gridCol w:w="1304"/>
        <w:gridCol w:w="95"/>
        <w:gridCol w:w="60"/>
        <w:gridCol w:w="217"/>
        <w:gridCol w:w="1248"/>
        <w:gridCol w:w="147"/>
        <w:gridCol w:w="93"/>
        <w:gridCol w:w="217"/>
        <w:gridCol w:w="1248"/>
        <w:gridCol w:w="116"/>
      </w:tblGrid>
      <w:tr>
        <w:trPr/>
        <w:tc>
          <w:tcPr>
            <w:tcW w:w="3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6" w:type="dxa"/>
            <w:tcBorders/>
            <w:vAlign w:val="center"/>
          </w:tcPr>
          <w:p>
            <w:pPr>
              <w:pStyle w:val="TableContents"/>
              <w:bidi w:val="0"/>
              <w:spacing w:before="0" w:after="283"/>
              <w:jc w:val="left"/>
              <w:rPr/>
            </w:pPr>
            <w:r>
              <w:rPr/>
              <w:t> </w:t>
            </w:r>
          </w:p>
        </w:tc>
      </w:tr>
      <w:tr>
        <w:trPr/>
        <w:tc>
          <w:tcPr>
            <w:tcW w:w="3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ind w:left="0" w:right="0" w:hanging="216"/>
              <w:jc w:val="left"/>
              <w:rPr/>
            </w:pPr>
            <w:r>
              <w:rPr/>
              <w:t> </w:t>
            </w:r>
          </w:p>
        </w:tc>
      </w:tr>
      <w:tr>
        <w:trPr/>
        <w:tc>
          <w:tcPr>
            <w:tcW w:w="3477"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477" w:type="dxa"/>
            <w:tcBorders/>
            <w:vAlign w:val="center"/>
          </w:tcPr>
          <w:p>
            <w:pPr>
              <w:pStyle w:val="TableContents"/>
              <w:bidi w:val="0"/>
              <w:spacing w:before="0" w:after="283"/>
              <w:jc w:val="left"/>
              <w:rPr/>
            </w:pPr>
            <w:r>
              <w:rPr/>
              <w:t>Direct losses and loss adjustment expenses</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71,107</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94,446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237,117</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250,611</w:t>
            </w:r>
          </w:p>
        </w:tc>
        <w:tc>
          <w:tcPr>
            <w:tcW w:w="116" w:type="dxa"/>
            <w:tcBorders/>
            <w:vAlign w:val="center"/>
          </w:tcPr>
          <w:p>
            <w:pPr>
              <w:pStyle w:val="TableContents"/>
              <w:bidi w:val="0"/>
              <w:spacing w:before="0" w:after="283"/>
              <w:jc w:val="left"/>
              <w:rPr/>
            </w:pPr>
            <w:r>
              <w:rPr/>
              <w:t> </w:t>
            </w:r>
          </w:p>
        </w:tc>
      </w:tr>
      <w:tr>
        <w:trPr/>
        <w:tc>
          <w:tcPr>
            <w:tcW w:w="3477"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725</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882</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2,413</w:t>
            </w:r>
          </w:p>
        </w:tc>
        <w:tc>
          <w:tcPr>
            <w:tcW w:w="116" w:type="dxa"/>
            <w:tcBorders/>
            <w:shd w:fill="CCEEFF" w:val="clear"/>
            <w:vAlign w:val="center"/>
          </w:tcPr>
          <w:p>
            <w:pPr>
              <w:pStyle w:val="TableContents"/>
              <w:bidi w:val="0"/>
              <w:spacing w:before="0" w:after="283"/>
              <w:jc w:val="left"/>
              <w:rPr/>
            </w:pPr>
            <w:r>
              <w:rPr/>
              <w:t> </w:t>
            </w:r>
          </w:p>
        </w:tc>
      </w:tr>
      <w:tr>
        <w:trPr/>
        <w:tc>
          <w:tcPr>
            <w:tcW w:w="3477" w:type="dxa"/>
            <w:tcBorders/>
            <w:vAlign w:val="center"/>
          </w:tcPr>
          <w:p>
            <w:pPr>
              <w:pStyle w:val="TableContents"/>
              <w:bidi w:val="0"/>
              <w:spacing w:before="0" w:after="283"/>
              <w:jc w:val="left"/>
              <w:rPr/>
            </w:pPr>
            <w:r>
              <w:rPr/>
              <w:t>Ceded losses and loss adjustment expenses</w:t>
            </w:r>
          </w:p>
        </w:tc>
        <w:tc>
          <w:tcPr>
            <w:tcW w:w="60" w:type="dxa"/>
            <w:tcBorders/>
            <w:vAlign w:val="center"/>
          </w:tcPr>
          <w:p>
            <w:pPr>
              <w:pStyle w:val="TableContents"/>
              <w:bidi w:val="0"/>
              <w:spacing w:before="0" w:after="283"/>
              <w:jc w:val="left"/>
              <w:rPr/>
            </w:pPr>
            <w:r>
              <w:rPr/>
              <w:t> </w:t>
            </w:r>
          </w:p>
        </w:tc>
        <w:tc>
          <w:tcPr>
            <w:tcW w:w="241" w:type="dxa"/>
            <w:tcBorders>
              <w:bottom w:val="single" w:sz="8" w:space="0" w:color="000000"/>
            </w:tcBorders>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tcMar>
              <w:bottom w:w="28" w:type="dxa"/>
            </w:tcMar>
            <w:vAlign w:val="center"/>
          </w:tcPr>
          <w:p>
            <w:pPr>
              <w:pStyle w:val="TableContents"/>
              <w:bidi w:val="0"/>
              <w:spacing w:before="0" w:after="283"/>
              <w:jc w:val="right"/>
              <w:rPr/>
            </w:pPr>
            <w:r>
              <w:rPr/>
              <w:t>(8,268</w:t>
            </w:r>
          </w:p>
        </w:tc>
        <w:tc>
          <w:tcPr>
            <w:tcW w:w="164"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24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tcMar>
              <w:bottom w:w="28" w:type="dxa"/>
            </w:tcMar>
            <w:vAlign w:val="center"/>
          </w:tcPr>
          <w:p>
            <w:pPr>
              <w:pStyle w:val="TableContents"/>
              <w:bidi w:val="0"/>
              <w:spacing w:before="0" w:after="283"/>
              <w:jc w:val="right"/>
              <w:rPr/>
            </w:pPr>
            <w:r>
              <w:rPr/>
              <w:t>(16,397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tcMar>
              <w:bottom w:w="28" w:type="dxa"/>
            </w:tcMar>
            <w:vAlign w:val="center"/>
          </w:tcPr>
          <w:p>
            <w:pPr>
              <w:pStyle w:val="TableContents"/>
              <w:bidi w:val="0"/>
              <w:spacing w:before="0" w:after="283"/>
              <w:jc w:val="right"/>
              <w:rPr/>
            </w:pPr>
            <w:r>
              <w:rPr/>
              <w:t>(38,104</w:t>
            </w:r>
          </w:p>
        </w:tc>
        <w:tc>
          <w:tcPr>
            <w:tcW w:w="147"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tcMar>
              <w:bottom w:w="28" w:type="dxa"/>
            </w:tcMar>
            <w:vAlign w:val="center"/>
          </w:tcPr>
          <w:p>
            <w:pPr>
              <w:pStyle w:val="TableContents"/>
              <w:bidi w:val="0"/>
              <w:spacing w:before="0" w:after="283"/>
              <w:jc w:val="right"/>
              <w:rPr/>
            </w:pPr>
            <w:r>
              <w:rPr/>
              <w:t>(25,383</w:t>
            </w:r>
          </w:p>
        </w:tc>
        <w:tc>
          <w:tcPr>
            <w:tcW w:w="116" w:type="dxa"/>
            <w:tcBorders/>
            <w:vAlign w:val="center"/>
          </w:tcPr>
          <w:p>
            <w:pPr>
              <w:pStyle w:val="TableContents"/>
              <w:bidi w:val="0"/>
              <w:spacing w:before="0" w:after="283"/>
              <w:jc w:val="left"/>
              <w:rPr/>
            </w:pPr>
            <w:r>
              <w:rPr/>
              <w:t>)</w:t>
            </w:r>
          </w:p>
        </w:tc>
      </w:tr>
      <w:tr>
        <w:trPr/>
        <w:tc>
          <w:tcPr>
            <w:tcW w:w="3477"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63,564</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78,917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shd w:fill="CCEEFF" w:val="clear"/>
            <w:tcMar>
              <w:bottom w:w="28" w:type="dxa"/>
            </w:tcMar>
            <w:vAlign w:val="center"/>
          </w:tcPr>
          <w:p>
            <w:pPr>
              <w:pStyle w:val="TableContents"/>
              <w:bidi w:val="0"/>
              <w:spacing w:before="0" w:after="283"/>
              <w:jc w:val="right"/>
              <w:rPr/>
            </w:pPr>
            <w:r>
              <w:rPr/>
              <w:t>199,895</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shd w:fill="CCEEFF" w:val="clear"/>
            <w:tcMar>
              <w:bottom w:w="28" w:type="dxa"/>
            </w:tcMar>
            <w:vAlign w:val="center"/>
          </w:tcPr>
          <w:p>
            <w:pPr>
              <w:pStyle w:val="TableContents"/>
              <w:bidi w:val="0"/>
              <w:spacing w:before="0" w:after="283"/>
              <w:jc w:val="right"/>
              <w:rPr/>
            </w:pPr>
            <w:r>
              <w:rPr/>
              <w:t>227,641</w:t>
            </w:r>
          </w:p>
        </w:tc>
        <w:tc>
          <w:tcPr>
            <w:tcW w:w="116"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losses and loss adjustment expenses for the three months ended September 30, 2023, decreased $15,353, or 19.5%, compared to the three months ended September 30, 2022. Our net losses and loss adjustment expenses for the nine months ended September 30, 2023, decreased $27,746, or 12.2%, compared to the nine months ended September 30, 2022.</w:t>
      </w:r>
    </w:p>
    <w:tbl>
      <w:tblPr>
        <w:tblW w:w="10205" w:type="dxa"/>
        <w:jc w:val="left"/>
        <w:tblInd w:w="0" w:type="dxa"/>
        <w:tblLayout w:type="fixed"/>
        <w:tblCellMar>
          <w:top w:w="0" w:type="dxa"/>
          <w:left w:w="0" w:type="dxa"/>
          <w:bottom w:w="0" w:type="dxa"/>
          <w:right w:w="0" w:type="dxa"/>
        </w:tblCellMar>
      </w:tblPr>
      <w:tblGrid>
        <w:gridCol w:w="3547"/>
        <w:gridCol w:w="60"/>
        <w:gridCol w:w="256"/>
        <w:gridCol w:w="1245"/>
        <w:gridCol w:w="109"/>
        <w:gridCol w:w="109"/>
        <w:gridCol w:w="256"/>
        <w:gridCol w:w="1245"/>
        <w:gridCol w:w="60"/>
        <w:gridCol w:w="60"/>
        <w:gridCol w:w="222"/>
        <w:gridCol w:w="1273"/>
        <w:gridCol w:w="94"/>
        <w:gridCol w:w="94"/>
        <w:gridCol w:w="222"/>
        <w:gridCol w:w="1273"/>
        <w:gridCol w:w="80"/>
      </w:tblGrid>
      <w:tr>
        <w:trPr/>
        <w:tc>
          <w:tcPr>
            <w:tcW w:w="3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80" w:type="dxa"/>
            <w:tcBorders/>
            <w:vAlign w:val="center"/>
          </w:tcPr>
          <w:p>
            <w:pPr>
              <w:pStyle w:val="TableContents"/>
              <w:bidi w:val="0"/>
              <w:spacing w:before="0" w:after="283"/>
              <w:jc w:val="left"/>
              <w:rPr/>
            </w:pPr>
            <w:r>
              <w:rPr/>
              <w:t> </w:t>
            </w:r>
          </w:p>
        </w:tc>
      </w:tr>
      <w:tr>
        <w:trPr/>
        <w:tc>
          <w:tcPr>
            <w:tcW w:w="3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0" w:type="dxa"/>
            <w:tcBorders/>
            <w:vAlign w:val="center"/>
          </w:tcPr>
          <w:p>
            <w:pPr>
              <w:pStyle w:val="TableContents"/>
              <w:bidi w:val="0"/>
              <w:spacing w:before="0" w:after="283"/>
              <w:ind w:left="0" w:right="0" w:hanging="216"/>
              <w:jc w:val="left"/>
              <w:rPr/>
            </w:pPr>
            <w:r>
              <w:rPr/>
              <w:t> </w:t>
            </w:r>
          </w:p>
        </w:tc>
      </w:tr>
      <w:tr>
        <w:trPr/>
        <w:tc>
          <w:tcPr>
            <w:tcW w:w="3547"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47" w:type="dxa"/>
            <w:tcBorders/>
            <w:vAlign w:val="center"/>
          </w:tcPr>
          <w:p>
            <w:pPr>
              <w:pStyle w:val="TableContents"/>
              <w:bidi w:val="0"/>
              <w:spacing w:before="0" w:after="283"/>
              <w:jc w:val="left"/>
              <w:rPr/>
            </w:pPr>
            <w:r>
              <w:rPr/>
              <w:t>Private passenger auto</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16,603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20,354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right"/>
              <w:rPr/>
            </w:pPr>
            <w:r>
              <w:rPr/>
              <w:t>51,094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right"/>
              <w:rPr/>
            </w:pPr>
            <w:r>
              <w:rPr/>
              <w:t>51,918</w:t>
            </w:r>
          </w:p>
        </w:tc>
        <w:tc>
          <w:tcPr>
            <w:tcW w:w="80" w:type="dxa"/>
            <w:tcBorders/>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18,838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11,958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50,015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24,582</w:t>
            </w:r>
          </w:p>
        </w:tc>
        <w:tc>
          <w:tcPr>
            <w:tcW w:w="80" w:type="dxa"/>
            <w:tcBorders/>
            <w:shd w:fill="CCEEFF" w:val="clear"/>
            <w:vAlign w:val="center"/>
          </w:tcPr>
          <w:p>
            <w:pPr>
              <w:pStyle w:val="TableContents"/>
              <w:bidi w:val="0"/>
              <w:spacing w:before="0" w:after="283"/>
              <w:jc w:val="left"/>
              <w:rPr/>
            </w:pPr>
            <w:r>
              <w:rPr/>
              <w:t> </w:t>
            </w:r>
          </w:p>
        </w:tc>
      </w:tr>
      <w:tr>
        <w:trPr/>
        <w:tc>
          <w:tcPr>
            <w:tcW w:w="3547" w:type="dxa"/>
            <w:tcBorders/>
            <w:vAlign w:val="center"/>
          </w:tcPr>
          <w:p>
            <w:pPr>
              <w:pStyle w:val="TableContents"/>
              <w:bidi w:val="0"/>
              <w:spacing w:before="0" w:after="283"/>
              <w:jc w:val="left"/>
              <w:rPr/>
            </w:pPr>
            <w:r>
              <w:rPr/>
              <w:t>Home and farm</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14,052</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28,822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40,686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97,492</w:t>
            </w:r>
          </w:p>
        </w:tc>
        <w:tc>
          <w:tcPr>
            <w:tcW w:w="80" w:type="dxa"/>
            <w:tcBorders/>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3,690</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6,974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11,127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17,135</w:t>
            </w:r>
          </w:p>
        </w:tc>
        <w:tc>
          <w:tcPr>
            <w:tcW w:w="80" w:type="dxa"/>
            <w:tcBorders/>
            <w:shd w:fill="CCEEFF" w:val="clear"/>
            <w:vAlign w:val="center"/>
          </w:tcPr>
          <w:p>
            <w:pPr>
              <w:pStyle w:val="TableContents"/>
              <w:bidi w:val="0"/>
              <w:spacing w:before="0" w:after="283"/>
              <w:jc w:val="left"/>
              <w:rPr/>
            </w:pPr>
            <w:r>
              <w:rPr/>
              <w:t> </w:t>
            </w:r>
          </w:p>
        </w:tc>
      </w:tr>
      <w:tr>
        <w:trPr/>
        <w:tc>
          <w:tcPr>
            <w:tcW w:w="3547" w:type="dxa"/>
            <w:tcBorders/>
            <w:vAlign w:val="center"/>
          </w:tcPr>
          <w:p>
            <w:pPr>
              <w:pStyle w:val="TableContents"/>
              <w:bidi w:val="0"/>
              <w:spacing w:before="0" w:after="283"/>
              <w:jc w:val="left"/>
              <w:rPr/>
            </w:pPr>
            <w:r>
              <w:rPr/>
              <w:t>Commercial</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10,272</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9,812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46,515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32,821</w:t>
            </w:r>
          </w:p>
        </w:tc>
        <w:tc>
          <w:tcPr>
            <w:tcW w:w="80" w:type="dxa"/>
            <w:tcBorders/>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pPr>
            <w:r>
              <w:rPr/>
              <w:t>All other</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8" w:space="0" w:color="000000"/>
            </w:tcBorders>
            <w:shd w:fill="CCEEFF" w:val="clear"/>
            <w:tcMar>
              <w:bottom w:w="28" w:type="dxa"/>
            </w:tcMar>
            <w:vAlign w:val="center"/>
          </w:tcPr>
          <w:p>
            <w:pPr>
              <w:pStyle w:val="TableContents"/>
              <w:bidi w:val="0"/>
              <w:spacing w:before="0" w:after="283"/>
              <w:jc w:val="right"/>
              <w:rPr/>
            </w:pPr>
            <w:r>
              <w:rPr/>
              <w:t>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458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3,693</w:t>
            </w:r>
          </w:p>
        </w:tc>
        <w:tc>
          <w:tcPr>
            <w:tcW w:w="80" w:type="dxa"/>
            <w:tcBorders/>
            <w:shd w:fill="CCEEFF" w:val="clear"/>
            <w:vAlign w:val="center"/>
          </w:tcPr>
          <w:p>
            <w:pPr>
              <w:pStyle w:val="TableContents"/>
              <w:bidi w:val="0"/>
              <w:spacing w:before="0" w:after="283"/>
              <w:jc w:val="left"/>
              <w:rPr/>
            </w:pPr>
            <w:r>
              <w:rPr/>
              <w:t> </w:t>
            </w:r>
          </w:p>
        </w:tc>
      </w:tr>
      <w:tr>
        <w:trPr/>
        <w:tc>
          <w:tcPr>
            <w:tcW w:w="3547" w:type="dxa"/>
            <w:tcBorders/>
            <w:vAlign w:val="center"/>
          </w:tcPr>
          <w:p>
            <w:pPr>
              <w:pStyle w:val="TableContents"/>
              <w:bidi w:val="0"/>
              <w:spacing w:before="0" w:after="283"/>
              <w:jc w:val="left"/>
              <w:rPr/>
            </w:pPr>
            <w:r>
              <w:rPr/>
              <w:t>Total net losses and loss adjustment expenses</w:t>
            </w:r>
          </w:p>
        </w:tc>
        <w:tc>
          <w:tcPr>
            <w:tcW w:w="60" w:type="dxa"/>
            <w:tcBorders/>
            <w:vAlign w:val="center"/>
          </w:tcPr>
          <w:p>
            <w:pPr>
              <w:pStyle w:val="TableContents"/>
              <w:bidi w:val="0"/>
              <w:spacing w:before="0" w:after="283"/>
              <w:jc w:val="left"/>
              <w:rPr/>
            </w:pPr>
            <w:r>
              <w:rPr/>
              <w:t> </w:t>
            </w:r>
          </w:p>
        </w:tc>
        <w:tc>
          <w:tcPr>
            <w:tcW w:w="256" w:type="dxa"/>
            <w:tcBorders>
              <w:bottom w:val="double" w:sz="6" w:space="0" w:color="000000"/>
            </w:tcBorders>
            <w:tcMar>
              <w:bottom w:w="28" w:type="dxa"/>
            </w:tcMar>
            <w:vAlign w:val="center"/>
          </w:tcPr>
          <w:p>
            <w:pPr>
              <w:pStyle w:val="TableContents"/>
              <w:bidi w:val="0"/>
              <w:spacing w:before="0" w:after="283"/>
              <w:jc w:val="left"/>
              <w:rPr/>
            </w:pPr>
            <w:r>
              <w:rPr/>
              <w:t>$</w:t>
            </w:r>
          </w:p>
        </w:tc>
        <w:tc>
          <w:tcPr>
            <w:tcW w:w="1245" w:type="dxa"/>
            <w:tcBorders>
              <w:bottom w:val="double" w:sz="6" w:space="0" w:color="000000"/>
            </w:tcBorders>
            <w:tcMar>
              <w:bottom w:w="28" w:type="dxa"/>
            </w:tcMar>
            <w:vAlign w:val="center"/>
          </w:tcPr>
          <w:p>
            <w:pPr>
              <w:pStyle w:val="TableContents"/>
              <w:bidi w:val="0"/>
              <w:spacing w:before="0" w:after="283"/>
              <w:jc w:val="right"/>
              <w:rPr/>
            </w:pPr>
            <w:r>
              <w:rPr/>
              <w:t>63,564</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6" w:type="dxa"/>
            <w:tcBorders>
              <w:bottom w:val="double" w:sz="6" w:space="0" w:color="000000"/>
            </w:tcBorders>
            <w:tcMar>
              <w:bottom w:w="28" w:type="dxa"/>
            </w:tcMar>
            <w:vAlign w:val="center"/>
          </w:tcPr>
          <w:p>
            <w:pPr>
              <w:pStyle w:val="TableContents"/>
              <w:bidi w:val="0"/>
              <w:spacing w:before="0" w:after="283"/>
              <w:jc w:val="left"/>
              <w:rPr/>
            </w:pPr>
            <w:r>
              <w:rPr/>
              <w:t>$</w:t>
            </w:r>
          </w:p>
        </w:tc>
        <w:tc>
          <w:tcPr>
            <w:tcW w:w="1245" w:type="dxa"/>
            <w:tcBorders>
              <w:bottom w:val="double" w:sz="6" w:space="0" w:color="000000"/>
            </w:tcBorders>
            <w:tcMar>
              <w:bottom w:w="28" w:type="dxa"/>
            </w:tcMar>
            <w:vAlign w:val="center"/>
          </w:tcPr>
          <w:p>
            <w:pPr>
              <w:pStyle w:val="TableContents"/>
              <w:bidi w:val="0"/>
              <w:spacing w:before="0" w:after="283"/>
              <w:jc w:val="right"/>
              <w:rPr/>
            </w:pPr>
            <w:r>
              <w:rPr/>
              <w:t>78,917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bottom w:val="double" w:sz="6" w:space="0" w:color="000000"/>
            </w:tcBorders>
            <w:tcMar>
              <w:bottom w:w="28" w:type="dxa"/>
            </w:tcMar>
            <w:vAlign w:val="center"/>
          </w:tcPr>
          <w:p>
            <w:pPr>
              <w:pStyle w:val="TableContents"/>
              <w:bidi w:val="0"/>
              <w:spacing w:before="0" w:after="283"/>
              <w:jc w:val="left"/>
              <w:rPr/>
            </w:pPr>
            <w:r>
              <w:rPr/>
              <w:t>$</w:t>
            </w:r>
          </w:p>
        </w:tc>
        <w:tc>
          <w:tcPr>
            <w:tcW w:w="1273" w:type="dxa"/>
            <w:tcBorders>
              <w:bottom w:val="double" w:sz="6" w:space="0" w:color="000000"/>
            </w:tcBorders>
            <w:tcMar>
              <w:bottom w:w="28" w:type="dxa"/>
            </w:tcMar>
            <w:vAlign w:val="center"/>
          </w:tcPr>
          <w:p>
            <w:pPr>
              <w:pStyle w:val="TableContents"/>
              <w:bidi w:val="0"/>
              <w:spacing w:before="0" w:after="283"/>
              <w:jc w:val="right"/>
              <w:rPr/>
            </w:pPr>
            <w:r>
              <w:rPr/>
              <w:t>199,895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2" w:type="dxa"/>
            <w:tcBorders>
              <w:bottom w:val="double" w:sz="6" w:space="0" w:color="000000"/>
            </w:tcBorders>
            <w:tcMar>
              <w:bottom w:w="28" w:type="dxa"/>
            </w:tcMar>
            <w:vAlign w:val="center"/>
          </w:tcPr>
          <w:p>
            <w:pPr>
              <w:pStyle w:val="TableContents"/>
              <w:bidi w:val="0"/>
              <w:spacing w:before="0" w:after="283"/>
              <w:jc w:val="left"/>
              <w:rPr/>
            </w:pPr>
            <w:r>
              <w:rPr/>
              <w:t>$</w:t>
            </w:r>
          </w:p>
        </w:tc>
        <w:tc>
          <w:tcPr>
            <w:tcW w:w="1273" w:type="dxa"/>
            <w:tcBorders>
              <w:bottom w:val="double" w:sz="6" w:space="0" w:color="000000"/>
            </w:tcBorders>
            <w:tcMar>
              <w:bottom w:w="28" w:type="dxa"/>
            </w:tcMar>
            <w:vAlign w:val="center"/>
          </w:tcPr>
          <w:p>
            <w:pPr>
              <w:pStyle w:val="TableContents"/>
              <w:bidi w:val="0"/>
              <w:spacing w:before="0" w:after="283"/>
              <w:jc w:val="right"/>
              <w:rPr/>
            </w:pPr>
            <w:r>
              <w:rPr/>
              <w:t>227,641</w:t>
            </w:r>
          </w:p>
        </w:tc>
        <w:tc>
          <w:tcPr>
            <w:tcW w:w="8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2"/>
        <w:gridCol w:w="60"/>
        <w:gridCol w:w="120"/>
        <w:gridCol w:w="1240"/>
        <w:gridCol w:w="120"/>
        <w:gridCol w:w="120"/>
        <w:gridCol w:w="120"/>
        <w:gridCol w:w="1482"/>
        <w:gridCol w:w="60"/>
        <w:gridCol w:w="60"/>
        <w:gridCol w:w="117"/>
        <w:gridCol w:w="1198"/>
        <w:gridCol w:w="117"/>
        <w:gridCol w:w="117"/>
        <w:gridCol w:w="117"/>
        <w:gridCol w:w="1432"/>
        <w:gridCol w:w="83"/>
      </w:tblGrid>
      <w:tr>
        <w:trPr/>
        <w:tc>
          <w:tcPr>
            <w:tcW w:w="3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83" w:type="dxa"/>
            <w:tcBorders/>
            <w:vAlign w:val="center"/>
          </w:tcPr>
          <w:p>
            <w:pPr>
              <w:pStyle w:val="TableContents"/>
              <w:bidi w:val="0"/>
              <w:spacing w:before="0" w:after="283"/>
              <w:jc w:val="left"/>
              <w:rPr/>
            </w:pPr>
            <w:r>
              <w:rPr/>
              <w:t> </w:t>
            </w:r>
          </w:p>
        </w:tc>
      </w:tr>
      <w:tr>
        <w:trPr/>
        <w:tc>
          <w:tcPr>
            <w:tcW w:w="3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3" w:type="dxa"/>
            <w:tcBorders/>
            <w:vAlign w:val="center"/>
          </w:tcPr>
          <w:p>
            <w:pPr>
              <w:pStyle w:val="TableContents"/>
              <w:bidi w:val="0"/>
              <w:spacing w:before="0" w:after="283"/>
              <w:ind w:left="0" w:right="0" w:hanging="216"/>
              <w:jc w:val="left"/>
              <w:rPr/>
            </w:pPr>
            <w:r>
              <w:rPr/>
              <w:t> </w:t>
            </w:r>
          </w:p>
        </w:tc>
      </w:tr>
      <w:tr>
        <w:trPr/>
        <w:tc>
          <w:tcPr>
            <w:tcW w:w="3642" w:type="dxa"/>
            <w:tcBorders/>
            <w:shd w:fill="CCEEFF" w:val="clear"/>
            <w:vAlign w:val="center"/>
          </w:tcPr>
          <w:p>
            <w:pPr>
              <w:pStyle w:val="TableContents"/>
              <w:bidi w:val="0"/>
              <w:spacing w:before="0" w:after="283"/>
              <w:jc w:val="left"/>
              <w:rPr/>
            </w:pPr>
            <w:r>
              <w:rPr/>
              <w:t>Loss and loss adjustment expenses ratio:</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642" w:type="dxa"/>
            <w:tcBorders/>
            <w:vAlign w:val="center"/>
          </w:tcPr>
          <w:p>
            <w:pPr>
              <w:pStyle w:val="TableContents"/>
              <w:bidi w:val="0"/>
              <w:spacing w:before="0" w:after="283"/>
              <w:jc w:val="left"/>
              <w:rPr/>
            </w:pPr>
            <w:r>
              <w:rPr/>
              <w:t>Private passenger auto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78.2%</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83.2%</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89.8%</w:t>
            </w:r>
          </w:p>
        </w:tc>
        <w:tc>
          <w:tcPr>
            <w:tcW w:w="83" w:type="dxa"/>
            <w:tcBorders/>
            <w:vAlign w:val="center"/>
          </w:tcPr>
          <w:p>
            <w:pPr>
              <w:pStyle w:val="TableContents"/>
              <w:bidi w:val="0"/>
              <w:spacing w:before="0" w:after="283"/>
              <w:jc w:val="left"/>
              <w:rPr/>
            </w:pPr>
            <w:r>
              <w:rPr/>
              <w:t> </w:t>
            </w:r>
          </w:p>
        </w:tc>
      </w:tr>
      <w:tr>
        <w:trPr/>
        <w:tc>
          <w:tcPr>
            <w:tcW w:w="3642"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88.7%</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78.5%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51.8%</w:t>
            </w:r>
          </w:p>
        </w:tc>
        <w:tc>
          <w:tcPr>
            <w:tcW w:w="83" w:type="dxa"/>
            <w:tcBorders/>
            <w:shd w:fill="CCEEFF" w:val="clear"/>
            <w:vAlign w:val="center"/>
          </w:tcPr>
          <w:p>
            <w:pPr>
              <w:pStyle w:val="TableContents"/>
              <w:bidi w:val="0"/>
              <w:spacing w:before="0" w:after="283"/>
              <w:jc w:val="left"/>
              <w:rPr/>
            </w:pPr>
            <w:r>
              <w:rPr/>
              <w:t> </w:t>
            </w:r>
          </w:p>
        </w:tc>
      </w:tr>
      <w:tr>
        <w:trPr/>
        <w:tc>
          <w:tcPr>
            <w:tcW w:w="3642" w:type="dxa"/>
            <w:tcBorders/>
            <w:vAlign w:val="center"/>
          </w:tcPr>
          <w:p>
            <w:pPr>
              <w:pStyle w:val="TableContents"/>
              <w:bidi w:val="0"/>
              <w:spacing w:before="0" w:after="283"/>
              <w:jc w:val="left"/>
              <w:rPr/>
            </w:pPr>
            <w:r>
              <w:rPr/>
              <w:t>Home and farm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65.9%</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65.9%</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165.5%</w:t>
            </w:r>
          </w:p>
        </w:tc>
        <w:tc>
          <w:tcPr>
            <w:tcW w:w="83" w:type="dxa"/>
            <w:tcBorders/>
            <w:vAlign w:val="center"/>
          </w:tcPr>
          <w:p>
            <w:pPr>
              <w:pStyle w:val="TableContents"/>
              <w:bidi w:val="0"/>
              <w:spacing w:before="0" w:after="283"/>
              <w:jc w:val="left"/>
              <w:rPr/>
            </w:pPr>
            <w:r>
              <w:rPr/>
              <w:t> </w:t>
            </w:r>
          </w:p>
        </w:tc>
      </w:tr>
      <w:tr>
        <w:trPr/>
        <w:tc>
          <w:tcPr>
            <w:tcW w:w="3642"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37.9%</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49.8%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63.8%</w:t>
            </w:r>
          </w:p>
        </w:tc>
        <w:tc>
          <w:tcPr>
            <w:tcW w:w="83" w:type="dxa"/>
            <w:tcBorders/>
            <w:shd w:fill="CCEEFF" w:val="clear"/>
            <w:vAlign w:val="center"/>
          </w:tcPr>
          <w:p>
            <w:pPr>
              <w:pStyle w:val="TableContents"/>
              <w:bidi w:val="0"/>
              <w:spacing w:before="0" w:after="283"/>
              <w:jc w:val="left"/>
              <w:rPr/>
            </w:pPr>
            <w:r>
              <w:rPr/>
              <w:t> </w:t>
            </w:r>
          </w:p>
        </w:tc>
      </w:tr>
      <w:tr>
        <w:trPr/>
        <w:tc>
          <w:tcPr>
            <w:tcW w:w="3642" w:type="dxa"/>
            <w:tcBorders/>
            <w:vAlign w:val="center"/>
          </w:tcPr>
          <w:p>
            <w:pPr>
              <w:pStyle w:val="TableContents"/>
              <w:bidi w:val="0"/>
              <w:spacing w:before="0" w:after="283"/>
              <w:jc w:val="left"/>
              <w:rPr/>
            </w:pPr>
            <w:r>
              <w:rPr/>
              <w:t>Commercial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65.2%</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61.8%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96.1%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72.8%</w:t>
            </w:r>
          </w:p>
        </w:tc>
        <w:tc>
          <w:tcPr>
            <w:tcW w:w="83" w:type="dxa"/>
            <w:tcBorders/>
            <w:vAlign w:val="center"/>
          </w:tcPr>
          <w:p>
            <w:pPr>
              <w:pStyle w:val="TableContents"/>
              <w:bidi w:val="0"/>
              <w:spacing w:before="0" w:after="283"/>
              <w:jc w:val="left"/>
              <w:rPr/>
            </w:pPr>
            <w:r>
              <w:rPr/>
              <w:t> </w:t>
            </w:r>
          </w:p>
        </w:tc>
      </w:tr>
      <w:tr>
        <w:trPr/>
        <w:tc>
          <w:tcPr>
            <w:tcW w:w="3642" w:type="dxa"/>
            <w:tcBorders/>
            <w:shd w:fill="CCEEFF" w:val="clear"/>
            <w:vAlign w:val="center"/>
          </w:tcPr>
          <w:p>
            <w:pPr>
              <w:pStyle w:val="TableContents"/>
              <w:bidi w:val="0"/>
              <w:spacing w:before="0" w:after="283"/>
              <w:jc w:val="left"/>
              <w:rPr/>
            </w:pPr>
            <w:r>
              <w:rPr/>
              <w:t>All other</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9.4%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83" w:type="dxa"/>
            <w:tcBorders/>
            <w:shd w:fill="CCEEFF" w:val="clear"/>
            <w:vAlign w:val="center"/>
          </w:tcPr>
          <w:p>
            <w:pPr>
              <w:pStyle w:val="TableContents"/>
              <w:bidi w:val="0"/>
              <w:spacing w:before="0" w:after="283"/>
              <w:jc w:val="left"/>
              <w:rPr/>
            </w:pPr>
            <w:r>
              <w:rPr/>
              <w:t> </w:t>
            </w:r>
          </w:p>
        </w:tc>
      </w:tr>
      <w:tr>
        <w:trPr/>
        <w:tc>
          <w:tcPr>
            <w:tcW w:w="3642" w:type="dxa"/>
            <w:tcBorders/>
            <w:vAlign w:val="center"/>
          </w:tcPr>
          <w:p>
            <w:pPr>
              <w:pStyle w:val="TableContents"/>
              <w:bidi w:val="0"/>
              <w:spacing w:before="0" w:after="283"/>
              <w:jc w:val="left"/>
              <w:rPr/>
            </w:pPr>
            <w:r>
              <w:rPr/>
              <w:t>Total loss and loss adjustment expenses ratio</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240" w:type="dxa"/>
            <w:tcBorders>
              <w:bottom w:val="double" w:sz="6" w:space="0" w:color="000000"/>
            </w:tcBorders>
            <w:tcMar>
              <w:bottom w:w="28" w:type="dxa"/>
            </w:tcMar>
            <w:vAlign w:val="center"/>
          </w:tcPr>
          <w:p>
            <w:pPr>
              <w:pStyle w:val="TableContents"/>
              <w:bidi w:val="0"/>
              <w:spacing w:before="0" w:after="283"/>
              <w:jc w:val="right"/>
              <w:rPr/>
            </w:pPr>
            <w:r>
              <w:rPr/>
              <w:t>70.0%</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tcMar>
              <w:bottom w:w="28" w:type="dxa"/>
            </w:tcMar>
            <w:vAlign w:val="center"/>
          </w:tcPr>
          <w:p>
            <w:pPr>
              <w:pStyle w:val="TableContents"/>
              <w:bidi w:val="0"/>
              <w:spacing w:before="0" w:after="283"/>
              <w:jc w:val="right"/>
              <w:rPr/>
            </w:pPr>
            <w:r>
              <w:rPr/>
              <w:t>88.1%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1198" w:type="dxa"/>
            <w:tcBorders>
              <w:bottom w:val="double" w:sz="6" w:space="0" w:color="000000"/>
            </w:tcBorders>
            <w:tcMar>
              <w:bottom w:w="28" w:type="dxa"/>
            </w:tcMar>
            <w:vAlign w:val="center"/>
          </w:tcPr>
          <w:p>
            <w:pPr>
              <w:pStyle w:val="TableContents"/>
              <w:bidi w:val="0"/>
              <w:spacing w:before="0" w:after="283"/>
              <w:jc w:val="right"/>
              <w:rPr/>
            </w:pPr>
            <w:r>
              <w:rPr/>
              <w:t>76.1%</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tcMar>
              <w:bottom w:w="28" w:type="dxa"/>
            </w:tcMar>
            <w:vAlign w:val="center"/>
          </w:tcPr>
          <w:p>
            <w:pPr>
              <w:pStyle w:val="TableContents"/>
              <w:bidi w:val="0"/>
              <w:spacing w:before="0" w:after="283"/>
              <w:jc w:val="right"/>
              <w:rPr/>
            </w:pPr>
            <w:r>
              <w:rPr/>
              <w:t>93.5%</w:t>
            </w:r>
          </w:p>
        </w:tc>
        <w:tc>
          <w:tcPr>
            <w:tcW w:w="83"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the net losses and loss adjustment expenses, and the net loss and loss adjustment expense ratios, by business segment: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The net loss and loss adjustment expense ratio decreased 24.5 percentage points and 6.6 percentage points in the three- and nine-month periods ended September 30, 2023, respectively, compared to the same periods in 2022. Both periods were affected by lower loss frequency in the current year, partially offset by elevated loss costs due to continued high levels of inflation during the current year and elevated winter weather-related losses in the first quarter of 2023.</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The net loss and loss adjustment expense ratio increased 20.7 percentage points and 26.7 percentage points in the three- and nine-month periods ended September 30, 2023, respectively, compared to the same periods in 2022. These increases were driven by elevated loss severity as a result of inflationary factors as well as unfavorable prior year loss reserve development. We continue to take significant rate and underwriting actions as a result of these elevated losses and challenging market conditions.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The net loss and loss adjustment expense ratio decreased 80.0 percentage points and 99.6 percentage points in the three- and nine-month periods ended September 30, 2023, respectively, compared to the same periods in 2022. These decreases in net loss and loss adjustment expense ratios were driven by the much-improved loss experience as a result of having no catastrophe losses during 2023 compared to 2022, combined with improved non-catastrophe weather losses and the significant underwriting actions we have implemented to address the profitability on these lines of business. Catastrophe losses for the Home and Farm segment accounted for 96.3 percentage points of the net loss and loss adjustment expense ratio for the nine months ended September 30, 2022.</w:t>
      </w:r>
    </w:p>
    <w:p>
      <w:pPr>
        <w:pStyle w:val="TextBody"/>
        <w:bidi w:val="0"/>
        <w:jc w:val="both"/>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The net loss and loss adjustment expense ratio decreased 10.0 percentage points and 14.0 percentage points in the three- and nine-month periods ended September 30, 2023, respectively, compared to the same periods in 2022. These decreases were driven by improved crop growing conditions compared to the prior year.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Commercial</w:t>
      </w:r>
      <w:r>
        <w:rPr>
          <w:rFonts w:ascii="Times New Roman;Times;Serif" w:hAnsi="Times New Roman;Times;Serif"/>
          <w:b w:val="false"/>
          <w:i w:val="false"/>
          <w:caps w:val="false"/>
          <w:smallCaps w:val="false"/>
          <w:sz w:val="20"/>
        </w:rPr>
        <w:t xml:space="preserve"> – The net loss and loss adjustment expense ratio increased 3.4 percentage points and 23.3 percentage points in the three- and nine-month periods ended September 30, 2023, respectively, compared to the same periods in 2022. These increases were driven by unfavorable prior year reserve development and elevated loss severity, partially offset by higher ceded losses. We continue to take significant rate and underwriting actions and continue to evaluate additional measures to improve the segment’s profitability.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The net loss and loss adjustment expense ratio decreased 44.1 percentage points and 40.1 percentage points in the three-and nine-month periods ended September 30, 2023, respectively, compared to the same period for 2022. These decreases were driven by improved loss experience related to the excess liability lines of business.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and General Expenses and Expense Ratio</w:t>
      </w:r>
    </w:p>
    <w:tbl>
      <w:tblPr>
        <w:tblW w:w="10205" w:type="dxa"/>
        <w:jc w:val="left"/>
        <w:tblInd w:w="0" w:type="dxa"/>
        <w:tblLayout w:type="fixed"/>
        <w:tblCellMar>
          <w:top w:w="0" w:type="dxa"/>
          <w:left w:w="0" w:type="dxa"/>
          <w:bottom w:w="0" w:type="dxa"/>
          <w:right w:w="0" w:type="dxa"/>
        </w:tblCellMar>
      </w:tblPr>
      <w:tblGrid>
        <w:gridCol w:w="3698"/>
        <w:gridCol w:w="60"/>
        <w:gridCol w:w="252"/>
        <w:gridCol w:w="1226"/>
        <w:gridCol w:w="107"/>
        <w:gridCol w:w="107"/>
        <w:gridCol w:w="252"/>
        <w:gridCol w:w="1226"/>
        <w:gridCol w:w="60"/>
        <w:gridCol w:w="60"/>
        <w:gridCol w:w="244"/>
        <w:gridCol w:w="1189"/>
        <w:gridCol w:w="104"/>
        <w:gridCol w:w="104"/>
        <w:gridCol w:w="244"/>
        <w:gridCol w:w="1189"/>
        <w:gridCol w:w="83"/>
      </w:tblGrid>
      <w:tr>
        <w:trPr/>
        <w:tc>
          <w:tcPr>
            <w:tcW w:w="3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83" w:type="dxa"/>
            <w:tcBorders/>
            <w:vAlign w:val="center"/>
          </w:tcPr>
          <w:p>
            <w:pPr>
              <w:pStyle w:val="TableContents"/>
              <w:bidi w:val="0"/>
              <w:spacing w:before="0" w:after="283"/>
              <w:jc w:val="left"/>
              <w:rPr/>
            </w:pPr>
            <w:r>
              <w:rPr/>
              <w:t> </w:t>
            </w:r>
          </w:p>
        </w:tc>
      </w:tr>
      <w:tr>
        <w:trPr/>
        <w:tc>
          <w:tcPr>
            <w:tcW w:w="3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3" w:type="dxa"/>
            <w:tcBorders/>
            <w:vAlign w:val="center"/>
          </w:tcPr>
          <w:p>
            <w:pPr>
              <w:pStyle w:val="TableContents"/>
              <w:bidi w:val="0"/>
              <w:spacing w:before="0" w:after="283"/>
              <w:ind w:left="0" w:right="0" w:hanging="216"/>
              <w:jc w:val="left"/>
              <w:rPr/>
            </w:pPr>
            <w:r>
              <w:rPr/>
              <w:t> </w:t>
            </w:r>
          </w:p>
        </w:tc>
      </w:tr>
      <w:tr>
        <w:trPr/>
        <w:tc>
          <w:tcPr>
            <w:tcW w:w="3698"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698" w:type="dxa"/>
            <w:tcBorders/>
            <w:vAlign w:val="center"/>
          </w:tcPr>
          <w:p>
            <w:pPr>
              <w:pStyle w:val="TableContents"/>
              <w:bidi w:val="0"/>
              <w:spacing w:before="0" w:after="283"/>
              <w:jc w:val="left"/>
              <w:rPr/>
            </w:pPr>
            <w:r>
              <w:rPr/>
              <w:t>Amortization of deferred policy acquisition costs</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283"/>
              <w:jc w:val="right"/>
              <w:rPr/>
            </w:pPr>
            <w:r>
              <w:rPr/>
              <w:t>20,362</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283"/>
              <w:jc w:val="right"/>
              <w:rPr/>
            </w:pPr>
            <w:r>
              <w:rPr/>
              <w:t>17,589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89" w:type="dxa"/>
            <w:tcBorders/>
            <w:vAlign w:val="center"/>
          </w:tcPr>
          <w:p>
            <w:pPr>
              <w:pStyle w:val="TableContents"/>
              <w:bidi w:val="0"/>
              <w:spacing w:before="0" w:after="283"/>
              <w:jc w:val="right"/>
              <w:rPr/>
            </w:pPr>
            <w:r>
              <w:rPr/>
              <w:t>59,529</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89" w:type="dxa"/>
            <w:tcBorders/>
            <w:vAlign w:val="center"/>
          </w:tcPr>
          <w:p>
            <w:pPr>
              <w:pStyle w:val="TableContents"/>
              <w:bidi w:val="0"/>
              <w:spacing w:before="0" w:after="283"/>
              <w:jc w:val="right"/>
              <w:rPr/>
            </w:pPr>
            <w:r>
              <w:rPr/>
              <w:t>49,456</w:t>
            </w:r>
          </w:p>
        </w:tc>
        <w:tc>
          <w:tcPr>
            <w:tcW w:w="83" w:type="dxa"/>
            <w:tcBorders/>
            <w:vAlign w:val="center"/>
          </w:tcPr>
          <w:p>
            <w:pPr>
              <w:pStyle w:val="TableContents"/>
              <w:bidi w:val="0"/>
              <w:spacing w:before="0" w:after="283"/>
              <w:jc w:val="left"/>
              <w:rPr/>
            </w:pPr>
            <w:r>
              <w:rPr/>
              <w:t> </w:t>
            </w:r>
          </w:p>
        </w:tc>
      </w:tr>
      <w:tr>
        <w:trPr/>
        <w:tc>
          <w:tcPr>
            <w:tcW w:w="3698"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8,695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5,912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CCEEFF" w:val="clear"/>
            <w:tcMar>
              <w:bottom w:w="28" w:type="dxa"/>
            </w:tcMar>
            <w:vAlign w:val="center"/>
          </w:tcPr>
          <w:p>
            <w:pPr>
              <w:pStyle w:val="TableContents"/>
              <w:bidi w:val="0"/>
              <w:spacing w:before="0" w:after="283"/>
              <w:jc w:val="right"/>
              <w:rPr/>
            </w:pPr>
            <w:r>
              <w:rPr/>
              <w:t>27,646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CCEEFF" w:val="clear"/>
            <w:tcMar>
              <w:bottom w:w="28" w:type="dxa"/>
            </w:tcMar>
            <w:vAlign w:val="center"/>
          </w:tcPr>
          <w:p>
            <w:pPr>
              <w:pStyle w:val="TableContents"/>
              <w:bidi w:val="0"/>
              <w:spacing w:before="0" w:after="283"/>
              <w:jc w:val="right"/>
              <w:rPr/>
            </w:pPr>
            <w:r>
              <w:rPr/>
              <w:t>23,695</w:t>
            </w:r>
          </w:p>
        </w:tc>
        <w:tc>
          <w:tcPr>
            <w:tcW w:w="83" w:type="dxa"/>
            <w:tcBorders/>
            <w:shd w:fill="CCEEFF" w:val="clear"/>
            <w:vAlign w:val="center"/>
          </w:tcPr>
          <w:p>
            <w:pPr>
              <w:pStyle w:val="TableContents"/>
              <w:bidi w:val="0"/>
              <w:spacing w:before="0" w:after="283"/>
              <w:jc w:val="left"/>
              <w:rPr/>
            </w:pPr>
            <w:r>
              <w:rPr/>
              <w:t> </w:t>
            </w:r>
          </w:p>
        </w:tc>
      </w:tr>
      <w:tr>
        <w:trPr/>
        <w:tc>
          <w:tcPr>
            <w:tcW w:w="3698" w:type="dxa"/>
            <w:tcBorders/>
            <w:vAlign w:val="center"/>
          </w:tcPr>
          <w:p>
            <w:pPr>
              <w:pStyle w:val="TableContents"/>
              <w:bidi w:val="0"/>
              <w:spacing w:before="0" w:after="283"/>
              <w:jc w:val="left"/>
              <w:rPr/>
            </w:pPr>
            <w:r>
              <w:rPr/>
              <w:t>Total underwriting and general expenses</w:t>
            </w:r>
          </w:p>
        </w:tc>
        <w:tc>
          <w:tcPr>
            <w:tcW w:w="60" w:type="dxa"/>
            <w:tcBorders/>
            <w:vAlign w:val="center"/>
          </w:tcPr>
          <w:p>
            <w:pPr>
              <w:pStyle w:val="TableContents"/>
              <w:bidi w:val="0"/>
              <w:spacing w:before="0" w:after="283"/>
              <w:jc w:val="left"/>
              <w:rPr/>
            </w:pPr>
            <w:r>
              <w:rPr/>
              <w:t> </w:t>
            </w:r>
          </w:p>
        </w:tc>
        <w:tc>
          <w:tcPr>
            <w:tcW w:w="252" w:type="dxa"/>
            <w:tcBorders>
              <w:bottom w:val="double" w:sz="6" w:space="0" w:color="000000"/>
            </w:tcBorders>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tcMar>
              <w:bottom w:w="28" w:type="dxa"/>
            </w:tcMar>
            <w:vAlign w:val="center"/>
          </w:tcPr>
          <w:p>
            <w:pPr>
              <w:pStyle w:val="TableContents"/>
              <w:bidi w:val="0"/>
              <w:spacing w:before="0" w:after="283"/>
              <w:jc w:val="right"/>
              <w:rPr/>
            </w:pPr>
            <w:r>
              <w:rPr/>
              <w:t>29,057</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2" w:type="dxa"/>
            <w:tcBorders>
              <w:bottom w:val="double" w:sz="6" w:space="0" w:color="000000"/>
            </w:tcBorders>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tcMar>
              <w:bottom w:w="28" w:type="dxa"/>
            </w:tcMar>
            <w:vAlign w:val="center"/>
          </w:tcPr>
          <w:p>
            <w:pPr>
              <w:pStyle w:val="TableContents"/>
              <w:bidi w:val="0"/>
              <w:spacing w:before="0" w:after="283"/>
              <w:jc w:val="right"/>
              <w:rPr/>
            </w:pPr>
            <w:r>
              <w:rPr/>
              <w:t>23,501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pPr>
            <w:r>
              <w:rPr/>
              <w:t> </w:t>
            </w:r>
          </w:p>
        </w:tc>
        <w:tc>
          <w:tcPr>
            <w:tcW w:w="1189" w:type="dxa"/>
            <w:tcBorders>
              <w:bottom w:val="double" w:sz="6" w:space="0" w:color="000000"/>
            </w:tcBorders>
            <w:tcMar>
              <w:bottom w:w="28" w:type="dxa"/>
            </w:tcMar>
            <w:vAlign w:val="center"/>
          </w:tcPr>
          <w:p>
            <w:pPr>
              <w:pStyle w:val="TableContents"/>
              <w:bidi w:val="0"/>
              <w:spacing w:before="0" w:after="283"/>
              <w:jc w:val="right"/>
              <w:rPr/>
            </w:pPr>
            <w:r>
              <w:rPr/>
              <w:t>87,175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bottom w:val="double" w:sz="6" w:space="0" w:color="000000"/>
            </w:tcBorders>
            <w:tcMar>
              <w:bottom w:w="28" w:type="dxa"/>
            </w:tcMar>
            <w:vAlign w:val="center"/>
          </w:tcPr>
          <w:p>
            <w:pPr>
              <w:pStyle w:val="TableContents"/>
              <w:bidi w:val="0"/>
              <w:spacing w:before="0" w:after="283"/>
              <w:jc w:val="left"/>
              <w:rPr/>
            </w:pPr>
            <w:r>
              <w:rPr/>
              <w:t> </w:t>
            </w:r>
          </w:p>
        </w:tc>
        <w:tc>
          <w:tcPr>
            <w:tcW w:w="1189" w:type="dxa"/>
            <w:tcBorders>
              <w:bottom w:val="double" w:sz="6" w:space="0" w:color="000000"/>
            </w:tcBorders>
            <w:tcMar>
              <w:bottom w:w="28" w:type="dxa"/>
            </w:tcMar>
            <w:vAlign w:val="center"/>
          </w:tcPr>
          <w:p>
            <w:pPr>
              <w:pStyle w:val="TableContents"/>
              <w:bidi w:val="0"/>
              <w:spacing w:before="0" w:after="283"/>
              <w:jc w:val="right"/>
              <w:rPr/>
            </w:pPr>
            <w:r>
              <w:rPr/>
              <w:t>73,151</w:t>
            </w:r>
          </w:p>
        </w:tc>
        <w:tc>
          <w:tcPr>
            <w:tcW w:w="83" w:type="dxa"/>
            <w:tcBorders/>
            <w:vAlign w:val="center"/>
          </w:tcPr>
          <w:p>
            <w:pPr>
              <w:pStyle w:val="TableContents"/>
              <w:bidi w:val="0"/>
              <w:spacing w:before="0" w:after="283"/>
              <w:jc w:val="left"/>
              <w:rPr/>
            </w:pPr>
            <w:r>
              <w:rPr/>
              <w:t> </w:t>
            </w:r>
          </w:p>
        </w:tc>
      </w:tr>
      <w:tr>
        <w:trPr/>
        <w:tc>
          <w:tcPr>
            <w:tcW w:w="36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698" w:type="dxa"/>
            <w:tcBorders/>
            <w:vAlign w:val="center"/>
          </w:tcPr>
          <w:p>
            <w:pPr>
              <w:pStyle w:val="TableContents"/>
              <w:bidi w:val="0"/>
              <w:spacing w:before="0" w:after="283"/>
              <w:jc w:val="left"/>
              <w:rPr/>
            </w:pPr>
            <w:r>
              <w:rPr/>
              <w:t>Expense Ratio</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32.0%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33.2%</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30.0%</w:t>
            </w:r>
          </w:p>
        </w:tc>
        <w:tc>
          <w:tcPr>
            <w:tcW w:w="83"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5.7 percentage points and 3.2 percentage points in the three-and nine-month periods ended September 30, 2023, respectively, compared to the same periods in 2022. The increase in both the current quarter and year-to-date amortization of deferred policy acquisition costs was driven by higher deferrable costs resulting from overall premium growth compared to the prior year, including significant growth in the non-standard auto segment which generally pays higher agent commissions than our other segments. The increase in both the current quarter and year-to-date other underwriting and general expenses was due to 2022 expenses being impacted by multi-peril crop insurance final settlements as well as the impact of continued high levels of inflation.</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Gain (Loss) and Combined Ratio</w:t>
      </w:r>
    </w:p>
    <w:tbl>
      <w:tblPr>
        <w:tblW w:w="10039" w:type="dxa"/>
        <w:jc w:val="left"/>
        <w:tblInd w:w="0" w:type="dxa"/>
        <w:tblLayout w:type="fixed"/>
        <w:tblCellMar>
          <w:top w:w="0" w:type="dxa"/>
          <w:left w:w="0" w:type="dxa"/>
          <w:bottom w:w="0" w:type="dxa"/>
          <w:right w:w="0" w:type="dxa"/>
        </w:tblCellMar>
      </w:tblPr>
      <w:tblGrid>
        <w:gridCol w:w="2405"/>
        <w:gridCol w:w="60"/>
        <w:gridCol w:w="285"/>
        <w:gridCol w:w="1296"/>
        <w:gridCol w:w="193"/>
        <w:gridCol w:w="122"/>
        <w:gridCol w:w="285"/>
        <w:gridCol w:w="1541"/>
        <w:gridCol w:w="95"/>
        <w:gridCol w:w="60"/>
        <w:gridCol w:w="258"/>
        <w:gridCol w:w="1393"/>
        <w:gridCol w:w="175"/>
        <w:gridCol w:w="110"/>
        <w:gridCol w:w="258"/>
        <w:gridCol w:w="1393"/>
        <w:gridCol w:w="11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93"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8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6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216"/>
              <w:jc w:val="left"/>
              <w:rPr/>
            </w:pPr>
            <w:r>
              <w:rPr/>
              <w:t> </w:t>
            </w:r>
          </w:p>
        </w:tc>
      </w:tr>
      <w:tr>
        <w:trPr/>
        <w:tc>
          <w:tcPr>
            <w:tcW w:w="2405" w:type="dxa"/>
            <w:tcBorders/>
            <w:shd w:fill="CCEEFF" w:val="clear"/>
            <w:vAlign w:val="center"/>
          </w:tcPr>
          <w:p>
            <w:pPr>
              <w:pStyle w:val="TableContents"/>
              <w:bidi w:val="0"/>
              <w:spacing w:before="0" w:after="283"/>
              <w:jc w:val="left"/>
              <w:rPr/>
            </w:pPr>
            <w:r>
              <w:rPr/>
              <w:t>Underwriting gain (loss):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93"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Private passenger auto</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jc w:val="right"/>
              <w:rPr/>
            </w:pPr>
            <w:r>
              <w:rPr/>
              <w:t>(1,446</w:t>
            </w:r>
          </w:p>
        </w:tc>
        <w:tc>
          <w:tcPr>
            <w:tcW w:w="193"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before="0" w:after="283"/>
              <w:jc w:val="right"/>
              <w:rPr/>
            </w:pPr>
            <w:r>
              <w:rPr/>
              <w:t>(5,602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393" w:type="dxa"/>
            <w:tcBorders/>
            <w:vAlign w:val="center"/>
          </w:tcPr>
          <w:p>
            <w:pPr>
              <w:pStyle w:val="TableContents"/>
              <w:bidi w:val="0"/>
              <w:spacing w:before="0" w:after="283"/>
              <w:jc w:val="right"/>
              <w:rPr/>
            </w:pPr>
            <w:r>
              <w:rPr/>
              <w:t>(7,912</w:t>
            </w:r>
          </w:p>
        </w:tc>
        <w:tc>
          <w:tcPr>
            <w:tcW w:w="175"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393" w:type="dxa"/>
            <w:tcBorders/>
            <w:vAlign w:val="center"/>
          </w:tcPr>
          <w:p>
            <w:pPr>
              <w:pStyle w:val="TableContents"/>
              <w:bidi w:val="0"/>
              <w:spacing w:before="0" w:after="283"/>
              <w:jc w:val="right"/>
              <w:rPr/>
            </w:pPr>
            <w:r>
              <w:rPr/>
              <w:t>(10,482</w:t>
            </w:r>
          </w:p>
        </w:tc>
        <w:tc>
          <w:tcPr>
            <w:tcW w:w="110" w:type="dxa"/>
            <w:tcBorders/>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(6,278</w:t>
            </w:r>
          </w:p>
        </w:tc>
        <w:tc>
          <w:tcPr>
            <w:tcW w:w="193"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(12,610</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3,530</w:t>
            </w:r>
          </w:p>
        </w:tc>
        <w:tc>
          <w:tcPr>
            <w:tcW w:w="11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Home and farm</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1,098</w:t>
            </w:r>
          </w:p>
        </w:tc>
        <w:tc>
          <w:tcPr>
            <w:tcW w:w="193"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(14,467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2,513</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(55,998</w:t>
            </w:r>
          </w:p>
        </w:tc>
        <w:tc>
          <w:tcPr>
            <w:tcW w:w="110" w:type="dxa"/>
            <w:tcBorders/>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4,106</w:t>
            </w:r>
          </w:p>
        </w:tc>
        <w:tc>
          <w:tcPr>
            <w:tcW w:w="193"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7,249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6,601</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8,313</w:t>
            </w:r>
          </w:p>
        </w:tc>
        <w:tc>
          <w:tcPr>
            <w:tcW w:w="11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Commercial</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(331</w:t>
            </w:r>
          </w:p>
        </w:tc>
        <w:tc>
          <w:tcPr>
            <w:tcW w:w="193"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232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(16,251</w:t>
            </w:r>
          </w:p>
        </w:tc>
        <w:tc>
          <w:tcPr>
            <w:tcW w:w="175"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(4,470</w:t>
            </w:r>
          </w:p>
        </w:tc>
        <w:tc>
          <w:tcPr>
            <w:tcW w:w="110" w:type="dxa"/>
            <w:tcBorders/>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All other</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193"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CCEEFF" w:val="clear"/>
            <w:tcMar>
              <w:bottom w:w="28" w:type="dxa"/>
            </w:tcM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bidi w:val="0"/>
              <w:spacing w:before="0" w:after="283"/>
              <w:jc w:val="right"/>
              <w:rPr/>
            </w:pPr>
            <w:r>
              <w:rPr/>
              <w:t>3,132</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bidi w:val="0"/>
              <w:spacing w:before="0" w:after="283"/>
              <w:jc w:val="right"/>
              <w:rPr/>
            </w:pPr>
            <w:r>
              <w:rPr/>
              <w:t>1,930</w:t>
            </w:r>
          </w:p>
        </w:tc>
        <w:tc>
          <w:tcPr>
            <w:tcW w:w="11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Total underwriting loss</w:t>
            </w:r>
          </w:p>
        </w:tc>
        <w:tc>
          <w:tcPr>
            <w:tcW w:w="60" w:type="dxa"/>
            <w:tcBorders/>
            <w:vAlign w:val="center"/>
          </w:tcPr>
          <w:p>
            <w:pPr>
              <w:pStyle w:val="TableContents"/>
              <w:bidi w:val="0"/>
              <w:spacing w:before="0" w:after="283"/>
              <w:jc w:val="left"/>
              <w:rPr/>
            </w:pPr>
            <w:r>
              <w:rPr/>
              <w:t> </w:t>
            </w:r>
          </w:p>
        </w:tc>
        <w:tc>
          <w:tcPr>
            <w:tcW w:w="285" w:type="dxa"/>
            <w:tcBorders>
              <w:bottom w:val="double" w:sz="6" w:space="0" w:color="000000"/>
            </w:tcBorders>
            <w:tcMar>
              <w:bottom w:w="28" w:type="dxa"/>
            </w:tcMar>
            <w:vAlign w:val="center"/>
          </w:tcPr>
          <w:p>
            <w:pPr>
              <w:pStyle w:val="TableContents"/>
              <w:bidi w:val="0"/>
              <w:spacing w:before="0" w:after="283"/>
              <w:jc w:val="left"/>
              <w:rPr/>
            </w:pPr>
            <w:r>
              <w:rPr/>
              <w:t>$</w:t>
            </w:r>
          </w:p>
        </w:tc>
        <w:tc>
          <w:tcPr>
            <w:tcW w:w="1296" w:type="dxa"/>
            <w:tcBorders>
              <w:bottom w:val="double" w:sz="6" w:space="0" w:color="000000"/>
            </w:tcBorders>
            <w:tcMar>
              <w:bottom w:w="28" w:type="dxa"/>
            </w:tcMar>
            <w:vAlign w:val="center"/>
          </w:tcPr>
          <w:p>
            <w:pPr>
              <w:pStyle w:val="TableContents"/>
              <w:bidi w:val="0"/>
              <w:spacing w:before="0" w:after="283"/>
              <w:jc w:val="right"/>
              <w:rPr/>
            </w:pPr>
            <w:r>
              <w:rPr/>
              <w:t>(1,851</w:t>
            </w:r>
          </w:p>
        </w:tc>
        <w:tc>
          <w:tcPr>
            <w:tcW w:w="193"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 </w:t>
            </w:r>
          </w:p>
        </w:tc>
        <w:tc>
          <w:tcPr>
            <w:tcW w:w="285" w:type="dxa"/>
            <w:tcBorders>
              <w:bottom w:val="double" w:sz="6" w:space="0" w:color="000000"/>
            </w:tcBorders>
            <w:tcMar>
              <w:bottom w:w="28" w:type="dxa"/>
            </w:tcMar>
            <w:vAlign w:val="center"/>
          </w:tcPr>
          <w:p>
            <w:pPr>
              <w:pStyle w:val="TableContents"/>
              <w:bidi w:val="0"/>
              <w:spacing w:before="0" w:after="283"/>
              <w:jc w:val="left"/>
              <w:rPr/>
            </w:pPr>
            <w:r>
              <w:rPr/>
              <w:t>$</w:t>
            </w:r>
          </w:p>
        </w:tc>
        <w:tc>
          <w:tcPr>
            <w:tcW w:w="1541" w:type="dxa"/>
            <w:tcBorders>
              <w:bottom w:val="double" w:sz="6" w:space="0" w:color="000000"/>
            </w:tcBorders>
            <w:tcMar>
              <w:bottom w:w="28" w:type="dxa"/>
            </w:tcMar>
            <w:vAlign w:val="center"/>
          </w:tcPr>
          <w:p>
            <w:pPr>
              <w:pStyle w:val="TableContents"/>
              <w:bidi w:val="0"/>
              <w:spacing w:before="0" w:after="283"/>
              <w:jc w:val="right"/>
              <w:rPr/>
            </w:pPr>
            <w:r>
              <w:rPr/>
              <w:t>(12,886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1393" w:type="dxa"/>
            <w:tcBorders>
              <w:bottom w:val="double" w:sz="6" w:space="0" w:color="000000"/>
            </w:tcBorders>
            <w:tcMar>
              <w:bottom w:w="28" w:type="dxa"/>
            </w:tcMar>
            <w:vAlign w:val="center"/>
          </w:tcPr>
          <w:p>
            <w:pPr>
              <w:pStyle w:val="TableContents"/>
              <w:bidi w:val="0"/>
              <w:spacing w:before="0" w:after="283"/>
              <w:jc w:val="right"/>
              <w:rPr/>
            </w:pPr>
            <w:r>
              <w:rPr/>
              <w:t>(24,527</w:t>
            </w:r>
          </w:p>
        </w:tc>
        <w:tc>
          <w:tcPr>
            <w:tcW w:w="175"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1393" w:type="dxa"/>
            <w:tcBorders>
              <w:bottom w:val="double" w:sz="6" w:space="0" w:color="000000"/>
            </w:tcBorders>
            <w:tcMar>
              <w:bottom w:w="28" w:type="dxa"/>
            </w:tcMar>
            <w:vAlign w:val="center"/>
          </w:tcPr>
          <w:p>
            <w:pPr>
              <w:pStyle w:val="TableContents"/>
              <w:bidi w:val="0"/>
              <w:spacing w:before="0" w:after="283"/>
              <w:jc w:val="right"/>
              <w:rPr/>
            </w:pPr>
            <w:r>
              <w:rPr/>
              <w:t>(57,177</w:t>
            </w:r>
          </w:p>
        </w:tc>
        <w:tc>
          <w:tcPr>
            <w:tcW w:w="110" w:type="dxa"/>
            <w:tcBorders/>
            <w:vAlign w:val="center"/>
          </w:tcPr>
          <w:p>
            <w:pPr>
              <w:pStyle w:val="TableContents"/>
              <w:bidi w:val="0"/>
              <w:spacing w:before="0" w:after="283"/>
              <w:jc w:val="left"/>
              <w:rPr/>
            </w:pPr>
            <w:r>
              <w:rPr/>
              <w:t>)</w:t>
            </w:r>
          </w:p>
        </w:tc>
      </w:tr>
    </w:tbl>
    <w:p>
      <w:pPr>
        <w:pStyle w:val="TextBody"/>
        <w:bidi w:val="0"/>
        <w:spacing w:before="0" w:after="20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150"/>
        <w:gridCol w:w="60"/>
        <w:gridCol w:w="127"/>
        <w:gridCol w:w="1607"/>
        <w:gridCol w:w="127"/>
        <w:gridCol w:w="127"/>
        <w:gridCol w:w="127"/>
        <w:gridCol w:w="1607"/>
        <w:gridCol w:w="60"/>
        <w:gridCol w:w="60"/>
        <w:gridCol w:w="123"/>
        <w:gridCol w:w="1548"/>
        <w:gridCol w:w="123"/>
        <w:gridCol w:w="123"/>
        <w:gridCol w:w="123"/>
        <w:gridCol w:w="1548"/>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216"/>
              <w:jc w:val="left"/>
              <w:rPr/>
            </w:pPr>
            <w:r>
              <w:rPr/>
              <w:t> </w:t>
            </w:r>
          </w:p>
        </w:tc>
      </w:tr>
      <w:tr>
        <w:trPr/>
        <w:tc>
          <w:tcPr>
            <w:tcW w:w="215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Private passenger auto</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106.8%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128.3%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112.9%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118.1%</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129.5%</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104.4%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119.8%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92.6%</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Home and farm</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94.8%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173.2%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95.9%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195.1%</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57.9%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70.5%</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69.0%</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Commercial</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102.1%</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98.6%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133.6%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109.9%</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All other</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7" w:type="dxa"/>
            <w:tcBorders>
              <w:bottom w:val="single" w:sz="8" w:space="0" w:color="000000"/>
            </w:tcBorders>
            <w:shd w:fill="CCEEFF" w:val="clear"/>
            <w:tcMar>
              <w:bottom w:w="28" w:type="dxa"/>
            </w:tcMar>
            <w:vAlign w:val="center"/>
          </w:tcPr>
          <w:p>
            <w:pPr>
              <w:pStyle w:val="TableContents"/>
              <w:bidi w:val="0"/>
              <w:spacing w:before="0" w:after="283"/>
              <w:jc w:val="right"/>
              <w:rPr/>
            </w:pPr>
            <w:r>
              <w:rPr/>
              <w:t>33.3%</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7" w:type="dxa"/>
            <w:tcBorders>
              <w:bottom w:val="single" w:sz="8" w:space="0" w:color="000000"/>
            </w:tcBorders>
            <w:shd w:fill="CCEEFF" w:val="clear"/>
            <w:tcMar>
              <w:bottom w:w="28" w:type="dxa"/>
            </w:tcMar>
            <w:vAlign w:val="center"/>
          </w:tcPr>
          <w:p>
            <w:pPr>
              <w:pStyle w:val="TableContents"/>
              <w:bidi w:val="0"/>
              <w:spacing w:before="0" w:after="283"/>
              <w:jc w:val="right"/>
              <w:rPr/>
            </w:pPr>
            <w:r>
              <w:rPr/>
              <w:t>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pPr>
            <w:r>
              <w:rPr/>
              <w:t>35.8%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pPr>
            <w:r>
              <w:rPr/>
              <w:t>74.1%</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Combined ratio</w:t>
            </w:r>
          </w:p>
        </w:tc>
        <w:tc>
          <w:tcPr>
            <w:tcW w:w="60" w:type="dxa"/>
            <w:tcBorders/>
            <w:vAlign w:val="center"/>
          </w:tcPr>
          <w:p>
            <w:pPr>
              <w:pStyle w:val="TableContents"/>
              <w:bidi w:val="0"/>
              <w:spacing w:before="0" w:after="283"/>
              <w:jc w:val="left"/>
              <w:rPr/>
            </w:pPr>
            <w:r>
              <w:rPr/>
              <w:t> </w:t>
            </w:r>
          </w:p>
        </w:tc>
        <w:tc>
          <w:tcPr>
            <w:tcW w:w="127" w:type="dxa"/>
            <w:tcBorders>
              <w:bottom w:val="double" w:sz="6" w:space="0" w:color="000000"/>
            </w:tcBorders>
            <w:tcMar>
              <w:bottom w:w="28" w:type="dxa"/>
            </w:tcMar>
            <w:vAlign w:val="center"/>
          </w:tcPr>
          <w:p>
            <w:pPr>
              <w:pStyle w:val="TableContents"/>
              <w:bidi w:val="0"/>
              <w:spacing w:before="0" w:after="283"/>
              <w:jc w:val="left"/>
              <w:rPr/>
            </w:pPr>
            <w:r>
              <w:rPr/>
              <w:t> </w:t>
            </w:r>
          </w:p>
        </w:tc>
        <w:tc>
          <w:tcPr>
            <w:tcW w:w="1607" w:type="dxa"/>
            <w:tcBorders>
              <w:bottom w:val="double" w:sz="6" w:space="0" w:color="000000"/>
            </w:tcBorders>
            <w:tcMar>
              <w:bottom w:w="28" w:type="dxa"/>
            </w:tcMar>
            <w:vAlign w:val="center"/>
          </w:tcPr>
          <w:p>
            <w:pPr>
              <w:pStyle w:val="TableContents"/>
              <w:bidi w:val="0"/>
              <w:spacing w:before="0" w:after="283"/>
              <w:jc w:val="right"/>
              <w:rPr/>
            </w:pPr>
            <w:r>
              <w:rPr/>
              <w:t>102.0%</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bottom w:val="double" w:sz="6" w:space="0" w:color="000000"/>
            </w:tcBorders>
            <w:tcMar>
              <w:bottom w:w="28" w:type="dxa"/>
            </w:tcMar>
            <w:vAlign w:val="center"/>
          </w:tcPr>
          <w:p>
            <w:pPr>
              <w:pStyle w:val="TableContents"/>
              <w:bidi w:val="0"/>
              <w:spacing w:before="0" w:after="283"/>
              <w:jc w:val="left"/>
              <w:rPr/>
            </w:pPr>
            <w:r>
              <w:rPr/>
              <w:t> </w:t>
            </w:r>
          </w:p>
        </w:tc>
        <w:tc>
          <w:tcPr>
            <w:tcW w:w="1607" w:type="dxa"/>
            <w:tcBorders>
              <w:bottom w:val="double" w:sz="6" w:space="0" w:color="000000"/>
            </w:tcBorders>
            <w:tcMar>
              <w:bottom w:w="28" w:type="dxa"/>
            </w:tcMar>
            <w:vAlign w:val="center"/>
          </w:tcPr>
          <w:p>
            <w:pPr>
              <w:pStyle w:val="TableContents"/>
              <w:bidi w:val="0"/>
              <w:spacing w:before="0" w:after="283"/>
              <w:jc w:val="right"/>
              <w:rPr/>
            </w:pPr>
            <w:r>
              <w:rPr/>
              <w:t>114.4%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548" w:type="dxa"/>
            <w:tcBorders>
              <w:bottom w:val="double" w:sz="6" w:space="0" w:color="000000"/>
            </w:tcBorders>
            <w:tcMar>
              <w:bottom w:w="28" w:type="dxa"/>
            </w:tcMar>
            <w:vAlign w:val="center"/>
          </w:tcPr>
          <w:p>
            <w:pPr>
              <w:pStyle w:val="TableContents"/>
              <w:bidi w:val="0"/>
              <w:spacing w:before="0" w:after="283"/>
              <w:jc w:val="right"/>
              <w:rPr/>
            </w:pPr>
            <w:r>
              <w:rPr/>
              <w:t>109.3%</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548" w:type="dxa"/>
            <w:tcBorders>
              <w:bottom w:val="double" w:sz="6" w:space="0" w:color="000000"/>
            </w:tcBorders>
            <w:tcMar>
              <w:bottom w:w="28" w:type="dxa"/>
            </w:tcMar>
            <w:vAlign w:val="center"/>
          </w:tcPr>
          <w:p>
            <w:pPr>
              <w:pStyle w:val="TableContents"/>
              <w:bidi w:val="0"/>
              <w:spacing w:before="0" w:after="283"/>
              <w:jc w:val="right"/>
              <w:rPr/>
            </w:pPr>
            <w:r>
              <w:rPr/>
              <w:t>123.5%</w:t>
            </w:r>
          </w:p>
        </w:tc>
        <w:tc>
          <w:tcPr>
            <w:tcW w:w="75" w:type="dxa"/>
            <w:tcBorders/>
            <w:vAlign w:val="center"/>
          </w:tcPr>
          <w:p>
            <w:pPr>
              <w:pStyle w:val="TableContents"/>
              <w:bidi w:val="0"/>
              <w:spacing w:before="0" w:after="283"/>
              <w:jc w:val="left"/>
              <w:rPr/>
            </w:pPr>
            <w:r>
              <w:rPr/>
              <w:t> </w:t>
            </w:r>
          </w:p>
        </w:tc>
      </w:tr>
    </w:tbl>
    <w:p>
      <w:pPr>
        <w:pStyle w:val="TextBody"/>
        <w:bidi w:val="0"/>
        <w:spacing w:before="0" w:after="20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loss decreased $11,035, or 85.6%, for the three-month period ended September 30, 2023, compared to the same period in 2022. The total underwriting loss decreased $32,650, or 57.1%, for the nine-month period ended September 30, 2023, compared to the same period in 2022. These results were driven by the factors discussed in the Loss and Loss Adjustment Expenses section above.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combined ratio decreased 12.4 percentage points in the three-month period ended September 30, 2023, compared to the same period in 2022. The overall combined ratio decreased 14.2 percentage points in the nine-month period ended September 30, 2023, compared to the same period in 2022. These results were driven by the factors discussed in the Loss and Loss Adjustment Expenses section above.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and Other Income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fee and other income of $455 and $1,228 for the three and nine months ended September 30, 2023, respectively, compared to $476 and $1,319 for the three and nine months ended September 30, 2022, respectively. Fee income is largely attributable to the non-standard auto segment and is a key component in measuring its profitability. The decrease in fee and other income for the nine-month period ended September 30, 2023, was driven by a shifting mix of business in the Chicago market as well as miscellaneous income from the sale of property in the first quarter of the prior year.</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average cash and invested assets, net investment income, and return on average cash and invested assets for the reported periods:</w:t>
      </w:r>
    </w:p>
    <w:tbl>
      <w:tblPr>
        <w:tblW w:w="10205" w:type="dxa"/>
        <w:jc w:val="left"/>
        <w:tblInd w:w="0" w:type="dxa"/>
        <w:tblLayout w:type="fixed"/>
        <w:tblCellMar>
          <w:top w:w="0" w:type="dxa"/>
          <w:left w:w="0" w:type="dxa"/>
          <w:bottom w:w="0" w:type="dxa"/>
          <w:right w:w="0" w:type="dxa"/>
        </w:tblCellMar>
      </w:tblPr>
      <w:tblGrid>
        <w:gridCol w:w="3594"/>
        <w:gridCol w:w="60"/>
        <w:gridCol w:w="225"/>
        <w:gridCol w:w="1290"/>
        <w:gridCol w:w="96"/>
        <w:gridCol w:w="96"/>
        <w:gridCol w:w="225"/>
        <w:gridCol w:w="1290"/>
        <w:gridCol w:w="60"/>
        <w:gridCol w:w="60"/>
        <w:gridCol w:w="218"/>
        <w:gridCol w:w="1252"/>
        <w:gridCol w:w="93"/>
        <w:gridCol w:w="93"/>
        <w:gridCol w:w="218"/>
        <w:gridCol w:w="1252"/>
        <w:gridCol w:w="83"/>
      </w:tblGrid>
      <w:tr>
        <w:trPr/>
        <w:tc>
          <w:tcPr>
            <w:tcW w:w="3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83" w:type="dxa"/>
            <w:tcBorders/>
            <w:vAlign w:val="center"/>
          </w:tcPr>
          <w:p>
            <w:pPr>
              <w:pStyle w:val="TableContents"/>
              <w:bidi w:val="0"/>
              <w:spacing w:before="0" w:after="283"/>
              <w:jc w:val="left"/>
              <w:rPr/>
            </w:pPr>
            <w:r>
              <w:rPr/>
              <w:t> </w:t>
            </w:r>
          </w:p>
        </w:tc>
      </w:tr>
      <w:tr>
        <w:trPr/>
        <w:tc>
          <w:tcPr>
            <w:tcW w:w="3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3" w:type="dxa"/>
            <w:tcBorders/>
            <w:vAlign w:val="center"/>
          </w:tcPr>
          <w:p>
            <w:pPr>
              <w:pStyle w:val="TableContents"/>
              <w:bidi w:val="0"/>
              <w:spacing w:before="0" w:after="283"/>
              <w:ind w:left="0" w:right="0" w:hanging="216"/>
              <w:jc w:val="left"/>
              <w:rPr/>
            </w:pPr>
            <w:r>
              <w:rPr/>
              <w:t> </w:t>
            </w:r>
          </w:p>
        </w:tc>
      </w:tr>
      <w:tr>
        <w:trPr/>
        <w:tc>
          <w:tcPr>
            <w:tcW w:w="3594" w:type="dxa"/>
            <w:tcBorders/>
            <w:shd w:fill="CCEEFF" w:val="clear"/>
            <w:vAlign w:val="center"/>
          </w:tcPr>
          <w:p>
            <w:pPr>
              <w:pStyle w:val="TableContents"/>
              <w:bidi w:val="0"/>
              <w:spacing w:before="0" w:after="283"/>
              <w:jc w:val="left"/>
              <w:rPr/>
            </w:pPr>
            <w:r>
              <w:rPr/>
              <w:t>Average cash and invested assets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90" w:type="dxa"/>
            <w:tcBorders/>
            <w:shd w:fill="CCEEFF" w:val="clear"/>
            <w:vAlign w:val="center"/>
          </w:tcPr>
          <w:p>
            <w:pPr>
              <w:pStyle w:val="TableContents"/>
              <w:bidi w:val="0"/>
              <w:spacing w:before="0" w:after="283"/>
              <w:jc w:val="right"/>
              <w:rPr/>
            </w:pPr>
            <w:r>
              <w:rPr/>
              <w:t>399,408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90" w:type="dxa"/>
            <w:tcBorders/>
            <w:shd w:fill="CCEEFF" w:val="clear"/>
            <w:vAlign w:val="center"/>
          </w:tcPr>
          <w:p>
            <w:pPr>
              <w:pStyle w:val="TableContents"/>
              <w:bidi w:val="0"/>
              <w:spacing w:before="0" w:after="283"/>
              <w:jc w:val="right"/>
              <w:rPr/>
            </w:pPr>
            <w:r>
              <w:rPr/>
              <w:t>436,714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402,508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468,026</w:t>
            </w:r>
          </w:p>
        </w:tc>
        <w:tc>
          <w:tcPr>
            <w:tcW w:w="83" w:type="dxa"/>
            <w:tcBorders/>
            <w:shd w:fill="CCEEFF" w:val="clear"/>
            <w:vAlign w:val="center"/>
          </w:tcPr>
          <w:p>
            <w:pPr>
              <w:pStyle w:val="TableContents"/>
              <w:bidi w:val="0"/>
              <w:spacing w:before="0" w:after="283"/>
              <w:jc w:val="left"/>
              <w:rPr/>
            </w:pPr>
            <w:r>
              <w:rPr/>
              <w:t> </w:t>
            </w:r>
          </w:p>
        </w:tc>
      </w:tr>
      <w:tr>
        <w:trPr/>
        <w:tc>
          <w:tcPr>
            <w:tcW w:w="3594" w:type="dxa"/>
            <w:tcBorders/>
            <w:vAlign w:val="center"/>
          </w:tcPr>
          <w:p>
            <w:pPr>
              <w:pStyle w:val="TableContents"/>
              <w:bidi w:val="0"/>
              <w:spacing w:before="0" w:after="283"/>
              <w:jc w:val="left"/>
              <w:rPr/>
            </w:pPr>
            <w:r>
              <w:rPr/>
              <w:t>Net investment income</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90" w:type="dxa"/>
            <w:tcBorders/>
            <w:vAlign w:val="center"/>
          </w:tcPr>
          <w:p>
            <w:pPr>
              <w:pStyle w:val="TableContents"/>
              <w:bidi w:val="0"/>
              <w:spacing w:before="0" w:after="283"/>
              <w:jc w:val="right"/>
              <w:rPr/>
            </w:pPr>
            <w:r>
              <w:rPr/>
              <w:t>2,751</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90" w:type="dxa"/>
            <w:tcBorders/>
            <w:vAlign w:val="center"/>
          </w:tcPr>
          <w:p>
            <w:pPr>
              <w:pStyle w:val="TableContents"/>
              <w:bidi w:val="0"/>
              <w:spacing w:before="0" w:after="283"/>
              <w:jc w:val="right"/>
              <w:rPr/>
            </w:pPr>
            <w:r>
              <w:rPr/>
              <w:t>2,035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7,495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5,703</w:t>
            </w:r>
          </w:p>
        </w:tc>
        <w:tc>
          <w:tcPr>
            <w:tcW w:w="83" w:type="dxa"/>
            <w:tcBorders/>
            <w:vAlign w:val="center"/>
          </w:tcPr>
          <w:p>
            <w:pPr>
              <w:pStyle w:val="TableContents"/>
              <w:bidi w:val="0"/>
              <w:spacing w:before="0" w:after="283"/>
              <w:jc w:val="left"/>
              <w:rPr/>
            </w:pPr>
            <w:r>
              <w:rPr/>
              <w:t> </w:t>
            </w:r>
          </w:p>
        </w:tc>
      </w:tr>
      <w:tr>
        <w:trPr/>
        <w:tc>
          <w:tcPr>
            <w:tcW w:w="3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3594" w:type="dxa"/>
            <w:tcBorders/>
            <w:vAlign w:val="center"/>
          </w:tcPr>
          <w:p>
            <w:pPr>
              <w:pStyle w:val="TableContents"/>
              <w:bidi w:val="0"/>
              <w:spacing w:before="0" w:after="283"/>
              <w:jc w:val="left"/>
              <w:rPr/>
            </w:pPr>
            <w:r>
              <w:rPr/>
              <w:t>Gross return on average cash and invested assets</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3.6%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3.3%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2.4%</w:t>
            </w:r>
          </w:p>
        </w:tc>
        <w:tc>
          <w:tcPr>
            <w:tcW w:w="83" w:type="dxa"/>
            <w:tcBorders/>
            <w:vAlign w:val="center"/>
          </w:tcPr>
          <w:p>
            <w:pPr>
              <w:pStyle w:val="TableContents"/>
              <w:bidi w:val="0"/>
              <w:spacing w:before="0" w:after="283"/>
              <w:jc w:val="left"/>
              <w:rPr/>
            </w:pPr>
            <w:r>
              <w:rPr/>
              <w:t> </w:t>
            </w:r>
          </w:p>
        </w:tc>
      </w:tr>
      <w:tr>
        <w:trPr/>
        <w:tc>
          <w:tcPr>
            <w:tcW w:w="3594" w:type="dxa"/>
            <w:tcBorders/>
            <w:shd w:fill="CCEEFF" w:val="clear"/>
            <w:vAlign w:val="center"/>
          </w:tcPr>
          <w:p>
            <w:pPr>
              <w:pStyle w:val="TableContents"/>
              <w:bidi w:val="0"/>
              <w:spacing w:before="0" w:after="283"/>
              <w:jc w:val="left"/>
              <w:rPr/>
            </w:pPr>
            <w:r>
              <w:rPr/>
              <w:t>Net return on average cash and invested assets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1.6%</w:t>
            </w:r>
          </w:p>
        </w:tc>
        <w:tc>
          <w:tcPr>
            <w:tcW w:w="83" w:type="dxa"/>
            <w:tcBorders/>
            <w:shd w:fill="CCEEFF" w:val="clear"/>
            <w:vAlign w:val="center"/>
          </w:tcPr>
          <w:p>
            <w:pPr>
              <w:pStyle w:val="TableContents"/>
              <w:bidi w:val="0"/>
              <w:spacing w:before="0" w:after="283"/>
              <w:jc w:val="left"/>
              <w:rPr/>
            </w:pPr>
            <w:r>
              <w:rPr/>
              <w:t> </w:t>
            </w:r>
          </w:p>
        </w:tc>
      </w:tr>
      <w:tr>
        <w:trPr/>
        <w:tc>
          <w:tcPr>
            <w:tcW w:w="3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increased $716 for the three months ended September 30, 2023, compared to the three months ended September 30, 2022. Net investment income increased $1,792 for the nine months ended September 30, 2023, compared to the nine months ended September 30, 2022. These increases were primarily driven by the rising interest rate environment which resulted in higher reinvestment rates in our fixed income portfolio.</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and net return on average cash and invested assets increased year-over-year, driven by the higher net investment income and a higher proportion of the equity portfolio being invested in high dividend yield equities in 2023, along with a decrease in average cash and invested assets (measured at fair value). This decrease in average cash and invested assets was driven by lower fixed income fair values caused by an increasing interest rate environment and challenging equity market conditions particularly during the middle and later stages of 2022, combined with investment sales as a result of an unusually high number of weather-related losses in 2022.</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Investment Gains (Losses)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tbl>
      <w:tblPr>
        <w:tblW w:w="10205" w:type="dxa"/>
        <w:jc w:val="left"/>
        <w:tblInd w:w="0" w:type="dxa"/>
        <w:tblLayout w:type="fixed"/>
        <w:tblCellMar>
          <w:top w:w="0" w:type="dxa"/>
          <w:left w:w="0" w:type="dxa"/>
          <w:bottom w:w="0" w:type="dxa"/>
          <w:right w:w="0" w:type="dxa"/>
        </w:tblCellMar>
      </w:tblPr>
      <w:tblGrid>
        <w:gridCol w:w="3864"/>
        <w:gridCol w:w="60"/>
        <w:gridCol w:w="246"/>
        <w:gridCol w:w="1121"/>
        <w:gridCol w:w="167"/>
        <w:gridCol w:w="105"/>
        <w:gridCol w:w="246"/>
        <w:gridCol w:w="1121"/>
        <w:gridCol w:w="95"/>
        <w:gridCol w:w="60"/>
        <w:gridCol w:w="216"/>
        <w:gridCol w:w="1167"/>
        <w:gridCol w:w="146"/>
        <w:gridCol w:w="92"/>
        <w:gridCol w:w="216"/>
        <w:gridCol w:w="1167"/>
        <w:gridCol w:w="116"/>
      </w:tblGrid>
      <w:tr>
        <w:trPr/>
        <w:tc>
          <w:tcPr>
            <w:tcW w:w="3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6" w:type="dxa"/>
            <w:tcBorders/>
            <w:vAlign w:val="center"/>
          </w:tcPr>
          <w:p>
            <w:pPr>
              <w:pStyle w:val="TableContents"/>
              <w:bidi w:val="0"/>
              <w:spacing w:before="0" w:after="283"/>
              <w:jc w:val="left"/>
              <w:rPr/>
            </w:pPr>
            <w:r>
              <w:rPr/>
              <w:t> </w:t>
            </w:r>
          </w:p>
        </w:tc>
      </w:tr>
      <w:tr>
        <w:trPr/>
        <w:tc>
          <w:tcPr>
            <w:tcW w:w="3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6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ind w:left="0" w:right="0" w:hanging="216"/>
              <w:jc w:val="left"/>
              <w:rPr/>
            </w:pPr>
            <w:r>
              <w:rPr/>
              <w:t> </w:t>
            </w:r>
          </w:p>
        </w:tc>
      </w:tr>
      <w:tr>
        <w:trPr/>
        <w:tc>
          <w:tcPr>
            <w:tcW w:w="3864"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722</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1,286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13,810</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3,606</w:t>
            </w:r>
          </w:p>
        </w:tc>
        <w:tc>
          <w:tcPr>
            <w:tcW w:w="116" w:type="dxa"/>
            <w:tcBorders/>
            <w:shd w:fill="CCEEFF" w:val="clear"/>
            <w:vAlign w:val="center"/>
          </w:tcPr>
          <w:p>
            <w:pPr>
              <w:pStyle w:val="TableContents"/>
              <w:bidi w:val="0"/>
              <w:spacing w:before="0" w:after="283"/>
              <w:jc w:val="left"/>
              <w:rPr/>
            </w:pPr>
            <w:r>
              <w:rPr/>
              <w:t> </w:t>
            </w:r>
          </w:p>
        </w:tc>
      </w:tr>
      <w:tr>
        <w:trPr/>
        <w:tc>
          <w:tcPr>
            <w:tcW w:w="3864" w:type="dxa"/>
            <w:tcBorders/>
            <w:vAlign w:val="center"/>
          </w:tcPr>
          <w:p>
            <w:pPr>
              <w:pStyle w:val="TableContents"/>
              <w:bidi w:val="0"/>
              <w:spacing w:before="0" w:after="283"/>
              <w:jc w:val="left"/>
              <w:rPr/>
            </w:pPr>
            <w:r>
              <w:rPr/>
              <w:t>Gross realized losses, excluding credit impairment losses</w:t>
            </w:r>
          </w:p>
        </w:tc>
        <w:tc>
          <w:tcPr>
            <w:tcW w:w="6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right"/>
              <w:rPr/>
            </w:pPr>
            <w:r>
              <w:rPr/>
              <w:t>(191</w:t>
            </w:r>
          </w:p>
        </w:tc>
        <w:tc>
          <w:tcPr>
            <w:tcW w:w="167" w:type="dxa"/>
            <w:tcBorders/>
            <w:vAlign w:val="center"/>
          </w:tcPr>
          <w:p>
            <w:pPr>
              <w:pStyle w:val="TableContents"/>
              <w:bidi w:val="0"/>
              <w:spacing w:before="0" w:after="283"/>
              <w:jc w:val="left"/>
              <w:rPr/>
            </w:pPr>
            <w:r>
              <w:rPr/>
              <w:t>)</w:t>
            </w:r>
          </w:p>
        </w:tc>
        <w:tc>
          <w:tcPr>
            <w:tcW w:w="105"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right"/>
              <w:rPr/>
            </w:pPr>
            <w:r>
              <w:rPr/>
              <w:t>(1,203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(1,812</w:t>
            </w:r>
          </w:p>
        </w:tc>
        <w:tc>
          <w:tcPr>
            <w:tcW w:w="146"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(1,558</w:t>
            </w:r>
          </w:p>
        </w:tc>
        <w:tc>
          <w:tcPr>
            <w:tcW w:w="116" w:type="dxa"/>
            <w:tcBorders/>
            <w:vAlign w:val="center"/>
          </w:tcPr>
          <w:p>
            <w:pPr>
              <w:pStyle w:val="TableContents"/>
              <w:bidi w:val="0"/>
              <w:spacing w:before="0" w:after="283"/>
              <w:jc w:val="left"/>
              <w:rPr/>
            </w:pPr>
            <w:r>
              <w:rPr/>
              <w:t>)</w:t>
            </w:r>
          </w:p>
        </w:tc>
      </w:tr>
      <w:tr>
        <w:trPr/>
        <w:tc>
          <w:tcPr>
            <w:tcW w:w="3864" w:type="dxa"/>
            <w:tcBorders/>
            <w:shd w:fill="CCEEFF" w:val="clear"/>
            <w:vAlign w:val="center"/>
          </w:tcPr>
          <w:p>
            <w:pPr>
              <w:pStyle w:val="TableContents"/>
              <w:bidi w:val="0"/>
              <w:spacing w:before="0" w:after="283"/>
              <w:jc w:val="left"/>
              <w:rPr/>
            </w:pPr>
            <w:r>
              <w:rPr/>
              <w:t>Net realized gains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531</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11,998</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2,048</w:t>
            </w:r>
          </w:p>
        </w:tc>
        <w:tc>
          <w:tcPr>
            <w:tcW w:w="116" w:type="dxa"/>
            <w:tcBorders/>
            <w:shd w:fill="CCEEFF" w:val="clear"/>
            <w:vAlign w:val="center"/>
          </w:tcPr>
          <w:p>
            <w:pPr>
              <w:pStyle w:val="TableContents"/>
              <w:bidi w:val="0"/>
              <w:spacing w:before="0" w:after="283"/>
              <w:jc w:val="left"/>
              <w:rPr/>
            </w:pPr>
            <w:r>
              <w:rPr/>
              <w:t> </w:t>
            </w:r>
          </w:p>
        </w:tc>
      </w:tr>
      <w:tr>
        <w:trPr/>
        <w:tc>
          <w:tcPr>
            <w:tcW w:w="3864" w:type="dxa"/>
            <w:tcBorders/>
            <w:vAlign w:val="center"/>
          </w:tcPr>
          <w:p>
            <w:pPr>
              <w:pStyle w:val="TableContents"/>
              <w:bidi w:val="0"/>
              <w:spacing w:before="0" w:after="283"/>
              <w:jc w:val="left"/>
              <w:rPr/>
            </w:pPr>
            <w:r>
              <w:rPr/>
              <w:t>Change in net unrealized gains on equity securities</w:t>
            </w:r>
          </w:p>
        </w:tc>
        <w:tc>
          <w:tcPr>
            <w:tcW w:w="6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right"/>
              <w:rPr/>
            </w:pPr>
            <w:r>
              <w:rPr/>
              <w:t>(1,758</w:t>
            </w:r>
          </w:p>
        </w:tc>
        <w:tc>
          <w:tcPr>
            <w:tcW w:w="167" w:type="dxa"/>
            <w:tcBorders/>
            <w:vAlign w:val="center"/>
          </w:tcPr>
          <w:p>
            <w:pPr>
              <w:pStyle w:val="TableContents"/>
              <w:bidi w:val="0"/>
              <w:spacing w:before="0" w:after="283"/>
              <w:jc w:val="left"/>
              <w:rPr/>
            </w:pPr>
            <w:r>
              <w:rPr/>
              <w:t>)</w:t>
            </w:r>
          </w:p>
        </w:tc>
        <w:tc>
          <w:tcPr>
            <w:tcW w:w="105"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right"/>
              <w:rPr/>
            </w:pPr>
            <w:r>
              <w:rPr/>
              <w:t>(2,951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(11,983</w:t>
            </w:r>
          </w:p>
        </w:tc>
        <w:tc>
          <w:tcPr>
            <w:tcW w:w="146"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(21,580</w:t>
            </w:r>
          </w:p>
        </w:tc>
        <w:tc>
          <w:tcPr>
            <w:tcW w:w="116" w:type="dxa"/>
            <w:tcBorders/>
            <w:vAlign w:val="center"/>
          </w:tcPr>
          <w:p>
            <w:pPr>
              <w:pStyle w:val="TableContents"/>
              <w:bidi w:val="0"/>
              <w:spacing w:before="0" w:after="283"/>
              <w:jc w:val="left"/>
              <w:rPr/>
            </w:pPr>
            <w:r>
              <w:rPr/>
              <w:t>)</w:t>
            </w:r>
          </w:p>
        </w:tc>
      </w:tr>
      <w:tr>
        <w:trPr/>
        <w:tc>
          <w:tcPr>
            <w:tcW w:w="3864"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(1,227</w:t>
            </w:r>
          </w:p>
        </w:tc>
        <w:tc>
          <w:tcPr>
            <w:tcW w:w="167"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(2,868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7"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7" w:type="dxa"/>
            <w:tcBorders>
              <w:bottom w:val="double" w:sz="6" w:space="0" w:color="000000"/>
            </w:tcBorders>
            <w:shd w:fill="CCEEFF" w:val="clear"/>
            <w:tcMar>
              <w:bottom w:w="28" w:type="dxa"/>
            </w:tcMar>
            <w:vAlign w:val="center"/>
          </w:tcPr>
          <w:p>
            <w:pPr>
              <w:pStyle w:val="TableContents"/>
              <w:bidi w:val="0"/>
              <w:spacing w:before="0" w:after="283"/>
              <w:jc w:val="right"/>
              <w:rPr/>
            </w:pPr>
            <w:r>
              <w:rPr/>
              <w:t>(19,532</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realized gains of $531 and $11,998 for the three and nine months ended September 30, 2023, respectively, compared to net realized gains of $83 and $2,048 for the three and nine months ended September 30, 2022, respectively. The year-to-date increase in net realized gains was primarily the result of a strategic liquidation of a portfolio of equity securities in the first quarter of 2023. The gross realized gains from the sale of these securities were largely offset by the elimination of the unrealized gain position of these securities. No credit impairment losses were reported during any of the periods presented.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decrease in net unrealized gains on equity securities of $1,758 and $11,983 during the three and nine months ended September 30, 2023, respectively, and a decrease in net unrealized gains on equity securities of $2,951 and $21,580 during the three and nine months ended September 30, 2022, respectively. The current period year-to-date change in net unrealized gains on equity securities was driven by the equity portfolio liquidation noted above, additional sales of equity securities during the current quarter, and the impact of changes in fair value attributable to equity market volatility. The prior year decreases were driven by the impact of changes in fair value attributable to unfavorable equity markets.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are classified as available for sale because we will, from time to time, make sales of securities that are not impaired, consistent with our investment goals and policies. The fixed income portion of the portfolio experienced net unrealized losses of $9,183 and net unrealized losses of $6,068 during the three and nine months ended September 30, 2023, respectively, compared to net unrealized losses of $12,727 and $49,947 during the three and nine months ended September 30, 2022,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before Income Taxes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we had a pre-tax income of $128 compared to a pre-tax loss of $13,243 for the three months ended September 30, 2022. For the nine months ended September 30, 2023, we had a pre-tax loss of $15,789 compared to pre-tax loss of $69,687 for the nine months ended September 30, 2022. These year-over-year improvements were largely attributable to the significant catastrophe losses during the second and third quarters of 2022 and significantly higher investment losses during the first nine months of 2022, partially offset by year-to-date unfavorable prior year reserve development during 2023 combined with year-to-date favorable prior year reserve development during 2022.</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benefit of $170 for the three months ended September 30, 2023, compared to an income tax benefit of $3,074 for the three months ended September 30, 2022. Our effective tax rate for the third quarter of 2023 was (132.8)% compared to an effective tax rate of 23.2% for the third quarter of 2022. The elevated 2023 third quarter effective tax rate was driven by the level of net income during the period and small modifications made to the annual effective income tax rate between the second and third quarters of 2023.</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benefit of $3,352 for the nine months ended September 30, 2023, compared to income tax benefit of $14,921 for the nine months ended September 30, 2022. Our effective tax rate for the first nine months of 2023 was 21.2% compared to an effective tax rate of 21.4% for the first nine months of 2022.</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we had net income before non-controlling interest of $298 compared to a net loss of $10,169 for the three months ended September 30, 2022. For the nine months ended September 30, 2023, we had a net loss before non-controlling interest of $12,437 compared to net loss of $54,766 for the nine months ended September 30, 2022. These year-over-year improvements were largely attributable to the significant catastrophe losses during the second and third quarters of 2022 and significantly higher investment losses during the first nine months of 2022, partially offset by year-to-date unfavorable prior year reserve development during 2023 combined with year-to-date favorable prior year reserve development during 2022.</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on Average Equity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we had annualized return on average equity, after non-controlling interest, of 0.4% compared to annualized return on average equity, after non-controlling interest, of (15.4)% for the three months ended September 30, 2022.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we had annualized return on average equity, after non-controlling interest, of (6.7)% compared to annualized return on average equity, after non-controlling interest, of (24.3)% for the nine months ended September 30, 2022.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equity is calculated as the average between beginning and ending equity, excluding non-controlling interest, for the period.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2022 Annual Report. There have been no changes in our critical accounting policies from December 31, 2022.</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and cash equivalents for the nine months ended September 30, 2023 and 2022, were as follows:</w:t>
      </w:r>
    </w:p>
    <w:tbl>
      <w:tblPr>
        <w:tblW w:w="7737" w:type="dxa"/>
        <w:jc w:val="left"/>
        <w:tblInd w:w="0" w:type="dxa"/>
        <w:tblLayout w:type="fixed"/>
        <w:tblCellMar>
          <w:top w:w="0" w:type="dxa"/>
          <w:left w:w="0" w:type="dxa"/>
          <w:bottom w:w="0" w:type="dxa"/>
          <w:right w:w="0" w:type="dxa"/>
        </w:tblCellMar>
      </w:tblPr>
      <w:tblGrid>
        <w:gridCol w:w="3980"/>
        <w:gridCol w:w="60"/>
        <w:gridCol w:w="258"/>
        <w:gridCol w:w="1393"/>
        <w:gridCol w:w="175"/>
        <w:gridCol w:w="110"/>
        <w:gridCol w:w="258"/>
        <w:gridCol w:w="1393"/>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6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216"/>
              <w:jc w:val="left"/>
              <w:rPr/>
            </w:pPr>
            <w:r>
              <w:rPr/>
              <w:t> </w:t>
            </w:r>
          </w:p>
        </w:tc>
      </w:tr>
      <w:tr>
        <w:trPr/>
        <w:tc>
          <w:tcPr>
            <w:tcW w:w="3980"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393" w:type="dxa"/>
            <w:tcBorders/>
            <w:shd w:fill="CCEEFF" w:val="clear"/>
            <w:vAlign w:val="center"/>
          </w:tcPr>
          <w:p>
            <w:pPr>
              <w:pStyle w:val="TableContents"/>
              <w:bidi w:val="0"/>
              <w:spacing w:before="0" w:after="283"/>
              <w:jc w:val="right"/>
              <w:rPr/>
            </w:pPr>
            <w:r>
              <w:rPr/>
              <w:t>(3,021</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393" w:type="dxa"/>
            <w:tcBorders/>
            <w:shd w:fill="CCEEFF" w:val="clear"/>
            <w:vAlign w:val="center"/>
          </w:tcPr>
          <w:p>
            <w:pPr>
              <w:pStyle w:val="TableContents"/>
              <w:bidi w:val="0"/>
              <w:spacing w:before="0" w:after="283"/>
              <w:jc w:val="right"/>
              <w:rPr/>
            </w:pPr>
            <w:r>
              <w:rPr/>
              <w:t>(24,680</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980" w:type="dxa"/>
            <w:tcBorders/>
            <w:vAlign w:val="center"/>
          </w:tcPr>
          <w:p>
            <w:pPr>
              <w:pStyle w:val="TableContents"/>
              <w:bidi w:val="0"/>
              <w:spacing w:before="0" w:after="283"/>
              <w:jc w:val="left"/>
              <w:rPr/>
            </w:pPr>
            <w:r>
              <w:rPr/>
              <w:t>Net cash flows from investing activities</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(2,021</w:t>
            </w:r>
          </w:p>
        </w:tc>
        <w:tc>
          <w:tcPr>
            <w:tcW w:w="175"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18,639</w:t>
            </w:r>
          </w:p>
        </w:tc>
        <w:tc>
          <w:tcPr>
            <w:tcW w:w="110" w:type="dxa"/>
            <w:tcBorders/>
            <w:vAlign w:val="center"/>
          </w:tcPr>
          <w:p>
            <w:pPr>
              <w:pStyle w:val="TableContents"/>
              <w:bidi w:val="0"/>
              <w:spacing w:before="0" w:after="283"/>
              <w:ind w:left="0" w:right="0" w:hanging="216"/>
              <w:jc w:val="left"/>
              <w:rPr/>
            </w:pPr>
            <w:r>
              <w:rPr/>
              <w:t> </w:t>
            </w:r>
          </w:p>
        </w:tc>
      </w:tr>
      <w:tr>
        <w:trPr/>
        <w:tc>
          <w:tcPr>
            <w:tcW w:w="3980"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bidi w:val="0"/>
              <w:spacing w:before="0" w:after="283"/>
              <w:jc w:val="right"/>
              <w:rPr/>
            </w:pPr>
            <w:r>
              <w:rPr/>
              <w:t>(7,454</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bidi w:val="0"/>
              <w:spacing w:before="0" w:after="283"/>
              <w:jc w:val="right"/>
              <w:rPr/>
            </w:pPr>
            <w:r>
              <w:rPr/>
              <w:t>(10,305</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980" w:type="dxa"/>
            <w:tcBorders/>
            <w:vAlign w:val="center"/>
          </w:tcPr>
          <w:p>
            <w:pPr>
              <w:pStyle w:val="TableContents"/>
              <w:bidi w:val="0"/>
              <w:spacing w:before="0" w:after="283"/>
              <w:jc w:val="left"/>
              <w:rPr/>
            </w:pPr>
            <w:r>
              <w:rPr/>
              <w:t>Net decrease in cash and cash equivalents</w:t>
            </w:r>
          </w:p>
        </w:tc>
        <w:tc>
          <w:tcPr>
            <w:tcW w:w="60"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1393" w:type="dxa"/>
            <w:tcBorders>
              <w:bottom w:val="double" w:sz="6" w:space="0" w:color="000000"/>
            </w:tcBorders>
            <w:tcMar>
              <w:bottom w:w="28" w:type="dxa"/>
            </w:tcMar>
            <w:vAlign w:val="center"/>
          </w:tcPr>
          <w:p>
            <w:pPr>
              <w:pStyle w:val="TableContents"/>
              <w:bidi w:val="0"/>
              <w:spacing w:before="0" w:after="283"/>
              <w:jc w:val="right"/>
              <w:rPr/>
            </w:pPr>
            <w:r>
              <w:rPr/>
              <w:t>(12,496</w:t>
            </w:r>
          </w:p>
        </w:tc>
        <w:tc>
          <w:tcPr>
            <w:tcW w:w="175"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1393" w:type="dxa"/>
            <w:tcBorders>
              <w:bottom w:val="double" w:sz="6" w:space="0" w:color="000000"/>
            </w:tcBorders>
            <w:tcMar>
              <w:bottom w:w="28" w:type="dxa"/>
            </w:tcMar>
            <w:vAlign w:val="center"/>
          </w:tcPr>
          <w:p>
            <w:pPr>
              <w:pStyle w:val="TableContents"/>
              <w:bidi w:val="0"/>
              <w:spacing w:before="0" w:after="283"/>
              <w:jc w:val="right"/>
              <w:rPr/>
            </w:pPr>
            <w:r>
              <w:rPr/>
              <w:t>(16,346</w:t>
            </w:r>
          </w:p>
        </w:tc>
        <w:tc>
          <w:tcPr>
            <w:tcW w:w="110" w:type="dxa"/>
            <w:tcBorders/>
            <w:vAlign w:val="center"/>
          </w:tcPr>
          <w:p>
            <w:pPr>
              <w:pStyle w:val="TableContents"/>
              <w:bidi w:val="0"/>
              <w:spacing w:before="0" w:after="283"/>
              <w:jc w:val="left"/>
              <w:rPr/>
            </w:pPr>
            <w:r>
              <w:rPr/>
              <w:t>)</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net cash used by operating activities totaled $3,021 compared to $24,680 a year ago. This decrease was primarily driven by lower claim payments during the current period and higher levels of cash received for premiums.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net cash used by investing activities totaled $2,021 compared to net cash provided of $18,639 a year ago. This change was primarily attributable to a decrease in maturities and sales of fixed income securities and an increase in purchases of fixed income securities in the current year compared to the prior year, partially offset by an increase in sales of equity securities and a decrease in purchases of equity securities.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net cash used by financing activities totaled $7,454 compared to $10,305 a year ago. This decrease in cash used was attributable to an installment payment of $6,667 on the Westminster consideration payable during the first quarter of 2022, partially offset by an increase in share repurchases during the first nine months of 2023 compared to the first nine months of 2022.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a principal source of long-term liquidity will be dividend payments from our directly-owned subsidiaries.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surplus as regards policyholders as of the preceding December 31, or (ii) the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amount available for payment of dividends from Nodak Insurance to NI Holdings during 2023 without the prior approval of the North Dakota Insurance Department based upon the statutory net loss of Nodak Insurance during the year ended December 31, 2022.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nine months ended September 30, 2023. The Nodak Insurance Board of Directors declared and Nodak Insurance paid dividends of $3,000 to NI Holdings during the year ended December 31, 2022.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re-domesticated from Illinois to North Dakota during 2021 and is now subject to the same dividend restrictions as Nodak Insurance. There is no amount available for payment of dividends from Direct Auto to NI Holdings during 2023 without the prior approval of the North Dakota Insurance Department based upon the statutory net loss of Direct Auto during the year ended December 31, 2022. No dividends were declared or paid by Direct Auto during the nine months ended September 30, 2023, or the year ended December 31, 2022.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re-domesticated from Maryland to North Dakota during 2021 and is now subject to the same dividend restrictions as Nodak Insurance. There is no amount available for payment of dividends from Westminster to NI Holdings during 2023 without the prior approval of the North Dakota Insurance Department based upon the statutory net loss of Westminster during the year ended December 31, 2022. No dividends were declared or paid by Westminster during the nine months ended September 30, 2023, or the year ended December 31, 2022.</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market risk as of September 30, 2023, indicates there have been no material changes in the quantitative and qualitative disclosures from those in Part II, Item 7A, “Quantitative and Qualitative Disclosures About Market Risk” in our 2022 Annual Report.</w:t>
      </w:r>
    </w:p>
    <w:p>
      <w:pPr>
        <w:pStyle w:val="TextBody"/>
        <w:bidi w:val="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4. - Controls and Procedures</w:t>
      </w:r>
    </w:p>
    <w:p>
      <w:pPr>
        <w:pStyle w:val="TextBody"/>
        <w:bidi w:val="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Evaluation of Disclosure Controls and Procedures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Changes in Internal Controls over Financial Reporting</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center"/>
        <w:rPr>
          <w:rFonts w:ascii="Times New Roman;Times;Serif" w:hAnsi="Times New Roman;Times;Serif"/>
          <w:b/>
          <w:i w:val="false"/>
          <w:caps/>
          <w:sz w:val="20"/>
        </w:rPr>
      </w:pPr>
      <w:bookmarkStart w:id="15" w:name="a_013"/>
      <w:bookmarkEnd w:id="15"/>
      <w:r>
        <w:rPr>
          <w:rFonts w:ascii="Times New Roman;Times;Serif" w:hAnsi="Times New Roman;Times;Serif"/>
          <w:b/>
          <w:i w:val="false"/>
          <w:caps/>
          <w:sz w:val="20"/>
        </w:rPr>
        <w:t>Part II. - OTHER INFORMATION</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1. - Legal Proceedings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1A. - Risk Factors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assessment of our risk factors from those set forth in Part I, Item 1A, “Risk Factors” in our 2022 Annual Report.</w:t>
      </w:r>
    </w:p>
    <w:p>
      <w:pPr>
        <w:pStyle w:val="TextBody"/>
        <w:bidi w:val="0"/>
        <w:spacing w:before="120" w:after="240"/>
        <w:ind w:left="120" w:right="120" w:firstLine="72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2. - Unregistered Sales of Equity Securities and Use of Proceeds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unregistered securities within the past three years.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was acquired on August 31, 2018, with $17,000 of the net proceeds from the IPO.</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also repurchase its own stock. To date, the Company has used the net proceeds from the IPO to fund these share repurchases.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in the planned use of proceeds from our IPO as described in our final prospectus filed with the SEC on January 17, 2017.</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nine months ended September 30, 2023, we repurchased an additional 548,549 shares of our common stock for $7,280, including the applicable excise tax. At September 30, 2023, $2,052 remains available under this authorization.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 activity during the three months ended September 30, 2023, is presented below:</w:t>
      </w:r>
    </w:p>
    <w:tbl>
      <w:tblPr>
        <w:tblW w:w="8993" w:type="dxa"/>
        <w:jc w:val="left"/>
        <w:tblInd w:w="0" w:type="dxa"/>
        <w:tblLayout w:type="fixed"/>
        <w:tblCellMar>
          <w:top w:w="0" w:type="dxa"/>
          <w:left w:w="0" w:type="dxa"/>
          <w:bottom w:w="28" w:type="dxa"/>
          <w:right w:w="0" w:type="dxa"/>
        </w:tblCellMar>
      </w:tblPr>
      <w:tblGrid>
        <w:gridCol w:w="2135"/>
        <w:gridCol w:w="60"/>
        <w:gridCol w:w="115"/>
        <w:gridCol w:w="1554"/>
        <w:gridCol w:w="60"/>
        <w:gridCol w:w="60"/>
        <w:gridCol w:w="238"/>
        <w:gridCol w:w="952"/>
        <w:gridCol w:w="60"/>
        <w:gridCol w:w="60"/>
        <w:gridCol w:w="106"/>
        <w:gridCol w:w="1428"/>
        <w:gridCol w:w="60"/>
        <w:gridCol w:w="60"/>
        <w:gridCol w:w="394"/>
        <w:gridCol w:w="1576"/>
        <w:gridCol w:w="75"/>
      </w:tblGrid>
      <w:tr>
        <w:trPr/>
        <w:tc>
          <w:tcPr>
            <w:tcW w:w="2135" w:type="dxa"/>
            <w:tcBorders>
              <w:bottom w:val="single" w:sz="8" w:space="0" w:color="000000"/>
            </w:tcBorders>
            <w:vAlign w:val="center"/>
          </w:tcPr>
          <w:p>
            <w:pPr>
              <w:pStyle w:val="TableContents"/>
              <w:bidi w:val="0"/>
              <w:spacing w:before="0" w:after="283"/>
              <w:jc w:val="center"/>
              <w:rPr/>
            </w:pPr>
            <w:r>
              <w:rPr/>
              <w:t>Period in 2023</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283"/>
              <w:jc w:val="center"/>
              <w:rPr/>
            </w:pPr>
            <w:r>
              <w:rPr/>
              <w:t xml:space="preserve">Total Number of </w:t>
              <w:br/>
              <w:t>Shares</w:t>
              <w:b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283"/>
              <w:jc w:val="center"/>
              <w:rPr>
                <w:sz w:val="20"/>
              </w:rPr>
            </w:pPr>
            <w:r>
              <w:rPr>
                <w:sz w:val="20"/>
              </w:rPr>
              <w:t xml:space="preserve">Average Price </w:t>
              <w:br/>
              <w:t xml:space="preserve">Paid </w:t>
              <w:br/>
              <w:t xml:space="preserve">Per Share </w:t>
            </w:r>
            <w:r>
              <w:rPr>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sz w:val="20"/>
              </w:rPr>
            </w:pPr>
            <w:r>
              <w:rPr>
                <w:sz w:val="20"/>
              </w:rPr>
              <w:t xml:space="preserve">Total Number of </w:t>
              <w:br/>
              <w:t xml:space="preserve">Shares Purchased </w:t>
              <w:br/>
              <w:t xml:space="preserve">as Part of Publicly </w:t>
              <w:br/>
              <w:t xml:space="preserve">Announced Plans </w:t>
              <w:br/>
              <w:t xml:space="preserve">or Programs </w:t>
            </w:r>
            <w:r>
              <w:rPr>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0" w:type="dxa"/>
            <w:gridSpan w:val="2"/>
            <w:tcBorders>
              <w:bottom w:val="single" w:sz="8" w:space="0" w:color="000000"/>
            </w:tcBorders>
            <w:vAlign w:val="center"/>
          </w:tcPr>
          <w:p>
            <w:pPr>
              <w:pStyle w:val="TableContents"/>
              <w:bidi w:val="0"/>
              <w:spacing w:before="0" w:after="283"/>
              <w:jc w:val="center"/>
              <w:rPr>
                <w:sz w:val="20"/>
              </w:rPr>
            </w:pPr>
            <w:r>
              <w:rPr>
                <w:sz w:val="20"/>
              </w:rPr>
              <w:t>Maximum Approximate</w:t>
              <w:br/>
              <w:t xml:space="preserve">Dollar Value of Shares </w:t>
              <w:br/>
              <w:t xml:space="preserve">That May Yet Be </w:t>
              <w:br/>
              <w:t xml:space="preserve">Purchased Under the </w:t>
              <w:br/>
              <w:t xml:space="preserve">Plans or Programs </w:t>
            </w:r>
            <w:r>
              <w:rPr>
                <w:position w:val="7"/>
                <w:sz w:val="16"/>
                <w:sz w:val="20"/>
              </w:rPr>
              <w:t>(2)(3)</w:t>
            </w:r>
            <w:r>
              <w:rPr>
                <w:sz w:val="20"/>
              </w:rPr>
              <w:t xml:space="preserve"> </w:t>
              <w:br/>
              <w:t>(in thousands)</w:t>
            </w:r>
          </w:p>
        </w:tc>
        <w:tc>
          <w:tcPr>
            <w:tcW w:w="7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pPr>
            <w:r>
              <w:rPr/>
              <w:t>July 1-31,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554" w:type="dxa"/>
            <w:tcBorders/>
            <w:shd w:fill="CCEEFF" w:val="clear"/>
            <w:tcMar>
              <w:bottom w:w="0" w:type="dxa"/>
            </w:tcMar>
            <w:vAlign w:val="center"/>
          </w:tcPr>
          <w:p>
            <w:pPr>
              <w:pStyle w:val="TableContents"/>
              <w:bidi w:val="0"/>
              <w:spacing w:before="0" w:after="283"/>
              <w:jc w:val="right"/>
              <w:rPr/>
            </w:pPr>
            <w:r>
              <w:rPr/>
              <w:t>23,183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14.14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23,183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283"/>
              <w:jc w:val="right"/>
              <w:rPr/>
            </w:pPr>
            <w:r>
              <w:rPr/>
              <w:t>5,715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August 1-31, 2023</w:t>
            </w:r>
          </w:p>
        </w:tc>
        <w:tc>
          <w:tcPr>
            <w:tcW w:w="60"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1554" w:type="dxa"/>
            <w:tcBorders/>
            <w:tcMar>
              <w:bottom w:w="0" w:type="dxa"/>
            </w:tcMar>
            <w:vAlign w:val="center"/>
          </w:tcPr>
          <w:p>
            <w:pPr>
              <w:pStyle w:val="TableContents"/>
              <w:bidi w:val="0"/>
              <w:spacing w:before="0" w:after="283"/>
              <w:jc w:val="right"/>
              <w:rPr/>
            </w:pPr>
            <w:r>
              <w:rPr/>
              <w:t>20,643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pPr>
            <w:r>
              <w:rPr/>
              <w:t>13.19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right"/>
              <w:rPr/>
            </w:pPr>
            <w:r>
              <w:rPr/>
              <w:t>20,643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4" w:type="dxa"/>
            <w:tcBorders/>
            <w:tcMar>
              <w:bottom w:w="0" w:type="dxa"/>
            </w:tcMar>
            <w:vAlign w:val="center"/>
          </w:tcPr>
          <w:p>
            <w:pPr>
              <w:pStyle w:val="TableContents"/>
              <w:bidi w:val="0"/>
              <w:spacing w:before="0" w:after="283"/>
              <w:jc w:val="left"/>
              <w:rPr/>
            </w:pPr>
            <w:r>
              <w:rPr/>
              <w:t> </w:t>
            </w:r>
          </w:p>
        </w:tc>
        <w:tc>
          <w:tcPr>
            <w:tcW w:w="1576" w:type="dxa"/>
            <w:tcBorders/>
            <w:tcMar>
              <w:bottom w:w="0" w:type="dxa"/>
            </w:tcMar>
            <w:vAlign w:val="center"/>
          </w:tcPr>
          <w:p>
            <w:pPr>
              <w:pStyle w:val="TableContents"/>
              <w:bidi w:val="0"/>
              <w:spacing w:before="0" w:after="283"/>
              <w:jc w:val="right"/>
              <w:rPr/>
            </w:pPr>
            <w:r>
              <w:rPr/>
              <w:t>5,443</w:t>
            </w:r>
          </w:p>
        </w:tc>
        <w:tc>
          <w:tcPr>
            <w:tcW w:w="7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pPr>
            <w:r>
              <w:rPr/>
              <w:t>September 1-30,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554" w:type="dxa"/>
            <w:tcBorders>
              <w:bottom w:val="single" w:sz="8" w:space="0" w:color="000000"/>
            </w:tcBorders>
            <w:shd w:fill="CCEEFF" w:val="clear"/>
            <w:vAlign w:val="center"/>
          </w:tcPr>
          <w:p>
            <w:pPr>
              <w:pStyle w:val="TableContents"/>
              <w:bidi w:val="0"/>
              <w:spacing w:before="0" w:after="283"/>
              <w:jc w:val="right"/>
              <w:rPr/>
            </w:pPr>
            <w:r>
              <w:rPr/>
              <w:t>266,559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CCEEFF" w:val="clear"/>
            <w:vAlign w:val="center"/>
          </w:tcPr>
          <w:p>
            <w:pPr>
              <w:pStyle w:val="TableContents"/>
              <w:bidi w:val="0"/>
              <w:spacing w:before="0" w:after="283"/>
              <w:jc w:val="left"/>
              <w:rPr/>
            </w:pPr>
            <w:r>
              <w:rPr/>
              <w:t> </w:t>
            </w:r>
          </w:p>
        </w:tc>
        <w:tc>
          <w:tcPr>
            <w:tcW w:w="952" w:type="dxa"/>
            <w:tcBorders>
              <w:bottom w:val="single" w:sz="8" w:space="0" w:color="000000"/>
            </w:tcBorders>
            <w:shd w:fill="CCEEFF" w:val="clear"/>
            <w:vAlign w:val="center"/>
          </w:tcPr>
          <w:p>
            <w:pPr>
              <w:pStyle w:val="TableContents"/>
              <w:bidi w:val="0"/>
              <w:spacing w:before="0" w:after="283"/>
              <w:jc w:val="right"/>
              <w:rPr/>
            </w:pPr>
            <w:r>
              <w:rPr/>
              <w:t>12.72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vAlign w:val="center"/>
          </w:tcPr>
          <w:p>
            <w:pPr>
              <w:pStyle w:val="TableContents"/>
              <w:bidi w:val="0"/>
              <w:spacing w:before="0" w:after="283"/>
              <w:jc w:val="left"/>
              <w:rPr/>
            </w:pPr>
            <w:r>
              <w:rPr/>
              <w:t> </w:t>
            </w:r>
          </w:p>
        </w:tc>
        <w:tc>
          <w:tcPr>
            <w:tcW w:w="1428" w:type="dxa"/>
            <w:tcBorders>
              <w:bottom w:val="single" w:sz="8" w:space="0" w:color="000000"/>
            </w:tcBorders>
            <w:shd w:fill="CCEEFF" w:val="clear"/>
            <w:vAlign w:val="center"/>
          </w:tcPr>
          <w:p>
            <w:pPr>
              <w:pStyle w:val="TableContents"/>
              <w:bidi w:val="0"/>
              <w:spacing w:before="0" w:after="283"/>
              <w:jc w:val="right"/>
              <w:rPr/>
            </w:pPr>
            <w:r>
              <w:rPr/>
              <w:t>266,559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 w:type="dxa"/>
            <w:tcBorders>
              <w:bottom w:val="single" w:sz="8" w:space="0" w:color="000000"/>
            </w:tcBorders>
            <w:shd w:fill="CCEEFF" w:val="clear"/>
            <w:vAlign w:val="center"/>
          </w:tcPr>
          <w:p>
            <w:pPr>
              <w:pStyle w:val="TableContents"/>
              <w:bidi w:val="0"/>
              <w:spacing w:before="0" w:after="283"/>
              <w:jc w:val="left"/>
              <w:rPr/>
            </w:pPr>
            <w:r>
              <w:rPr/>
              <w:t> </w:t>
            </w:r>
          </w:p>
        </w:tc>
        <w:tc>
          <w:tcPr>
            <w:tcW w:w="1576" w:type="dxa"/>
            <w:tcBorders>
              <w:bottom w:val="single" w:sz="8" w:space="0" w:color="000000"/>
            </w:tcBorders>
            <w:shd w:fill="CCEEFF" w:val="clear"/>
            <w:vAlign w:val="center"/>
          </w:tcPr>
          <w:p>
            <w:pPr>
              <w:pStyle w:val="TableContents"/>
              <w:bidi w:val="0"/>
              <w:spacing w:before="0" w:after="283"/>
              <w:jc w:val="right"/>
              <w:rPr/>
            </w:pPr>
            <w:r>
              <w:rPr/>
              <w:t>2,052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Total</w:t>
            </w:r>
          </w:p>
        </w:tc>
        <w:tc>
          <w:tcPr>
            <w:tcW w:w="60" w:type="dxa"/>
            <w:tcBorders/>
            <w:tcMar>
              <w:bottom w:w="0" w:type="dxa"/>
            </w:tcMar>
            <w:vAlign w:val="center"/>
          </w:tcPr>
          <w:p>
            <w:pPr>
              <w:pStyle w:val="TableContents"/>
              <w:bidi w:val="0"/>
              <w:spacing w:before="0" w:after="283"/>
              <w:jc w:val="left"/>
              <w:rPr/>
            </w:pPr>
            <w:r>
              <w:rPr/>
              <w:t> </w:t>
            </w:r>
          </w:p>
        </w:tc>
        <w:tc>
          <w:tcPr>
            <w:tcW w:w="115" w:type="dxa"/>
            <w:tcBorders>
              <w:bottom w:val="double" w:sz="6" w:space="0" w:color="000000"/>
            </w:tcBorders>
            <w:vAlign w:val="center"/>
          </w:tcPr>
          <w:p>
            <w:pPr>
              <w:pStyle w:val="TableContents"/>
              <w:bidi w:val="0"/>
              <w:spacing w:before="0" w:after="283"/>
              <w:jc w:val="left"/>
              <w:rPr/>
            </w:pPr>
            <w:r>
              <w:rPr/>
              <w:t> </w:t>
            </w:r>
          </w:p>
        </w:tc>
        <w:tc>
          <w:tcPr>
            <w:tcW w:w="1554" w:type="dxa"/>
            <w:tcBorders>
              <w:bottom w:val="double" w:sz="6" w:space="0" w:color="000000"/>
            </w:tcBorders>
            <w:vAlign w:val="center"/>
          </w:tcPr>
          <w:p>
            <w:pPr>
              <w:pStyle w:val="TableContents"/>
              <w:bidi w:val="0"/>
              <w:spacing w:before="0" w:after="283"/>
              <w:jc w:val="right"/>
              <w:rPr/>
            </w:pPr>
            <w:r>
              <w:rPr/>
              <w:t>310,385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 w:type="dxa"/>
            <w:tcBorders>
              <w:bottom w:val="double" w:sz="6" w:space="0" w:color="000000"/>
            </w:tcBorders>
            <w:vAlign w:val="center"/>
          </w:tcPr>
          <w:p>
            <w:pPr>
              <w:pStyle w:val="TableContents"/>
              <w:bidi w:val="0"/>
              <w:spacing w:before="0" w:after="283"/>
              <w:jc w:val="left"/>
              <w:rPr/>
            </w:pPr>
            <w:r>
              <w:rPr/>
              <w:t>$</w:t>
            </w:r>
          </w:p>
        </w:tc>
        <w:tc>
          <w:tcPr>
            <w:tcW w:w="952" w:type="dxa"/>
            <w:tcBorders>
              <w:bottom w:val="double" w:sz="6" w:space="0" w:color="000000"/>
            </w:tcBorders>
            <w:vAlign w:val="center"/>
          </w:tcPr>
          <w:p>
            <w:pPr>
              <w:pStyle w:val="TableContents"/>
              <w:bidi w:val="0"/>
              <w:spacing w:before="0" w:after="283"/>
              <w:jc w:val="right"/>
              <w:rPr/>
            </w:pPr>
            <w:r>
              <w:rPr/>
              <w:t>12.86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bottom w:val="double" w:sz="6" w:space="0" w:color="000000"/>
            </w:tcBorders>
            <w:vAlign w:val="center"/>
          </w:tcPr>
          <w:p>
            <w:pPr>
              <w:pStyle w:val="TableContents"/>
              <w:bidi w:val="0"/>
              <w:spacing w:before="0" w:after="283"/>
              <w:jc w:val="left"/>
              <w:rPr/>
            </w:pPr>
            <w:r>
              <w:rPr/>
              <w:t> </w:t>
            </w:r>
          </w:p>
        </w:tc>
        <w:tc>
          <w:tcPr>
            <w:tcW w:w="1428" w:type="dxa"/>
            <w:tcBorders>
              <w:bottom w:val="double" w:sz="6" w:space="0" w:color="000000"/>
            </w:tcBorders>
            <w:vAlign w:val="center"/>
          </w:tcPr>
          <w:p>
            <w:pPr>
              <w:pStyle w:val="TableContents"/>
              <w:bidi w:val="0"/>
              <w:spacing w:before="0" w:after="283"/>
              <w:jc w:val="right"/>
              <w:rPr/>
            </w:pPr>
            <w:r>
              <w:rPr/>
              <w:t>310,385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4" w:type="dxa"/>
            <w:tcBorders>
              <w:bottom w:val="double" w:sz="6" w:space="0" w:color="000000"/>
            </w:tcBorders>
            <w:vAlign w:val="center"/>
          </w:tcPr>
          <w:p>
            <w:pPr>
              <w:pStyle w:val="TableContents"/>
              <w:bidi w:val="0"/>
              <w:spacing w:before="0" w:after="283"/>
              <w:jc w:val="left"/>
              <w:rPr/>
            </w:pPr>
            <w:r>
              <w:rPr/>
              <w:t>$</w:t>
            </w:r>
          </w:p>
        </w:tc>
        <w:tc>
          <w:tcPr>
            <w:tcW w:w="1576" w:type="dxa"/>
            <w:tcBorders>
              <w:bottom w:val="double" w:sz="6" w:space="0" w:color="000000"/>
            </w:tcBorders>
            <w:vAlign w:val="center"/>
          </w:tcPr>
          <w:p>
            <w:pPr>
              <w:pStyle w:val="TableContents"/>
              <w:bidi w:val="0"/>
              <w:spacing w:before="0" w:after="283"/>
              <w:jc w:val="right"/>
              <w:rPr/>
            </w:pPr>
            <w:r>
              <w:rPr/>
              <w:t>2,052</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osition w:val="7"/>
                <w:sz w:val="16"/>
                <w:sz w:val="20"/>
              </w:rPr>
            </w:pPr>
            <w:r>
              <w:rPr>
                <w:position w:val="7"/>
                <w:sz w:val="16"/>
                <w:sz w:val="20"/>
              </w:rPr>
              <w:t>(1)</w:t>
            </w:r>
          </w:p>
        </w:tc>
        <w:tc>
          <w:tcPr>
            <w:tcW w:w="9921" w:type="dxa"/>
            <w:tcBorders/>
            <w:vAlign w:val="center"/>
          </w:tcPr>
          <w:p>
            <w:pPr>
              <w:pStyle w:val="TableContents"/>
              <w:bidi w:val="0"/>
              <w:spacing w:before="0" w:after="283"/>
              <w:jc w:val="left"/>
              <w:rPr>
                <w:sz w:val="20"/>
              </w:rPr>
            </w:pPr>
            <w:r>
              <w:rPr>
                <w:sz w:val="20"/>
              </w:rPr>
              <w:t>Shares purchased pursuant to the May 9, 2022, publicly announced share repurchase authorization of up to approximately $10,000 of the Company’s outstanding common stock.   </w:t>
            </w:r>
          </w:p>
        </w:tc>
      </w:tr>
    </w:tbl>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osition w:val="7"/>
                <w:sz w:val="16"/>
                <w:sz w:val="20"/>
              </w:rPr>
            </w:pPr>
            <w:r>
              <w:rPr>
                <w:position w:val="7"/>
                <w:sz w:val="16"/>
                <w:sz w:val="20"/>
              </w:rPr>
              <w:t>(2)</w:t>
            </w:r>
          </w:p>
        </w:tc>
        <w:tc>
          <w:tcPr>
            <w:tcW w:w="9920" w:type="dxa"/>
            <w:tcBorders/>
            <w:vAlign w:val="center"/>
          </w:tcPr>
          <w:p>
            <w:pPr>
              <w:pStyle w:val="TableContents"/>
              <w:bidi w:val="0"/>
              <w:spacing w:before="0" w:after="283"/>
              <w:jc w:val="left"/>
              <w:rPr/>
            </w:pPr>
            <w:r>
              <w:rPr>
                <w:sz w:val="20"/>
              </w:rPr>
              <w:t>Maximum dollar value of shares that may yet be purchased consist of up to approximately $2,052 under the May 9, 2022, publicly announced share repurchase authorization.</w:t>
            </w:r>
            <w:r>
              <w:rPr/>
              <w:t xml:space="preserve">  </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osition w:val="8"/>
                <w:sz w:val="19"/>
              </w:rPr>
            </w:pPr>
            <w:r>
              <w:rPr>
                <w:position w:val="8"/>
                <w:sz w:val="19"/>
              </w:rPr>
              <w:t>(3)</w:t>
            </w:r>
          </w:p>
        </w:tc>
        <w:tc>
          <w:tcPr>
            <w:tcW w:w="9955" w:type="dxa"/>
            <w:tcBorders/>
            <w:vAlign w:val="center"/>
          </w:tcPr>
          <w:p>
            <w:pPr>
              <w:pStyle w:val="TableContents"/>
              <w:bidi w:val="0"/>
              <w:spacing w:before="0" w:after="283"/>
              <w:jc w:val="left"/>
              <w:rPr/>
            </w:pPr>
            <w:r>
              <w:rPr/>
              <w:t>The Inflation Reduction Act of 2022 imposed a 1% excise tax on the net value of certain share repurchases made after December 31, 2022. All dollar amounts presented exclude such excise taxes, as applicable.</w:t>
            </w:r>
          </w:p>
        </w:tc>
      </w:tr>
    </w:tbl>
    <w:p>
      <w:pPr>
        <w:pStyle w:val="TextBody"/>
        <w:bidi w:val="0"/>
        <w:spacing w:before="0" w:after="24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3. - Defaults upon Senior Securities</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120" w:after="120"/>
        <w:ind w:left="120" w:right="120" w:firstLine="72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Item 4. - Mine Safety Disclosures</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120" w:after="120"/>
        <w:ind w:left="120" w:right="120" w:firstLine="72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Item 5. - Other Information</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2023, none of our directors or executive officers (as defined in Rule 16a-1(f) under the Exchange Act) adopted or terminated any “Rule 10b5-1 trading arrangement” or “non-Rule 10b5-1 trading arrangement” (as each term is defined in Item 408(a) of Regulation S-K).</w:t>
      </w:r>
    </w:p>
    <w:p>
      <w:pPr>
        <w:pStyle w:val="TextBody"/>
        <w:bidi w:val="0"/>
        <w:spacing w:before="120" w:after="120"/>
        <w:ind w:left="120" w:right="120" w:firstLine="72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6. - Exhibits</w:t>
      </w:r>
    </w:p>
    <w:tbl>
      <w:tblPr>
        <w:tblW w:w="10205" w:type="dxa"/>
        <w:jc w:val="left"/>
        <w:tblInd w:w="0" w:type="dxa"/>
        <w:tblLayout w:type="fixed"/>
        <w:tblCellMar>
          <w:top w:w="0" w:type="dxa"/>
          <w:left w:w="0" w:type="dxa"/>
          <w:bottom w:w="28" w:type="dxa"/>
          <w:right w:w="0" w:type="dxa"/>
        </w:tblCellMar>
      </w:tblPr>
      <w:tblGrid>
        <w:gridCol w:w="757"/>
        <w:gridCol w:w="60"/>
        <w:gridCol w:w="9388"/>
      </w:tblGrid>
      <w:tr>
        <w:trPr/>
        <w:tc>
          <w:tcPr>
            <w:tcW w:w="757" w:type="dxa"/>
            <w:tcBorders>
              <w:bottom w:val="single" w:sz="8"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88" w:type="dxa"/>
            <w:tcBorders>
              <w:bottom w:val="single" w:sz="8" w:space="0" w:color="000000"/>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7"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hyperlink r:id="rId2">
              <w:r>
                <w:rPr>
                  <w:rStyle w:val="InternetLink"/>
                </w:rPr>
                <w:t>Amended and Restated Employment Agreement dated August 8, 2023 between the Company and Seth C. Daggett.</w:t>
              </w:r>
            </w:hyperlink>
            <w:r>
              <w:rPr/>
              <w:t xml:space="preserve"> (1)</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31.1</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hyperlink w:anchor="ex31-1.htm">
              <w:r>
                <w:rPr>
                  <w:rStyle w:val="InternetLink"/>
                  <w:sz w:val="20"/>
                </w:rPr>
                <w:t>Certification of Principal Executive Officer Pursuant to Rules 13a-14(a) and 15d-14(a) under the Securities Exchange Act of 1934, as Adopted Pursuant to Section 302 of the Sarbanes-Oxley Act of 2002.</w:t>
              </w:r>
            </w:hyperlink>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31.2</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hyperlink w:anchor="ex31-2.htm">
              <w:r>
                <w:rPr>
                  <w:rStyle w:val="InternetLink"/>
                  <w:sz w:val="20"/>
                </w:rPr>
                <w:t>Certification of Principal Financial Officer Pursuant to Rules 13a-14(a) and 15d-14(a) under the Securities Exchange Act of 1934, as Adopted Pursuant to Section 302 of the Sarbanes-Oxley Act of 2002.</w:t>
              </w:r>
            </w:hyperlink>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32</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hyperlink w:anchor="ex32.htm">
              <w:r>
                <w:rPr>
                  <w:rStyle w:val="InternetLink"/>
                  <w:sz w:val="20"/>
                </w:rPr>
                <w:t>Certification of Principal Executive Officer and Principal Financial Officer pursuant to 18 U.S.C. Section 1350, as adopted pursuant to Section 906 of the Sarbanes-Oxley Act of 2002.</w:t>
              </w:r>
            </w:hyperlink>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101.INS</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sz w:val="20"/>
              </w:rPr>
            </w:pPr>
            <w:r>
              <w:rPr>
                <w:sz w:val="20"/>
              </w:rPr>
              <w:t>XBRL Instance Document – the instance document does not appear in the Interactive Data File because its XBRL tags are embedded within the Inline XBRL document</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101.SCH</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sz w:val="20"/>
              </w:rPr>
            </w:pPr>
            <w:r>
              <w:rPr>
                <w:sz w:val="20"/>
              </w:rPr>
              <w:t>Inline XBRL Taxonomy Extension Schema Linkbase Document</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101.CAL</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101.DEF</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101.LAB</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101.PRE</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sz w:val="20"/>
              </w:rPr>
            </w:pPr>
            <w:r>
              <w:rPr>
                <w:sz w:val="20"/>
              </w:rPr>
              <w:t>Inline XBRL Taxonomy Extension Presentation Linkbase Document</w:t>
            </w:r>
          </w:p>
        </w:tc>
      </w:tr>
      <w:tr>
        <w:trPr/>
        <w:tc>
          <w:tcPr>
            <w:tcW w:w="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spacing w:before="0" w:after="283"/>
              <w:jc w:val="left"/>
              <w:rPr/>
            </w:pPr>
            <w:r>
              <w:rPr/>
              <w:t> </w:t>
            </w:r>
          </w:p>
        </w:tc>
      </w:tr>
      <w:tr>
        <w:trPr/>
        <w:tc>
          <w:tcPr>
            <w:tcW w:w="757"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88"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(1)</w:t>
            </w:r>
          </w:p>
        </w:tc>
        <w:tc>
          <w:tcPr>
            <w:tcW w:w="9943" w:type="dxa"/>
            <w:tcBorders/>
            <w:vAlign w:val="center"/>
          </w:tcPr>
          <w:p>
            <w:pPr>
              <w:pStyle w:val="TableContents"/>
              <w:bidi w:val="0"/>
              <w:spacing w:before="0" w:after="283"/>
              <w:jc w:val="left"/>
              <w:rPr/>
            </w:pPr>
            <w:r>
              <w:rPr/>
              <w:t>Filed as Exhibit 10.1 to the Company’s Form 10-Q (File No. 001-37973) filed with the SEC on August 8, 2023, and incorporated herein by reference.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sz w:val="20"/>
        </w:rPr>
      </w:pPr>
      <w:bookmarkStart w:id="23" w:name="a_021"/>
      <w:bookmarkEnd w:id="23"/>
      <w:r>
        <w:rPr>
          <w:rFonts w:ascii="Times New Roman;Times;Serif" w:hAnsi="Times New Roman;Times;Serif"/>
          <w:b w:val="false"/>
          <w:i w:val="false"/>
          <w:caps/>
          <w:sz w:val="20"/>
        </w:rPr>
        <w:t>Signatures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November 7, 2023.</w:t>
      </w:r>
    </w:p>
    <w:p>
      <w:pPr>
        <w:pStyle w:val="TextBody"/>
        <w:bidi w:val="0"/>
        <w:spacing w:before="240" w:after="240"/>
        <w:ind w:left="240" w:right="24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75"/>
        <w:gridCol w:w="4565"/>
      </w:tblGrid>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INC.</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Michael J. Alexander</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sz w:val="20"/>
              </w:rPr>
            </w:pPr>
            <w:r>
              <w:rPr>
                <w:sz w:val="20"/>
              </w:rPr>
              <w:t>Michael J. Alexander</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Seth C. Daggett</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sz w:val="20"/>
              </w:rPr>
            </w:pPr>
            <w:r>
              <w:rPr>
                <w:sz w:val="20"/>
              </w:rPr>
              <w:t>Seth C. Daggett</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(Principal Financial Officer and Principal Accounting </w:t>
              <w:br/>
              <w:t>Officer)</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4" w:name="ex31-1.htm"/>
      <w:bookmarkStart w:id="25" w:name="ksex311"/>
      <w:bookmarkEnd w:id="24"/>
      <w:bookmarkEnd w:id="25"/>
      <w:r>
        <w:rPr>
          <w:rFonts w:ascii="Times New Roman;Times;Serif" w:hAnsi="Times New Roman;Times;Serif"/>
          <w:b/>
          <w:i w:val="false"/>
          <w:caps w:val="false"/>
          <w:smallCaps w:val="false"/>
          <w:sz w:val="20"/>
        </w:rPr>
        <w:t>Exhibit 31.1</w:t>
      </w:r>
      <w:r>
        <w:br w:type="page"/>
      </w:r>
    </w:p>
    <w:p>
      <w:pPr>
        <w:pStyle w:val="TextBody"/>
        <w:bidi w:val="0"/>
        <w:spacing w:before="0" w:after="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J. Alexander, certify that:</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tbl>
      <w:tblPr>
        <w:tblW w:w="5455" w:type="dxa"/>
        <w:jc w:val="left"/>
        <w:tblInd w:w="0" w:type="dxa"/>
        <w:tblLayout w:type="fixed"/>
        <w:tblCellMar>
          <w:top w:w="0" w:type="dxa"/>
          <w:left w:w="0" w:type="dxa"/>
          <w:bottom w:w="0" w:type="dxa"/>
          <w:right w:w="0" w:type="dxa"/>
        </w:tblCellMar>
      </w:tblPr>
      <w:tblGrid>
        <w:gridCol w:w="1820"/>
        <w:gridCol w:w="3635"/>
      </w:tblGrid>
      <w:tr>
        <w:trPr/>
        <w:tc>
          <w:tcPr>
            <w:tcW w:w="1820" w:type="dxa"/>
            <w:tcBorders/>
            <w:vAlign w:val="center"/>
          </w:tcPr>
          <w:p>
            <w:pPr>
              <w:pStyle w:val="TableContents"/>
              <w:bidi w:val="0"/>
              <w:spacing w:before="0" w:after="283"/>
              <w:ind w:left="0" w:right="0" w:hanging="0"/>
              <w:jc w:val="center"/>
              <w:rPr/>
            </w:pPr>
            <w:r>
              <w:rPr/>
              <w:t>November 7, 2023</w:t>
            </w:r>
          </w:p>
        </w:tc>
        <w:tc>
          <w:tcPr>
            <w:tcW w:w="3635" w:type="dxa"/>
            <w:tcBorders>
              <w:bottom w:val="single" w:sz="8" w:space="0" w:color="000000"/>
            </w:tcBorders>
            <w:tcMar>
              <w:bottom w:w="28" w:type="dxa"/>
            </w:tcMar>
            <w:vAlign w:val="center"/>
          </w:tcPr>
          <w:p>
            <w:pPr>
              <w:pStyle w:val="TableContents"/>
              <w:bidi w:val="0"/>
              <w:spacing w:before="0" w:after="283"/>
              <w:ind w:left="0" w:right="0" w:hanging="0"/>
              <w:jc w:val="left"/>
              <w:rPr/>
            </w:pPr>
            <w:r>
              <w:rPr/>
              <w:t>/s/ Michael J. Alexander</w:t>
            </w:r>
          </w:p>
        </w:tc>
      </w:tr>
      <w:tr>
        <w:trPr/>
        <w:tc>
          <w:tcPr>
            <w:tcW w:w="1820" w:type="dxa"/>
            <w:tcBorders/>
            <w:vAlign w:val="center"/>
          </w:tcPr>
          <w:p>
            <w:pPr>
              <w:pStyle w:val="TableContents"/>
              <w:bidi w:val="0"/>
              <w:spacing w:before="0" w:after="283"/>
              <w:ind w:left="0" w:right="0" w:hanging="0"/>
              <w:jc w:val="left"/>
              <w:rPr/>
            </w:pPr>
            <w:r>
              <w:rPr/>
              <w:t> </w:t>
            </w:r>
          </w:p>
        </w:tc>
        <w:tc>
          <w:tcPr>
            <w:tcW w:w="3635" w:type="dxa"/>
            <w:tcBorders/>
            <w:vAlign w:val="center"/>
          </w:tcPr>
          <w:p>
            <w:pPr>
              <w:pStyle w:val="TableContents"/>
              <w:bidi w:val="0"/>
              <w:spacing w:before="0" w:after="283"/>
              <w:ind w:left="0" w:right="0" w:hanging="0"/>
              <w:jc w:val="left"/>
              <w:rPr/>
            </w:pPr>
            <w:r>
              <w:rPr/>
              <w:t>Michael J. Alexander</w:t>
            </w:r>
          </w:p>
        </w:tc>
      </w:tr>
      <w:tr>
        <w:trPr/>
        <w:tc>
          <w:tcPr>
            <w:tcW w:w="1820" w:type="dxa"/>
            <w:tcBorders/>
            <w:vAlign w:val="center"/>
          </w:tcPr>
          <w:p>
            <w:pPr>
              <w:pStyle w:val="TableContents"/>
              <w:bidi w:val="0"/>
              <w:spacing w:before="0" w:after="283"/>
              <w:ind w:left="0" w:right="0" w:hanging="0"/>
              <w:jc w:val="left"/>
              <w:rPr/>
            </w:pPr>
            <w:r>
              <w:rPr/>
              <w:t> </w:t>
            </w:r>
          </w:p>
        </w:tc>
        <w:tc>
          <w:tcPr>
            <w:tcW w:w="3635" w:type="dxa"/>
            <w:tcBorders/>
            <w:vAlign w:val="center"/>
          </w:tcPr>
          <w:p>
            <w:pPr>
              <w:pStyle w:val="TableContents"/>
              <w:bidi w:val="0"/>
              <w:spacing w:before="0" w:after="283"/>
              <w:ind w:left="0" w:right="0" w:hanging="0"/>
              <w:jc w:val="left"/>
              <w:rPr/>
            </w:pPr>
            <w:r>
              <w:rPr/>
              <w:t>President and Chief Executive Officer</w:t>
            </w:r>
          </w:p>
        </w:tc>
      </w:tr>
      <w:tr>
        <w:trPr/>
        <w:tc>
          <w:tcPr>
            <w:tcW w:w="1820" w:type="dxa"/>
            <w:tcBorders/>
            <w:vAlign w:val="center"/>
          </w:tcPr>
          <w:p>
            <w:pPr>
              <w:pStyle w:val="TableContents"/>
              <w:bidi w:val="0"/>
              <w:spacing w:before="0" w:after="283"/>
              <w:ind w:left="0" w:right="0" w:hanging="0"/>
              <w:jc w:val="left"/>
              <w:rPr/>
            </w:pPr>
            <w:r>
              <w:rPr/>
              <w:t> </w:t>
            </w:r>
          </w:p>
        </w:tc>
        <w:tc>
          <w:tcPr>
            <w:tcW w:w="3635" w:type="dxa"/>
            <w:tcBorders/>
            <w:vAlign w:val="center"/>
          </w:tcPr>
          <w:p>
            <w:pPr>
              <w:pStyle w:val="TableContents"/>
              <w:bidi w:val="0"/>
              <w:spacing w:before="0" w:after="283"/>
              <w:jc w:val="left"/>
              <w:rPr/>
            </w:pPr>
            <w:r>
              <w:rPr/>
              <w:t>(</w:t>
            </w:r>
            <w:r>
              <w:rPr>
                <w:i/>
              </w:rPr>
              <w:t>Principal Executive Officer</w:t>
            </w:r>
            <w:r>
              <w:rPr/>
              <w: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47 </w:t>
      </w:r>
    </w:p>
    <w:p>
      <w:pPr>
        <w:pStyle w:val="TextBody"/>
        <w:bidi w:val="0"/>
        <w:spacing w:before="0" w:after="0"/>
        <w:ind w:left="0" w:right="0" w:hanging="0"/>
        <w:jc w:val="left"/>
        <w:rPr/>
      </w:pPr>
      <w:r>
        <w:rPr/>
        <w:t> </w:t>
      </w:r>
    </w:p>
    <w:p>
      <w:pPr>
        <w:pStyle w:val="TextBody"/>
        <w:bidi w:val="0"/>
        <w:spacing w:before="0" w:after="200"/>
        <w:jc w:val="right"/>
        <w:rPr>
          <w:rFonts w:ascii="Times New Roman;Times;Serif" w:hAnsi="Times New Roman;Times;Serif"/>
          <w:b/>
          <w:i w:val="false"/>
          <w:caps w:val="false"/>
          <w:smallCaps w:val="false"/>
          <w:sz w:val="20"/>
        </w:rPr>
      </w:pPr>
      <w:bookmarkStart w:id="26" w:name="ex31-2.htm"/>
      <w:bookmarkStart w:id="27" w:name="ksex312"/>
      <w:bookmarkEnd w:id="26"/>
      <w:bookmarkEnd w:id="27"/>
      <w:r>
        <w:rPr>
          <w:rFonts w:ascii="Times New Roman;Times;Serif" w:hAnsi="Times New Roman;Times;Serif"/>
          <w:b/>
          <w:i w:val="false"/>
          <w:caps w:val="false"/>
          <w:smallCaps w:val="false"/>
          <w:sz w:val="20"/>
        </w:rPr>
        <w:t>Exhibit 31.2</w:t>
      </w:r>
      <w:r>
        <w:br w:type="page"/>
      </w:r>
    </w:p>
    <w:p>
      <w:pPr>
        <w:pStyle w:val="TextBody"/>
        <w:bidi w:val="0"/>
        <w:spacing w:before="0" w:after="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Seth C. Daggett, certify that:</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tbl>
      <w:tblPr>
        <w:tblW w:w="4585" w:type="dxa"/>
        <w:jc w:val="left"/>
        <w:tblInd w:w="0" w:type="dxa"/>
        <w:tblLayout w:type="fixed"/>
        <w:tblCellMar>
          <w:top w:w="0" w:type="dxa"/>
          <w:left w:w="0" w:type="dxa"/>
          <w:bottom w:w="0" w:type="dxa"/>
          <w:right w:w="0" w:type="dxa"/>
        </w:tblCellMar>
      </w:tblPr>
      <w:tblGrid>
        <w:gridCol w:w="1820"/>
        <w:gridCol w:w="2765"/>
      </w:tblGrid>
      <w:tr>
        <w:trPr/>
        <w:tc>
          <w:tcPr>
            <w:tcW w:w="1820" w:type="dxa"/>
            <w:tcBorders/>
            <w:vAlign w:val="center"/>
          </w:tcPr>
          <w:p>
            <w:pPr>
              <w:pStyle w:val="TableContents"/>
              <w:bidi w:val="0"/>
              <w:spacing w:before="0" w:after="283"/>
              <w:ind w:left="0" w:right="0" w:hanging="0"/>
              <w:jc w:val="center"/>
              <w:rPr/>
            </w:pPr>
            <w:r>
              <w:rPr/>
              <w:t>November 7, 2023</w:t>
            </w:r>
          </w:p>
        </w:tc>
        <w:tc>
          <w:tcPr>
            <w:tcW w:w="2765" w:type="dxa"/>
            <w:tcBorders>
              <w:bottom w:val="single" w:sz="8" w:space="0" w:color="000000"/>
            </w:tcBorders>
            <w:tcMar>
              <w:bottom w:w="28" w:type="dxa"/>
            </w:tcMar>
            <w:vAlign w:val="center"/>
          </w:tcPr>
          <w:p>
            <w:pPr>
              <w:pStyle w:val="TableContents"/>
              <w:bidi w:val="0"/>
              <w:spacing w:before="0" w:after="283"/>
              <w:ind w:left="0" w:right="0" w:hanging="0"/>
              <w:jc w:val="left"/>
              <w:rPr/>
            </w:pPr>
            <w:r>
              <w:rPr/>
              <w:t>/s/ Seth C. Daggett</w:t>
            </w:r>
          </w:p>
        </w:tc>
      </w:tr>
      <w:tr>
        <w:trPr/>
        <w:tc>
          <w:tcPr>
            <w:tcW w:w="1820" w:type="dxa"/>
            <w:tcBorders/>
            <w:vAlign w:val="center"/>
          </w:tcPr>
          <w:p>
            <w:pPr>
              <w:pStyle w:val="TableContents"/>
              <w:bidi w:val="0"/>
              <w:spacing w:before="0" w:after="283"/>
              <w:ind w:left="0" w:right="0" w:hanging="0"/>
              <w:jc w:val="left"/>
              <w:rPr/>
            </w:pPr>
            <w:r>
              <w:rPr/>
              <w:t> </w:t>
            </w:r>
          </w:p>
        </w:tc>
        <w:tc>
          <w:tcPr>
            <w:tcW w:w="2765" w:type="dxa"/>
            <w:tcBorders/>
            <w:vAlign w:val="center"/>
          </w:tcPr>
          <w:p>
            <w:pPr>
              <w:pStyle w:val="TableContents"/>
              <w:bidi w:val="0"/>
              <w:spacing w:before="0" w:after="283"/>
              <w:ind w:left="0" w:right="0" w:hanging="0"/>
              <w:jc w:val="left"/>
              <w:rPr/>
            </w:pPr>
            <w:r>
              <w:rPr/>
              <w:t>Seth C. Daggett</w:t>
            </w:r>
          </w:p>
        </w:tc>
      </w:tr>
      <w:tr>
        <w:trPr/>
        <w:tc>
          <w:tcPr>
            <w:tcW w:w="1820" w:type="dxa"/>
            <w:tcBorders/>
            <w:vAlign w:val="center"/>
          </w:tcPr>
          <w:p>
            <w:pPr>
              <w:pStyle w:val="TableContents"/>
              <w:bidi w:val="0"/>
              <w:spacing w:before="0" w:after="283"/>
              <w:ind w:left="0" w:right="0" w:hanging="0"/>
              <w:jc w:val="left"/>
              <w:rPr/>
            </w:pPr>
            <w:r>
              <w:rPr/>
              <w:t> </w:t>
            </w:r>
          </w:p>
        </w:tc>
        <w:tc>
          <w:tcPr>
            <w:tcW w:w="2765" w:type="dxa"/>
            <w:tcBorders/>
            <w:vAlign w:val="center"/>
          </w:tcPr>
          <w:p>
            <w:pPr>
              <w:pStyle w:val="TableContents"/>
              <w:bidi w:val="0"/>
              <w:spacing w:before="0" w:after="283"/>
              <w:ind w:left="0" w:right="0" w:hanging="0"/>
              <w:jc w:val="left"/>
              <w:rPr/>
            </w:pPr>
            <w:r>
              <w:rPr/>
              <w:t xml:space="preserve">Chief Financial Officer </w:t>
            </w:r>
          </w:p>
        </w:tc>
      </w:tr>
      <w:tr>
        <w:trPr/>
        <w:tc>
          <w:tcPr>
            <w:tcW w:w="1820" w:type="dxa"/>
            <w:tcBorders/>
            <w:vAlign w:val="center"/>
          </w:tcPr>
          <w:p>
            <w:pPr>
              <w:pStyle w:val="TableContents"/>
              <w:bidi w:val="0"/>
              <w:spacing w:before="0" w:after="283"/>
              <w:ind w:left="0" w:right="0" w:hanging="0"/>
              <w:jc w:val="left"/>
              <w:rPr/>
            </w:pPr>
            <w:r>
              <w:rPr/>
              <w:t> </w:t>
            </w:r>
          </w:p>
        </w:tc>
        <w:tc>
          <w:tcPr>
            <w:tcW w:w="2765" w:type="dxa"/>
            <w:tcBorders/>
            <w:vAlign w:val="center"/>
          </w:tcPr>
          <w:p>
            <w:pPr>
              <w:pStyle w:val="TableContents"/>
              <w:bidi w:val="0"/>
              <w:spacing w:before="0" w:after="283"/>
              <w:jc w:val="left"/>
              <w:rPr/>
            </w:pPr>
            <w:r>
              <w:rPr/>
              <w:t>(</w:t>
            </w:r>
            <w:r>
              <w:rPr>
                <w:i/>
              </w:rPr>
              <w:t>Principal Financial Officer</w:t>
            </w:r>
            <w:r>
              <w:rPr/>
              <w: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48 </w:t>
      </w:r>
    </w:p>
    <w:p>
      <w:pPr>
        <w:pStyle w:val="TextBody"/>
        <w:bidi w:val="0"/>
        <w:spacing w:before="0" w:after="0"/>
        <w:ind w:left="0" w:right="0" w:hanging="0"/>
        <w:jc w:val="left"/>
        <w:rPr/>
      </w:pPr>
      <w:r>
        <w:rPr/>
        <w:t> </w:t>
      </w:r>
    </w:p>
    <w:p>
      <w:pPr>
        <w:pStyle w:val="TextBody"/>
        <w:bidi w:val="0"/>
        <w:spacing w:before="0" w:after="200"/>
        <w:jc w:val="right"/>
        <w:rPr>
          <w:rFonts w:ascii="Times New Roman;Times;Serif" w:hAnsi="Times New Roman;Times;Serif"/>
          <w:b/>
          <w:i w:val="false"/>
          <w:caps w:val="false"/>
          <w:smallCaps w:val="false"/>
          <w:sz w:val="20"/>
        </w:rPr>
      </w:pPr>
      <w:bookmarkStart w:id="28" w:name="ex32.htm"/>
      <w:bookmarkStart w:id="29" w:name="ksex32"/>
      <w:bookmarkEnd w:id="28"/>
      <w:bookmarkEnd w:id="29"/>
      <w:r>
        <w:rPr>
          <w:rFonts w:ascii="Times New Roman;Times;Serif" w:hAnsi="Times New Roman;Times;Serif"/>
          <w:b/>
          <w:i w:val="false"/>
          <w:caps w:val="false"/>
          <w:smallCaps w:val="false"/>
          <w:sz w:val="20"/>
        </w:rPr>
        <w:t>Exhibit 32</w:t>
      </w:r>
      <w:r>
        <w:br w:type="page"/>
      </w:r>
    </w:p>
    <w:p>
      <w:pPr>
        <w:pStyle w:val="TextBody"/>
        <w:bidi w:val="0"/>
        <w:spacing w:before="0" w:after="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NI Holdings, Inc. (the “Company”) on Form 10-Q for the period ended September 30, 2023,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tbl>
      <w:tblPr>
        <w:tblW w:w="5455" w:type="dxa"/>
        <w:jc w:val="left"/>
        <w:tblInd w:w="0" w:type="dxa"/>
        <w:tblLayout w:type="fixed"/>
        <w:tblCellMar>
          <w:top w:w="0" w:type="dxa"/>
          <w:left w:w="0" w:type="dxa"/>
          <w:bottom w:w="0" w:type="dxa"/>
          <w:right w:w="0" w:type="dxa"/>
        </w:tblCellMar>
      </w:tblPr>
      <w:tblGrid>
        <w:gridCol w:w="1820"/>
        <w:gridCol w:w="3635"/>
      </w:tblGrid>
      <w:tr>
        <w:trPr/>
        <w:tc>
          <w:tcPr>
            <w:tcW w:w="1820" w:type="dxa"/>
            <w:tcBorders/>
            <w:vAlign w:val="center"/>
          </w:tcPr>
          <w:p>
            <w:pPr>
              <w:pStyle w:val="TableContents"/>
              <w:bidi w:val="0"/>
              <w:spacing w:before="0" w:after="283"/>
              <w:ind w:left="0" w:right="0" w:hanging="0"/>
              <w:jc w:val="center"/>
              <w:rPr/>
            </w:pPr>
            <w:r>
              <w:rPr/>
              <w:t>November 7, 2023</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Michael J. Alexander</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Michael J. Alexander</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President and Chief Executive Officer</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w:t>
            </w:r>
            <w:r>
              <w:rPr>
                <w:i/>
              </w:rPr>
              <w:t>Principal Executive Officer</w:t>
            </w:r>
            <w:r>
              <w:rPr/>
              <w:t>)</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ind w:left="0" w:right="0" w:hanging="0"/>
              <w:jc w:val="center"/>
              <w:rPr/>
            </w:pPr>
            <w:r>
              <w:rPr/>
              <w:t>November 7, 2023</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Seth C. Daggett</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Seth C. Daggett</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 xml:space="preserve">Chief Financial Officer </w:t>
            </w:r>
          </w:p>
        </w:tc>
      </w:tr>
      <w:tr>
        <w:trPr/>
        <w:tc>
          <w:tcPr>
            <w:tcW w:w="1820" w:type="dxa"/>
            <w:tcBorders/>
            <w:vAlign w:val="center"/>
          </w:tcPr>
          <w:p>
            <w:pPr>
              <w:pStyle w:val="TableContents"/>
              <w:bidi w:val="0"/>
              <w:spacing w:before="0" w:after="283"/>
              <w:ind w:left="0" w:right="0" w:hanging="0"/>
              <w:jc w:val="center"/>
              <w:rPr/>
            </w:pPr>
            <w:r>
              <w:rPr/>
              <w:t> </w:t>
            </w:r>
          </w:p>
        </w:tc>
        <w:tc>
          <w:tcPr>
            <w:tcW w:w="3635" w:type="dxa"/>
            <w:tcBorders/>
            <w:vAlign w:val="center"/>
          </w:tcPr>
          <w:p>
            <w:pPr>
              <w:pStyle w:val="TableContents"/>
              <w:bidi w:val="0"/>
              <w:spacing w:before="0" w:after="283"/>
              <w:jc w:val="left"/>
              <w:rPr/>
            </w:pPr>
            <w:r>
              <w:rPr/>
              <w:t>(</w:t>
            </w:r>
            <w:r>
              <w:rPr>
                <w:i/>
              </w:rPr>
              <w:t>Principal Financial Officer</w:t>
            </w:r>
            <w:r>
              <w:rPr/>
              <w:t>)</w:t>
            </w:r>
          </w:p>
        </w:tc>
      </w:tr>
    </w:tbl>
    <w:p>
      <w:pPr>
        <w:pStyle w:val="TextBody"/>
        <w:bidi w:val="0"/>
        <w:jc w:val="righ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81206/000117494723000989/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21894</Words>
  <Characters>119263</Characters>
  <CharactersWithSpaces>146849</CharactersWithSpaces>
  <Paragraphs>14180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