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7" w:lineRule="exact"/>
        <w:rPr>
          <w:sz w:val="24"/>
          <w:szCs w:val="24"/>
          <w:color w:val="auto"/>
        </w:rPr>
      </w:pPr>
    </w:p>
    <w:p>
      <w:pPr>
        <w:ind w:right="1740" w:firstLine="8"/>
        <w:spacing w:after="0" w:line="286" w:lineRule="auto"/>
        <w:tabs>
          <w:tab w:leader="none" w:pos="337"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2024</w:t>
      </w:r>
    </w:p>
    <w:p>
      <w:pPr>
        <w:spacing w:after="0" w:line="263"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tbl>
      <w:tblPr>
        <w:tblLayout w:type="fixed"/>
        <w:tblInd w:w="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680" w:type="dxa"/>
            <w:vAlign w:val="bottom"/>
          </w:tcPr>
          <w:p>
            <w:pPr>
              <w:spacing w:after="0"/>
              <w:rPr>
                <w:sz w:val="17"/>
                <w:szCs w:val="17"/>
                <w:color w:val="auto"/>
              </w:rPr>
            </w:pPr>
          </w:p>
        </w:tc>
        <w:tc>
          <w:tcPr>
            <w:tcW w:w="466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c>
          <w:tcPr>
            <w:tcW w:w="3520" w:type="dxa"/>
            <w:vAlign w:val="bottom"/>
          </w:tcPr>
          <w:p>
            <w:pPr>
              <w:spacing w:after="0"/>
              <w:rPr>
                <w:sz w:val="17"/>
                <w:szCs w:val="17"/>
                <w:color w:val="auto"/>
              </w:rPr>
            </w:pPr>
          </w:p>
        </w:tc>
      </w:tr>
      <w:tr>
        <w:trPr>
          <w:trHeight w:val="412"/>
        </w:trPr>
        <w:tc>
          <w:tcPr>
            <w:tcW w:w="23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76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Commission file number 001-37973</w:t>
            </w:r>
          </w:p>
        </w:tc>
        <w:tc>
          <w:tcPr>
            <w:tcW w:w="3520" w:type="dxa"/>
            <w:vAlign w:val="bottom"/>
          </w:tcPr>
          <w:p>
            <w:pPr>
              <w:spacing w:after="0"/>
              <w:rPr>
                <w:sz w:val="24"/>
                <w:szCs w:val="24"/>
                <w:color w:val="auto"/>
              </w:rPr>
            </w:pPr>
          </w:p>
        </w:tc>
      </w:tr>
      <w:tr>
        <w:trPr>
          <w:trHeight w:val="263"/>
        </w:trPr>
        <w:tc>
          <w:tcPr>
            <w:tcW w:w="23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3520" w:type="dxa"/>
            <w:vAlign w:val="bottom"/>
            <w:tcBorders>
              <w:bottom w:val="single" w:sz="8" w:color="auto"/>
            </w:tcBorders>
          </w:tcPr>
          <w:p>
            <w:pPr>
              <w:spacing w:after="0"/>
              <w:rPr>
                <w:sz w:val="22"/>
                <w:szCs w:val="22"/>
                <w:color w:val="auto"/>
              </w:rPr>
            </w:pPr>
          </w:p>
        </w:tc>
      </w:tr>
      <w:tr>
        <w:trPr>
          <w:trHeight w:val="430"/>
        </w:trPr>
        <w:tc>
          <w:tcPr>
            <w:tcW w:w="2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76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NI HOLDINGS, INC.</w:t>
            </w:r>
          </w:p>
        </w:tc>
        <w:tc>
          <w:tcPr>
            <w:tcW w:w="3520" w:type="dxa"/>
            <w:vAlign w:val="bottom"/>
          </w:tcPr>
          <w:p>
            <w:pPr>
              <w:spacing w:after="0"/>
              <w:rPr>
                <w:sz w:val="24"/>
                <w:szCs w:val="24"/>
                <w:color w:val="auto"/>
              </w:rPr>
            </w:pPr>
          </w:p>
        </w:tc>
      </w:tr>
      <w:tr>
        <w:trPr>
          <w:trHeight w:val="238"/>
        </w:trPr>
        <w:tc>
          <w:tcPr>
            <w:tcW w:w="2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20" w:type="dxa"/>
            <w:vAlign w:val="bottom"/>
            <w:gridSpan w:val="4"/>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3520" w:type="dxa"/>
            <w:vAlign w:val="bottom"/>
          </w:tcPr>
          <w:p>
            <w:pPr>
              <w:spacing w:after="0"/>
              <w:rPr>
                <w:sz w:val="20"/>
                <w:szCs w:val="20"/>
                <w:color w:val="auto"/>
              </w:rPr>
            </w:pPr>
          </w:p>
        </w:tc>
      </w:tr>
      <w:tr>
        <w:trPr>
          <w:trHeight w:val="410"/>
        </w:trPr>
        <w:tc>
          <w:tcPr>
            <w:tcW w:w="7720" w:type="dxa"/>
            <w:vAlign w:val="bottom"/>
            <w:gridSpan w:val="7"/>
          </w:tcPr>
          <w:p>
            <w:pPr>
              <w:jc w:val="center"/>
              <w:ind w:right="2200"/>
              <w:spacing w:after="0"/>
              <w:rPr>
                <w:sz w:val="20"/>
                <w:szCs w:val="20"/>
                <w:color w:val="auto"/>
              </w:rPr>
            </w:pPr>
            <w:r>
              <w:rPr>
                <w:rFonts w:ascii="Times New Roman" w:cs="Times New Roman" w:eastAsia="Times New Roman" w:hAnsi="Times New Roman"/>
                <w:sz w:val="18"/>
                <w:szCs w:val="18"/>
                <w:b w:val="1"/>
                <w:bCs w:val="1"/>
                <w:color w:val="auto"/>
                <w:w w:val="98"/>
              </w:rPr>
              <w:t>NORTH DAKOTA</w:t>
            </w:r>
          </w:p>
        </w:tc>
        <w:tc>
          <w:tcPr>
            <w:tcW w:w="3520" w:type="dxa"/>
            <w:vAlign w:val="bottom"/>
          </w:tcPr>
          <w:p>
            <w:pPr>
              <w:jc w:val="right"/>
              <w:ind w:right="2170"/>
              <w:spacing w:after="0"/>
              <w:rPr>
                <w:sz w:val="20"/>
                <w:szCs w:val="20"/>
                <w:color w:val="auto"/>
              </w:rPr>
            </w:pPr>
            <w:r>
              <w:rPr>
                <w:rFonts w:ascii="Times New Roman" w:cs="Times New Roman" w:eastAsia="Times New Roman" w:hAnsi="Times New Roman"/>
                <w:sz w:val="18"/>
                <w:szCs w:val="18"/>
                <w:b w:val="1"/>
                <w:bCs w:val="1"/>
                <w:color w:val="auto"/>
              </w:rPr>
              <w:t>81-2683619</w:t>
            </w:r>
          </w:p>
        </w:tc>
      </w:tr>
      <w:tr>
        <w:trPr>
          <w:trHeight w:val="216"/>
        </w:trPr>
        <w:tc>
          <w:tcPr>
            <w:tcW w:w="7720" w:type="dxa"/>
            <w:vAlign w:val="bottom"/>
            <w:gridSpan w:val="7"/>
          </w:tcPr>
          <w:p>
            <w:pPr>
              <w:jc w:val="center"/>
              <w:ind w:right="220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520" w:type="dxa"/>
            <w:vAlign w:val="bottom"/>
          </w:tcPr>
          <w:p>
            <w:pPr>
              <w:jc w:val="center"/>
              <w:ind w:right="17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7720" w:type="dxa"/>
            <w:vAlign w:val="bottom"/>
            <w:gridSpan w:val="7"/>
          </w:tcPr>
          <w:p>
            <w:pPr>
              <w:jc w:val="center"/>
              <w:ind w:right="22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520" w:type="dxa"/>
            <w:vAlign w:val="bottom"/>
          </w:tcPr>
          <w:p>
            <w:pPr>
              <w:jc w:val="center"/>
              <w:ind w:right="177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7720" w:type="dxa"/>
            <w:vAlign w:val="bottom"/>
            <w:gridSpan w:val="7"/>
          </w:tcPr>
          <w:p>
            <w:pPr>
              <w:jc w:val="center"/>
              <w:ind w:right="2200"/>
              <w:spacing w:after="0"/>
              <w:rPr>
                <w:sz w:val="20"/>
                <w:szCs w:val="20"/>
                <w:color w:val="auto"/>
              </w:rPr>
            </w:pPr>
            <w:r>
              <w:rPr>
                <w:rFonts w:ascii="Times New Roman" w:cs="Times New Roman" w:eastAsia="Times New Roman" w:hAnsi="Times New Roman"/>
                <w:sz w:val="18"/>
                <w:szCs w:val="18"/>
                <w:b w:val="1"/>
                <w:bCs w:val="1"/>
                <w:color w:val="auto"/>
                <w:w w:val="98"/>
              </w:rPr>
              <w:t>1101 First Avenue North</w:t>
            </w:r>
          </w:p>
        </w:tc>
        <w:tc>
          <w:tcPr>
            <w:tcW w:w="3520" w:type="dxa"/>
            <w:vAlign w:val="bottom"/>
          </w:tcPr>
          <w:p>
            <w:pPr>
              <w:spacing w:after="0"/>
              <w:rPr>
                <w:sz w:val="24"/>
                <w:szCs w:val="24"/>
                <w:color w:val="auto"/>
              </w:rPr>
            </w:pPr>
          </w:p>
        </w:tc>
      </w:tr>
      <w:tr>
        <w:trPr>
          <w:trHeight w:val="216"/>
        </w:trPr>
        <w:tc>
          <w:tcPr>
            <w:tcW w:w="7720" w:type="dxa"/>
            <w:vAlign w:val="bottom"/>
            <w:gridSpan w:val="7"/>
          </w:tcPr>
          <w:p>
            <w:pPr>
              <w:jc w:val="center"/>
              <w:ind w:right="2200"/>
              <w:spacing w:after="0"/>
              <w:rPr>
                <w:sz w:val="20"/>
                <w:szCs w:val="20"/>
                <w:color w:val="auto"/>
              </w:rPr>
            </w:pPr>
            <w:r>
              <w:rPr>
                <w:rFonts w:ascii="Times New Roman" w:cs="Times New Roman" w:eastAsia="Times New Roman" w:hAnsi="Times New Roman"/>
                <w:sz w:val="18"/>
                <w:szCs w:val="18"/>
                <w:b w:val="1"/>
                <w:bCs w:val="1"/>
                <w:color w:val="auto"/>
                <w:w w:val="99"/>
              </w:rPr>
              <w:t>Fargo, North Dakota</w:t>
            </w:r>
          </w:p>
        </w:tc>
        <w:tc>
          <w:tcPr>
            <w:tcW w:w="3520" w:type="dxa"/>
            <w:vAlign w:val="bottom"/>
          </w:tcPr>
          <w:p>
            <w:pPr>
              <w:jc w:val="right"/>
              <w:ind w:right="2370"/>
              <w:spacing w:after="0"/>
              <w:rPr>
                <w:sz w:val="20"/>
                <w:szCs w:val="20"/>
                <w:color w:val="auto"/>
              </w:rPr>
            </w:pPr>
            <w:r>
              <w:rPr>
                <w:rFonts w:ascii="Times New Roman" w:cs="Times New Roman" w:eastAsia="Times New Roman" w:hAnsi="Times New Roman"/>
                <w:sz w:val="18"/>
                <w:szCs w:val="18"/>
                <w:b w:val="1"/>
                <w:bCs w:val="1"/>
                <w:color w:val="auto"/>
              </w:rPr>
              <w:t>58102</w:t>
            </w:r>
          </w:p>
        </w:tc>
      </w:tr>
      <w:tr>
        <w:trPr>
          <w:trHeight w:val="238"/>
        </w:trPr>
        <w:tc>
          <w:tcPr>
            <w:tcW w:w="7720" w:type="dxa"/>
            <w:vAlign w:val="bottom"/>
            <w:gridSpan w:val="7"/>
          </w:tcPr>
          <w:p>
            <w:pPr>
              <w:jc w:val="center"/>
              <w:ind w:right="220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520" w:type="dxa"/>
            <w:vAlign w:val="bottom"/>
          </w:tcPr>
          <w:p>
            <w:pPr>
              <w:jc w:val="center"/>
              <w:ind w:right="1790"/>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410"/>
        </w:trPr>
        <w:tc>
          <w:tcPr>
            <w:tcW w:w="2380" w:type="dxa"/>
            <w:vAlign w:val="bottom"/>
          </w:tcPr>
          <w:p>
            <w:pPr>
              <w:spacing w:after="0"/>
              <w:rPr>
                <w:sz w:val="24"/>
                <w:szCs w:val="24"/>
                <w:color w:val="auto"/>
              </w:rPr>
            </w:pPr>
          </w:p>
        </w:tc>
        <w:tc>
          <w:tcPr>
            <w:tcW w:w="3820" w:type="dxa"/>
            <w:vAlign w:val="bottom"/>
            <w:gridSpan w:val="4"/>
          </w:tcPr>
          <w:p>
            <w:pPr>
              <w:jc w:val="center"/>
              <w:ind w:left="2570"/>
              <w:spacing w:after="0"/>
              <w:rPr>
                <w:sz w:val="20"/>
                <w:szCs w:val="20"/>
                <w:color w:val="auto"/>
              </w:rPr>
            </w:pPr>
            <w:r>
              <w:rPr>
                <w:rFonts w:ascii="Times New Roman" w:cs="Times New Roman" w:eastAsia="Times New Roman" w:hAnsi="Times New Roman"/>
                <w:sz w:val="18"/>
                <w:szCs w:val="18"/>
                <w:b w:val="1"/>
                <w:bCs w:val="1"/>
                <w:color w:val="auto"/>
                <w:w w:val="99"/>
              </w:rPr>
              <w:t>(701) 298-4200</w:t>
            </w: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38"/>
        </w:trPr>
        <w:tc>
          <w:tcPr>
            <w:tcW w:w="2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20" w:type="dxa"/>
            <w:vAlign w:val="bottom"/>
            <w:gridSpan w:val="4"/>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352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Securities Exchange Act of 1934:</w:t>
      </w:r>
    </w:p>
    <w:p>
      <w:pPr>
        <w:spacing w:after="0" w:line="216" w:lineRule="exact"/>
        <w:rPr>
          <w:sz w:val="24"/>
          <w:szCs w:val="24"/>
          <w:color w:val="auto"/>
        </w:rPr>
      </w:pPr>
    </w:p>
    <w:tbl>
      <w:tblPr>
        <w:tblLayout w:type="fixed"/>
        <w:tblInd w:w="680" w:type="dxa"/>
        <w:tblCellMar>
          <w:top w:w="0" w:type="dxa"/>
          <w:left w:w="0" w:type="dxa"/>
          <w:bottom w:w="0" w:type="dxa"/>
          <w:right w:w="0" w:type="dxa"/>
        </w:tblCellMar>
      </w:tblPr>
      <w:tr>
        <w:trPr>
          <w:trHeight w:val="207"/>
        </w:trPr>
        <w:tc>
          <w:tcPr>
            <w:tcW w:w="84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90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1000" w:type="dxa"/>
            <w:vAlign w:val="bottom"/>
          </w:tcPr>
          <w:p>
            <w:pPr>
              <w:spacing w:after="0"/>
              <w:rPr>
                <w:sz w:val="18"/>
                <w:szCs w:val="18"/>
                <w:color w:val="auto"/>
              </w:rPr>
            </w:pPr>
          </w:p>
        </w:tc>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7"/>
        </w:trPr>
        <w:tc>
          <w:tcPr>
            <w:tcW w:w="410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color w:val="auto"/>
              </w:rPr>
              <w:t>Common Stock, $0.01 par value per share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NODK</w:t>
            </w:r>
          </w:p>
        </w:tc>
        <w:tc>
          <w:tcPr>
            <w:tcW w:w="100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Capital Market</w:t>
            </w:r>
          </w:p>
        </w:tc>
      </w:tr>
    </w:tbl>
    <w:p>
      <w:pPr>
        <w:spacing w:after="0" w:line="198"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No </w:t>
      </w:r>
      <w:r>
        <w:rPr>
          <w:rFonts w:ascii="MS PGothic" w:cs="MS PGothic" w:eastAsia="MS PGothic" w:hAnsi="MS PGothic"/>
          <w:sz w:val="18"/>
          <w:szCs w:val="18"/>
          <w:color w:val="auto"/>
        </w:rPr>
        <w:t>☐</w:t>
      </w:r>
    </w:p>
    <w:p>
      <w:pPr>
        <w:spacing w:after="0" w:line="171" w:lineRule="exact"/>
        <w:rPr>
          <w:sz w:val="24"/>
          <w:szCs w:val="24"/>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340" w:hanging="242"/>
        <w:spacing w:after="0" w:line="207" w:lineRule="exact"/>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No </w:t>
      </w:r>
      <w:r>
        <w:rPr>
          <w:rFonts w:ascii="MS PGothic" w:cs="MS PGothic" w:eastAsia="MS PGothic" w:hAnsi="MS PGothic"/>
          <w:sz w:val="18"/>
          <w:szCs w:val="18"/>
          <w:color w:val="auto"/>
        </w:rPr>
        <w:t>☐</w:t>
      </w:r>
    </w:p>
    <w:p>
      <w:pPr>
        <w:spacing w:after="0" w:line="212"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2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33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Accelerated filer</w:t>
            </w:r>
          </w:p>
        </w:tc>
        <w:tc>
          <w:tcPr>
            <w:tcW w:w="328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2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33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28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r>
      <w:tr>
        <w:trPr>
          <w:trHeight w:val="303"/>
        </w:trPr>
        <w:tc>
          <w:tcPr>
            <w:tcW w:w="2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3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Emerging growth company</w:t>
            </w:r>
          </w:p>
        </w:tc>
        <w:tc>
          <w:tcPr>
            <w:tcW w:w="328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r>
      <w:tr>
        <w:trPr>
          <w:trHeight w:val="533"/>
        </w:trPr>
        <w:tc>
          <w:tcPr>
            <w:tcW w:w="25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i</w:t>
            </w: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82" w:right="339" w:bottom="1440"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tabs>
          <w:tab w:leader="none" w:pos="898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tab/>
        <w:t xml:space="preserve">No </w:t>
      </w:r>
      <w:r>
        <w:rPr>
          <w:rFonts w:ascii="MS PGothic" w:cs="MS PGothic" w:eastAsia="MS PGothic" w:hAnsi="MS PGothic"/>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Registrant’s common stock outstanding on July 31, 2024 was 20,648,642. No preferred shares are issued or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553" w:right="4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960" w:type="dxa"/>
            <w:vAlign w:val="bottom"/>
            <w:gridSpan w:val="10"/>
          </w:tcPr>
          <w:p>
            <w:pPr>
              <w:ind w:left="10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80" w:type="dxa"/>
            <w:vAlign w:val="bottom"/>
          </w:tcPr>
          <w:p>
            <w:pPr>
              <w:spacing w:after="0"/>
              <w:rPr>
                <w:sz w:val="20"/>
                <w:szCs w:val="20"/>
                <w:color w:val="auto"/>
              </w:rPr>
            </w:pPr>
          </w:p>
        </w:tc>
      </w:tr>
      <w:tr>
        <w:trPr>
          <w:trHeight w:val="392"/>
        </w:trPr>
        <w:tc>
          <w:tcPr>
            <w:tcW w:w="29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7"/>
              </w:rPr>
              <w:t>FORWARD-LOOKING STATEMENTS</w:t>
            </w:r>
          </w:p>
        </w:tc>
        <w:tc>
          <w:tcPr>
            <w:tcW w:w="7620" w:type="dxa"/>
            <w:vAlign w:val="bottom"/>
            <w:gridSpan w:val="13"/>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71"/>
        </w:trPr>
        <w:tc>
          <w:tcPr>
            <w:tcW w:w="286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Part I. - FINANCIAL INFORMATION</w:t>
            </w:r>
          </w:p>
        </w:tc>
        <w:tc>
          <w:tcPr>
            <w:tcW w:w="7700" w:type="dxa"/>
            <w:vAlign w:val="bottom"/>
            <w:gridSpan w:val="14"/>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72"/>
        </w:trPr>
        <w:tc>
          <w:tcPr>
            <w:tcW w:w="660" w:type="dxa"/>
            <w:vAlign w:val="bottom"/>
          </w:tcPr>
          <w:p>
            <w:pPr>
              <w:spacing w:after="0"/>
              <w:rPr>
                <w:sz w:val="24"/>
                <w:szCs w:val="24"/>
                <w:color w:val="auto"/>
              </w:rPr>
            </w:pPr>
          </w:p>
        </w:tc>
        <w:tc>
          <w:tcPr>
            <w:tcW w:w="21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Item 1. - Financial Statements</w:t>
            </w:r>
          </w:p>
        </w:tc>
        <w:tc>
          <w:tcPr>
            <w:tcW w:w="7740" w:type="dxa"/>
            <w:vAlign w:val="bottom"/>
            <w:gridSpan w:val="15"/>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72"/>
        </w:trPr>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5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Consolidated Balance Sheet – June 30, 2024 (Unaudited) and December 31, 2023</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38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Operations (Unaudited) – Three Months and Six Months Ended June 30, 2024 and 2023</w:t>
            </w:r>
          </w:p>
        </w:tc>
        <w:tc>
          <w:tcPr>
            <w:tcW w:w="1200" w:type="dxa"/>
            <w:vAlign w:val="bottom"/>
            <w:gridSpan w:val="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5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Comprehensive Income (Loss) (Unaudited) – Three Months and Six Months Ended June 30, 2024</w:t>
            </w:r>
          </w:p>
        </w:tc>
        <w:tc>
          <w:tcPr>
            <w:tcW w:w="68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and 2023</w:t>
            </w:r>
          </w:p>
        </w:tc>
        <w:tc>
          <w:tcPr>
            <w:tcW w:w="7440" w:type="dxa"/>
            <w:vAlign w:val="bottom"/>
            <w:tcBorders>
              <w:top w:val="single" w:sz="8" w:color="0000EE"/>
            </w:tcBorders>
            <w:gridSpan w:val="16"/>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5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Changes in Shareholders’ Equity (Unaudited) – Three Months and Six Months Ended June 30,</w:t>
            </w:r>
          </w:p>
        </w:tc>
        <w:tc>
          <w:tcPr>
            <w:tcW w:w="68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786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2024 and 2023</w:t>
            </w:r>
          </w:p>
        </w:tc>
        <w:tc>
          <w:tcPr>
            <w:tcW w:w="740" w:type="dxa"/>
            <w:vAlign w:val="bottom"/>
            <w:gridSpan w:val="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5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(Unaudited) – Six Months Ended June 30, 2024 and 2023</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6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Notes to Unaudited Consolidated Financial Statements</w:t>
            </w:r>
          </w:p>
        </w:tc>
        <w:tc>
          <w:tcPr>
            <w:tcW w:w="2520" w:type="dxa"/>
            <w:vAlign w:val="bottom"/>
            <w:gridSpan w:val="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712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Item 2. - Management’s Discussion and Analysis of Financial Condition and Results of Operations</w:t>
            </w:r>
          </w:p>
        </w:tc>
        <w:tc>
          <w:tcPr>
            <w:tcW w:w="2780" w:type="dxa"/>
            <w:vAlign w:val="bottom"/>
            <w:gridSpan w:val="5"/>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196"/>
        </w:trPr>
        <w:tc>
          <w:tcPr>
            <w:tcW w:w="660" w:type="dxa"/>
            <w:vAlign w:val="bottom"/>
          </w:tcPr>
          <w:p>
            <w:pPr>
              <w:spacing w:after="0"/>
              <w:rPr>
                <w:sz w:val="17"/>
                <w:szCs w:val="17"/>
                <w:color w:val="auto"/>
              </w:rPr>
            </w:pPr>
          </w:p>
        </w:tc>
        <w:tc>
          <w:tcPr>
            <w:tcW w:w="99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Item 3. - Quantitative and Qualitative Disclosures about Market Risk</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196"/>
        </w:trPr>
        <w:tc>
          <w:tcPr>
            <w:tcW w:w="660" w:type="dxa"/>
            <w:vAlign w:val="bottom"/>
          </w:tcPr>
          <w:p>
            <w:pPr>
              <w:spacing w:after="0"/>
              <w:rPr>
                <w:sz w:val="17"/>
                <w:szCs w:val="17"/>
                <w:color w:val="auto"/>
              </w:rPr>
            </w:pPr>
          </w:p>
        </w:tc>
        <w:tc>
          <w:tcPr>
            <w:tcW w:w="496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Item 4. - Controls and Procedures</w:t>
            </w:r>
          </w:p>
        </w:tc>
        <w:tc>
          <w:tcPr>
            <w:tcW w:w="4940" w:type="dxa"/>
            <w:vAlign w:val="bottom"/>
            <w:gridSpan w:val="8"/>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20"/>
        </w:trPr>
        <w:tc>
          <w:tcPr>
            <w:tcW w:w="6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490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72"/>
        </w:trPr>
        <w:tc>
          <w:tcPr>
            <w:tcW w:w="105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Part II. - OTHER INFORMATION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0"/>
        </w:trPr>
        <w:tc>
          <w:tcPr>
            <w:tcW w:w="6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490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72"/>
        </w:trPr>
        <w:tc>
          <w:tcPr>
            <w:tcW w:w="660" w:type="dxa"/>
            <w:vAlign w:val="bottom"/>
          </w:tcPr>
          <w:p>
            <w:pPr>
              <w:spacing w:after="0"/>
              <w:rPr>
                <w:sz w:val="24"/>
                <w:szCs w:val="24"/>
                <w:color w:val="auto"/>
              </w:rPr>
            </w:pPr>
          </w:p>
        </w:tc>
        <w:tc>
          <w:tcPr>
            <w:tcW w:w="990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Item 1. - Legal Proceedings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196"/>
        </w:trPr>
        <w:tc>
          <w:tcPr>
            <w:tcW w:w="660" w:type="dxa"/>
            <w:vAlign w:val="bottom"/>
          </w:tcPr>
          <w:p>
            <w:pPr>
              <w:spacing w:after="0"/>
              <w:rPr>
                <w:sz w:val="17"/>
                <w:szCs w:val="17"/>
                <w:color w:val="auto"/>
              </w:rPr>
            </w:pPr>
          </w:p>
        </w:tc>
        <w:tc>
          <w:tcPr>
            <w:tcW w:w="170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1A. - Risk Factors</w:t>
            </w:r>
          </w:p>
        </w:tc>
        <w:tc>
          <w:tcPr>
            <w:tcW w:w="280" w:type="dxa"/>
            <w:vAlign w:val="bottom"/>
            <w:tcBorders>
              <w:top w:val="single" w:sz="8" w:color="0000EE"/>
            </w:tcBorders>
            <w:gridSpan w:val="3"/>
          </w:tcPr>
          <w:p>
            <w:pPr>
              <w:spacing w:after="0"/>
              <w:rPr>
                <w:sz w:val="17"/>
                <w:szCs w:val="17"/>
                <w:color w:val="auto"/>
              </w:rPr>
            </w:pPr>
          </w:p>
        </w:tc>
        <w:tc>
          <w:tcPr>
            <w:tcW w:w="7920" w:type="dxa"/>
            <w:vAlign w:val="bottom"/>
            <w:gridSpan w:val="16"/>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196"/>
        </w:trPr>
        <w:tc>
          <w:tcPr>
            <w:tcW w:w="660" w:type="dxa"/>
            <w:vAlign w:val="bottom"/>
          </w:tcPr>
          <w:p>
            <w:pPr>
              <w:spacing w:after="0"/>
              <w:rPr>
                <w:sz w:val="17"/>
                <w:szCs w:val="17"/>
                <w:color w:val="auto"/>
              </w:rPr>
            </w:pPr>
          </w:p>
        </w:tc>
        <w:tc>
          <w:tcPr>
            <w:tcW w:w="99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Item 2. - Unregistered Sales of Equity Securities and Use of Proceeds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196"/>
        </w:trPr>
        <w:tc>
          <w:tcPr>
            <w:tcW w:w="660" w:type="dxa"/>
            <w:vAlign w:val="bottom"/>
          </w:tcPr>
          <w:p>
            <w:pPr>
              <w:spacing w:after="0"/>
              <w:rPr>
                <w:sz w:val="17"/>
                <w:szCs w:val="17"/>
                <w:color w:val="auto"/>
              </w:rPr>
            </w:pPr>
          </w:p>
        </w:tc>
        <w:tc>
          <w:tcPr>
            <w:tcW w:w="294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Item 3. - Defaults upon Senior Securities</w:t>
            </w:r>
          </w:p>
        </w:tc>
        <w:tc>
          <w:tcPr>
            <w:tcW w:w="2060" w:type="dxa"/>
            <w:vAlign w:val="bottom"/>
            <w:tcBorders>
              <w:top w:val="single" w:sz="8" w:color="0000EE"/>
            </w:tcBorders>
            <w:gridSpan w:val="3"/>
          </w:tcPr>
          <w:p>
            <w:pPr>
              <w:spacing w:after="0"/>
              <w:rPr>
                <w:sz w:val="17"/>
                <w:szCs w:val="17"/>
                <w:color w:val="auto"/>
              </w:rPr>
            </w:pPr>
          </w:p>
        </w:tc>
        <w:tc>
          <w:tcPr>
            <w:tcW w:w="4900" w:type="dxa"/>
            <w:vAlign w:val="bottom"/>
            <w:gridSpan w:val="7"/>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196"/>
        </w:trPr>
        <w:tc>
          <w:tcPr>
            <w:tcW w:w="660" w:type="dxa"/>
            <w:vAlign w:val="bottom"/>
          </w:tcPr>
          <w:p>
            <w:pPr>
              <w:spacing w:after="0"/>
              <w:rPr>
                <w:sz w:val="17"/>
                <w:szCs w:val="17"/>
                <w:color w:val="auto"/>
              </w:rPr>
            </w:pPr>
          </w:p>
        </w:tc>
        <w:tc>
          <w:tcPr>
            <w:tcW w:w="99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Item 4. - Mine Safety Disclosures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196"/>
        </w:trPr>
        <w:tc>
          <w:tcPr>
            <w:tcW w:w="660" w:type="dxa"/>
            <w:vAlign w:val="bottom"/>
          </w:tcPr>
          <w:p>
            <w:pPr>
              <w:spacing w:after="0"/>
              <w:rPr>
                <w:sz w:val="17"/>
                <w:szCs w:val="17"/>
                <w:color w:val="auto"/>
              </w:rPr>
            </w:pPr>
          </w:p>
        </w:tc>
        <w:tc>
          <w:tcPr>
            <w:tcW w:w="242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Item 5. - Other Information</w:t>
            </w:r>
          </w:p>
        </w:tc>
        <w:tc>
          <w:tcPr>
            <w:tcW w:w="7480" w:type="dxa"/>
            <w:vAlign w:val="bottom"/>
            <w:gridSpan w:val="11"/>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196"/>
        </w:trPr>
        <w:tc>
          <w:tcPr>
            <w:tcW w:w="66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Item 6. - Exhibits</w:t>
            </w:r>
          </w:p>
        </w:tc>
        <w:tc>
          <w:tcPr>
            <w:tcW w:w="700" w:type="dxa"/>
            <w:vAlign w:val="bottom"/>
            <w:tcBorders>
              <w:top w:val="single" w:sz="8" w:color="0000EE"/>
            </w:tcBorders>
            <w:gridSpan w:val="4"/>
          </w:tcPr>
          <w:p>
            <w:pPr>
              <w:spacing w:after="0"/>
              <w:rPr>
                <w:sz w:val="17"/>
                <w:szCs w:val="17"/>
                <w:color w:val="auto"/>
              </w:rPr>
            </w:pPr>
          </w:p>
        </w:tc>
        <w:tc>
          <w:tcPr>
            <w:tcW w:w="7940" w:type="dxa"/>
            <w:vAlign w:val="bottom"/>
            <w:gridSpan w:val="17"/>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196"/>
        </w:trPr>
        <w:tc>
          <w:tcPr>
            <w:tcW w:w="660" w:type="dxa"/>
            <w:vAlign w:val="bottom"/>
          </w:tcPr>
          <w:p>
            <w:pPr>
              <w:spacing w:after="0"/>
              <w:rPr>
                <w:sz w:val="17"/>
                <w:szCs w:val="17"/>
                <w:color w:val="auto"/>
              </w:rPr>
            </w:pPr>
          </w:p>
        </w:tc>
        <w:tc>
          <w:tcPr>
            <w:tcW w:w="7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Signatures</w:t>
            </w:r>
          </w:p>
        </w:tc>
        <w:tc>
          <w:tcPr>
            <w:tcW w:w="9140" w:type="dxa"/>
            <w:vAlign w:val="bottom"/>
            <w:gridSpan w:val="2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bl>
    <w:p>
      <w:pPr>
        <w:spacing w:after="0" w:line="200" w:lineRule="exact"/>
        <w:rPr>
          <w:sz w:val="20"/>
          <w:szCs w:val="20"/>
          <w:color w:val="auto"/>
        </w:rPr>
      </w:pPr>
    </w:p>
    <w:p>
      <w:pPr>
        <w:spacing w:after="0" w:line="3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 w:name="page4"/>
    <w:bookmarkEnd w:id="3"/>
    <w:p>
      <w:pPr>
        <w:ind w:left="3960"/>
        <w:spacing w:after="0"/>
        <w:rPr>
          <w:sz w:val="20"/>
          <w:szCs w:val="20"/>
          <w:color w:val="auto"/>
        </w:rPr>
      </w:pPr>
      <w:r>
        <w:rPr>
          <w:rFonts w:ascii="Times New Roman" w:cs="Times New Roman" w:eastAsia="Times New Roman" w:hAnsi="Times New Roman"/>
          <w:sz w:val="18"/>
          <w:szCs w:val="18"/>
          <w:b w:val="1"/>
          <w:bCs w:val="1"/>
          <w:color w:val="auto"/>
        </w:rPr>
        <w:t>CERTAIN IMPORTANT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otherwise requires, as used in this Quarterly Report on Form 10-Q (“Form 10-Q”):</w:t>
      </w:r>
    </w:p>
    <w:p>
      <w:pPr>
        <w:spacing w:after="0" w:line="225" w:lineRule="exact"/>
        <w:rPr>
          <w:sz w:val="20"/>
          <w:szCs w:val="20"/>
          <w:color w:val="auto"/>
        </w:rPr>
      </w:pPr>
    </w:p>
    <w:p>
      <w:pPr>
        <w:ind w:left="660" w:right="12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 Holdings”, “the Company”, “we”, “us”, and “our” refer to NI Holdings, Inc., together with Nodak Insurance Company and its subsidiaries, Direct Auto Insurance Company, and Westminster American Insurance Company (sold on June 30, 2024), for periods discussed after completion of the conversion, and for periods discussed prior to completion of the conversion refer to Nodak Mutual Insurance Company and all of its subsidiaries and Battle Creek Mutual Insurance Company;</w:t>
      </w:r>
    </w:p>
    <w:p>
      <w:pPr>
        <w:spacing w:after="0" w:line="179"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“Nodak conversion” refers to the series of transactions consummated on March 13, 2017, by which Nodak Mutual Insurance Company converted from a mutual insurance company to a stock insurance company, as Nodak Insurance Company, and became a wholly-owned subsidiary of NI Holdings, an intermediate stock holding company formed on the date of conversion;</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“Nodak Mutual Group” refers to Nodak Mutual Group, Inc., which is the majority shareholder of NI Holdings;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“Nodak Mutual” refers to Nodak Mutual Insurance Company, the predecessor company to Nodak Insurance Company prior to the conversion;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“Nodak Insurance” refers to Nodak Insurance Company or Nodak Mutual Insurance Company interchangeably;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refers to the policyholders of Nodak Insurance, who are the named insureds under insurance policies issued by Nodak Insurance;</w:t>
      </w:r>
    </w:p>
    <w:p>
      <w:pPr>
        <w:spacing w:after="0" w:line="225" w:lineRule="exact"/>
        <w:rPr>
          <w:rFonts w:ascii="Times New Roman" w:cs="Times New Roman" w:eastAsia="Times New Roman" w:hAnsi="Times New Roman"/>
          <w:sz w:val="18"/>
          <w:szCs w:val="18"/>
          <w:color w:val="auto"/>
        </w:rPr>
      </w:pPr>
    </w:p>
    <w:p>
      <w:pPr>
        <w:ind w:left="660" w:right="120" w:hanging="328"/>
        <w:spacing w:after="0" w:line="255"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“Battle Creek” refers to Battle Creek Mutual Insurance Company or Battle Creek Insurance Company interchangeably. Battle Creek Mutual Insurance Company became affiliated with Nodak Insurance in 2011 and, prior to January 2, 2024, was controlled by Nodak Insurance via a surplus note. The terms of the surplus note allowed Nodak Insurance to appoint two-thirds of the Battle Creek Mutual Insurance Company Board of Directors. As of January 2, 2024, the North Dakota Secretary of State approved the conversion of Battle Creek Mutual Insurance Company from a mutual insurance company to a stock insurance company. In accordance with the approved plan of conversion, the name of Battle Creek Mutual Insurance Company became Battle Creek Insurance Company, the surplus note was considered paid in full as of the conversion date, and Battle Creek became a wholly-owned subsidiary of Nodak Insurance;</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Auto” refers to Direct Auto Insurance Company. Direct Auto is a wholly-owned subsidiary of NI Holdings;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West” refers to American West Insurance Company. American West is a wholly-owned subsidiary of Nodak Insurance;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“Primero” refers to Primero Insurance Company. Primero is an indirect, wholly-owned subsidiary of Nodak Insurance;</w:t>
      </w:r>
    </w:p>
    <w:p>
      <w:pPr>
        <w:spacing w:after="0" w:line="22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“Westminster” refers to Westminster American Insurance Company. Westminster was a wholly-owned subsidiary of NI Holdings until it was sold to Scott Insurance Holdings, LLC (“Scott Insurance Holdings”) on June 30, 2024;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“Nodak Agency” refers to Nodak Agency, Inc. Nodak Agency is a wholly-owned subsidiary of Nodak Insurance.</w:t>
      </w: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This report contains, and management may make, certain “forward-looking statements” within the meaning of the Private Securities Litigation Reform Act of 1995. All statements, other than statements of historical facts, may be forward-looking statements. Words such as “may”, “will”, “should”, “likely”, “anticipates”, “expects”, “intends”, “plans”, “projects”, “believes”, “views”, “estimates”, and similar expressions are used to identify these forward-looking statements. These statements include, among other things, the Company’s statements about:</w:t>
      </w:r>
    </w:p>
    <w:p>
      <w:pPr>
        <w:spacing w:after="0" w:line="180"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operating and financial performance, business plans, and prospects;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reviews, capital allocation objectives, dividends, and share repurchases;</w:t>
      </w:r>
    </w:p>
    <w:p>
      <w:pPr>
        <w:spacing w:after="0" w:line="225"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for and prospects of acquisitions, dispositions, and other business development activities, and our ability to successfully capitalize on these opportunities;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future pandemic and related economic conditions, including the potential impact on the Company's investments;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new markets successfully and capitalize on growth opportunities either through acquisitions or the expansion of our distribution network;</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cyclical changes in the insurance industry, competition, and innovation and emerging technologies;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for impact of, or changes to, existing or new government regulations or laws;</w:t>
      </w:r>
    </w:p>
    <w:p>
      <w:pPr>
        <w:spacing w:after="0" w:line="225"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and respond to macroeconomic, geopolitical, health and industry trends, pandemics, acts of war, and other large-scale crises;</w:t>
      </w:r>
    </w:p>
    <w:p>
      <w:pPr>
        <w:spacing w:after="0" w:line="16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general economic conditions, domestic and global financial markets, interest rates, unemployment, or inflation, that could affect the performance of our insurance operations and/or investment portfolio;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future growth, including additional necessary capital, systems, and personnel.</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Given their nature, we cannot assure that any outcome expressed in these or other forward-looking statements will be realized in whole or in part. Actual outcomes may vary materially from past results and those anticipated, estimated, implied, or projected. These forward-looking statements may be affected by underlying assumptions that may prove inaccurate or incomplete, or by known or unknown risks and uncertainties, including those described in Part II, Item 1A, “Risk Factors” of this Form 10-Q and in the Part I, Item 1A, “Risk Factors” section in our Annual Report on Form 10-K for the year ended December 31, 2023 (“2023 Annual Report”). The occurrence of any of the risks identified in the Part I, Item 1A, “Risk Factors” section of the 2023 Annual Report, or other risks currently unknown, could have a material adverse effect on our business, financial condition or results of operations, or we may be required to increase our accruals for contingencies. It is not possible to predict or identify all such factors. Consequently, you should not consider such discussion to be a complete discussion of all potential risks or uncertainties.</w:t>
      </w:r>
    </w:p>
    <w:p>
      <w:pPr>
        <w:spacing w:after="0" w:line="192"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Therefore, you are cautioned not to unduly rely on forward-looking statements, which speak only as of the date of this Form 10-Q. We undertake no obligation to update forward-looking statements, whether as a result of new information, future events or otherwise, except as required by applicable securities law. You are advised, however, to consult any further disclosures we make on related subjects.</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7540" w:type="dxa"/>
            <w:vAlign w:val="bottom"/>
          </w:tcPr>
          <w:p>
            <w:pPr>
              <w:ind w:left="404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NI Holdings, Inc.</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par value)</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7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86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09"/>
        </w:trPr>
        <w:tc>
          <w:tcPr>
            <w:tcW w:w="75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(Unaudited)</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51,390</w:t>
            </w:r>
          </w:p>
        </w:tc>
        <w:tc>
          <w:tcPr>
            <w:tcW w:w="7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41,037</w:t>
            </w:r>
          </w:p>
        </w:tc>
        <w:tc>
          <w:tcPr>
            <w:tcW w:w="0" w:type="dxa"/>
            <w:vAlign w:val="bottom"/>
          </w:tcPr>
          <w:p>
            <w:pPr>
              <w:spacing w:after="0"/>
              <w:rPr>
                <w:sz w:val="1"/>
                <w:szCs w:val="1"/>
                <w:color w:val="auto"/>
              </w:rPr>
            </w:pPr>
          </w:p>
        </w:tc>
      </w:tr>
      <w:tr>
        <w:trPr>
          <w:trHeight w:val="198"/>
        </w:trPr>
        <w:tc>
          <w:tcPr>
            <w:tcW w:w="754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Fixed income securities, at fair value (net of allowance for expected credit losses of $0 at June</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30, 2024 and December 31, 2023)</w:t>
            </w:r>
          </w:p>
        </w:tc>
        <w:tc>
          <w:tcPr>
            <w:tcW w:w="16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303,415</w:t>
            </w:r>
          </w:p>
        </w:tc>
        <w:tc>
          <w:tcPr>
            <w:tcW w:w="3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289,399</w:t>
            </w:r>
          </w:p>
        </w:tc>
        <w:tc>
          <w:tcPr>
            <w:tcW w:w="0" w:type="dxa"/>
            <w:vAlign w:val="bottom"/>
          </w:tcPr>
          <w:p>
            <w:pPr>
              <w:spacing w:after="0"/>
              <w:rPr>
                <w:sz w:val="1"/>
                <w:szCs w:val="1"/>
                <w:color w:val="auto"/>
              </w:rPr>
            </w:pPr>
          </w:p>
        </w:tc>
      </w:tr>
      <w:tr>
        <w:trPr>
          <w:trHeight w:val="216"/>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Equity securities, at fair value</w:t>
            </w:r>
          </w:p>
        </w:tc>
        <w:tc>
          <w:tcPr>
            <w:tcW w:w="16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22,973</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21,983</w:t>
            </w: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investments</w:t>
            </w:r>
          </w:p>
        </w:tc>
        <w:tc>
          <w:tcPr>
            <w:tcW w:w="1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2,006</w:t>
            </w:r>
          </w:p>
        </w:tc>
        <w:tc>
          <w:tcPr>
            <w:tcW w:w="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2,006</w:t>
            </w:r>
          </w:p>
        </w:tc>
        <w:tc>
          <w:tcPr>
            <w:tcW w:w="0" w:type="dxa"/>
            <w:vAlign w:val="bottom"/>
          </w:tcPr>
          <w:p>
            <w:pPr>
              <w:spacing w:after="0"/>
              <w:rPr>
                <w:sz w:val="1"/>
                <w:szCs w:val="1"/>
                <w:color w:val="auto"/>
              </w:rPr>
            </w:pPr>
          </w:p>
        </w:tc>
      </w:tr>
      <w:tr>
        <w:trPr>
          <w:trHeight w:val="210"/>
        </w:trPr>
        <w:tc>
          <w:tcPr>
            <w:tcW w:w="7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cash and investments</w:t>
            </w: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379,784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354,425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54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Premiums and agents' balances receivable (net of allowance for expected credit losses of $348</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at June 30, 2024 and $394 at December 31, 2023)</w:t>
            </w:r>
          </w:p>
        </w:tc>
        <w:tc>
          <w:tcPr>
            <w:tcW w:w="160" w:type="dxa"/>
            <w:vAlign w:val="bottom"/>
          </w:tcPr>
          <w:p>
            <w:pPr>
              <w:spacing w:after="0"/>
              <w:rPr>
                <w:sz w:val="20"/>
                <w:szCs w:val="20"/>
                <w:color w:val="auto"/>
              </w:rPr>
            </w:pPr>
          </w:p>
        </w:tc>
        <w:tc>
          <w:tcPr>
            <w:tcW w:w="16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92,831</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56,154</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31,157</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26,790</w:t>
            </w:r>
          </w:p>
        </w:tc>
        <w:tc>
          <w:tcPr>
            <w:tcW w:w="0" w:type="dxa"/>
            <w:vAlign w:val="bottom"/>
          </w:tcPr>
          <w:p>
            <w:pPr>
              <w:spacing w:after="0"/>
              <w:rPr>
                <w:sz w:val="1"/>
                <w:szCs w:val="1"/>
                <w:color w:val="auto"/>
              </w:rPr>
            </w:pPr>
          </w:p>
        </w:tc>
      </w:tr>
      <w:tr>
        <w:trPr>
          <w:trHeight w:val="216"/>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Reinsurance premiums receivable (payable)</w:t>
            </w:r>
          </w:p>
        </w:tc>
        <w:tc>
          <w:tcPr>
            <w:tcW w:w="16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(1,403)</w:t>
            </w:r>
          </w:p>
        </w:tc>
        <w:tc>
          <w:tcPr>
            <w:tcW w:w="0" w:type="dxa"/>
            <w:vAlign w:val="bottom"/>
          </w:tcPr>
          <w:p>
            <w:pPr>
              <w:spacing w:after="0"/>
              <w:rPr>
                <w:sz w:val="1"/>
                <w:szCs w:val="1"/>
                <w:color w:val="auto"/>
              </w:rPr>
            </w:pPr>
          </w:p>
        </w:tc>
      </w:tr>
      <w:tr>
        <w:trPr>
          <w:trHeight w:val="198"/>
        </w:trPr>
        <w:tc>
          <w:tcPr>
            <w:tcW w:w="754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Reinsurance recoverables on losses (net of allowance for expected credit losses of $0 at June</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30, 2024 and December 31, 2023)</w:t>
            </w:r>
          </w:p>
        </w:tc>
        <w:tc>
          <w:tcPr>
            <w:tcW w:w="16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9,423</w:t>
            </w:r>
          </w:p>
        </w:tc>
        <w:tc>
          <w:tcPr>
            <w:tcW w:w="3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6,460</w:t>
            </w:r>
          </w:p>
        </w:tc>
        <w:tc>
          <w:tcPr>
            <w:tcW w:w="0" w:type="dxa"/>
            <w:vAlign w:val="bottom"/>
          </w:tcPr>
          <w:p>
            <w:pPr>
              <w:spacing w:after="0"/>
              <w:rPr>
                <w:sz w:val="1"/>
                <w:szCs w:val="1"/>
                <w:color w:val="auto"/>
              </w:rPr>
            </w:pPr>
          </w:p>
        </w:tc>
      </w:tr>
      <w:tr>
        <w:trPr>
          <w:trHeight w:val="216"/>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 recoverable</w:t>
            </w:r>
          </w:p>
        </w:tc>
        <w:tc>
          <w:tcPr>
            <w:tcW w:w="16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8,069</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2,473</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2,325</w:t>
            </w:r>
          </w:p>
        </w:tc>
        <w:tc>
          <w:tcPr>
            <w:tcW w:w="0" w:type="dxa"/>
            <w:vAlign w:val="bottom"/>
          </w:tcPr>
          <w:p>
            <w:pPr>
              <w:spacing w:after="0"/>
              <w:rPr>
                <w:sz w:val="1"/>
                <w:szCs w:val="1"/>
                <w:color w:val="auto"/>
              </w:rPr>
            </w:pPr>
          </w:p>
        </w:tc>
      </w:tr>
      <w:tr>
        <w:trPr>
          <w:trHeight w:val="216"/>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7,586</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7,452</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10,236</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9,228</w:t>
            </w:r>
          </w:p>
        </w:tc>
        <w:tc>
          <w:tcPr>
            <w:tcW w:w="0" w:type="dxa"/>
            <w:vAlign w:val="bottom"/>
          </w:tcPr>
          <w:p>
            <w:pPr>
              <w:spacing w:after="0"/>
              <w:rPr>
                <w:sz w:val="1"/>
                <w:szCs w:val="1"/>
                <w:color w:val="auto"/>
              </w:rPr>
            </w:pPr>
          </w:p>
        </w:tc>
      </w:tr>
      <w:tr>
        <w:trPr>
          <w:trHeight w:val="216"/>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Receivable from Federal Crop Insurance Corporation</w:t>
            </w:r>
          </w:p>
        </w:tc>
        <w:tc>
          <w:tcPr>
            <w:tcW w:w="16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13,793</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17,404</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2,728</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2,728</w:t>
            </w:r>
          </w:p>
        </w:tc>
        <w:tc>
          <w:tcPr>
            <w:tcW w:w="0" w:type="dxa"/>
            <w:vAlign w:val="bottom"/>
          </w:tcPr>
          <w:p>
            <w:pPr>
              <w:spacing w:after="0"/>
              <w:rPr>
                <w:sz w:val="1"/>
                <w:szCs w:val="1"/>
                <w:color w:val="auto"/>
              </w:rPr>
            </w:pPr>
          </w:p>
        </w:tc>
      </w:tr>
      <w:tr>
        <w:trPr>
          <w:trHeight w:val="216"/>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12,907</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10,866</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Assets of discontinued operations</w:t>
            </w:r>
          </w:p>
        </w:tc>
        <w:tc>
          <w:tcPr>
            <w:tcW w:w="1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162,457</w:t>
            </w:r>
          </w:p>
        </w:tc>
        <w:tc>
          <w:tcPr>
            <w:tcW w:w="0" w:type="dxa"/>
            <w:vAlign w:val="bottom"/>
          </w:tcPr>
          <w:p>
            <w:pPr>
              <w:spacing w:after="0"/>
              <w:rPr>
                <w:sz w:val="1"/>
                <w:szCs w:val="1"/>
                <w:color w:val="auto"/>
              </w:rPr>
            </w:pPr>
          </w:p>
        </w:tc>
      </w:tr>
      <w:tr>
        <w:trPr>
          <w:trHeight w:val="263"/>
        </w:trPr>
        <w:tc>
          <w:tcPr>
            <w:tcW w:w="75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570,987</w:t>
            </w:r>
          </w:p>
        </w:tc>
        <w:tc>
          <w:tcPr>
            <w:tcW w:w="36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654,886</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Unpaid losses and loss adjustment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148,527</w:t>
            </w:r>
          </w:p>
        </w:tc>
        <w:tc>
          <w:tcPr>
            <w:tcW w:w="7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119,185</w:t>
            </w:r>
          </w:p>
        </w:tc>
        <w:tc>
          <w:tcPr>
            <w:tcW w:w="0" w:type="dxa"/>
            <w:vAlign w:val="bottom"/>
          </w:tcPr>
          <w:p>
            <w:pPr>
              <w:spacing w:after="0"/>
              <w:rPr>
                <w:sz w:val="1"/>
                <w:szCs w:val="1"/>
                <w:color w:val="auto"/>
              </w:rPr>
            </w:pPr>
          </w:p>
        </w:tc>
      </w:tr>
      <w:tr>
        <w:trPr>
          <w:trHeight w:val="216"/>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Unearned premiums</w:t>
            </w:r>
          </w:p>
        </w:tc>
        <w:tc>
          <w:tcPr>
            <w:tcW w:w="16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157,730</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126,100</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Reinsurance premiums payable</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912</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 payable</w:t>
            </w:r>
          </w:p>
        </w:tc>
        <w:tc>
          <w:tcPr>
            <w:tcW w:w="16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24,368</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17,758</w:t>
            </w:r>
          </w:p>
        </w:tc>
        <w:tc>
          <w:tcPr>
            <w:tcW w:w="0" w:type="dxa"/>
            <w:vAlign w:val="bottom"/>
          </w:tcPr>
          <w:p>
            <w:pPr>
              <w:spacing w:after="0"/>
              <w:rPr>
                <w:sz w:val="1"/>
                <w:szCs w:val="1"/>
                <w:color w:val="auto"/>
              </w:rPr>
            </w:pPr>
          </w:p>
        </w:tc>
      </w:tr>
      <w:tr>
        <w:trPr>
          <w:trHeight w:val="230"/>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Liabilities of discontinued operations</w:t>
            </w:r>
          </w:p>
        </w:tc>
        <w:tc>
          <w:tcPr>
            <w:tcW w:w="160" w:type="dxa"/>
            <w:vAlign w:val="bottom"/>
          </w:tcPr>
          <w:p>
            <w:pPr>
              <w:spacing w:after="0"/>
              <w:rPr>
                <w:sz w:val="19"/>
                <w:szCs w:val="19"/>
                <w:color w:val="auto"/>
              </w:rPr>
            </w:pPr>
          </w:p>
        </w:tc>
        <w:tc>
          <w:tcPr>
            <w:tcW w:w="16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141,297</w:t>
            </w:r>
          </w:p>
        </w:tc>
        <w:tc>
          <w:tcPr>
            <w:tcW w:w="0" w:type="dxa"/>
            <w:vAlign w:val="bottom"/>
          </w:tcPr>
          <w:p>
            <w:pPr>
              <w:spacing w:after="0"/>
              <w:rPr>
                <w:sz w:val="1"/>
                <w:szCs w:val="1"/>
                <w:color w:val="auto"/>
              </w:rPr>
            </w:pPr>
          </w:p>
        </w:tc>
      </w:tr>
      <w:tr>
        <w:trPr>
          <w:trHeight w:val="210"/>
        </w:trPr>
        <w:tc>
          <w:tcPr>
            <w:tcW w:w="75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331,537</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54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$0.01 par value, authorized: 25,000,000 shares; issued: 23,000,000 shares;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outstanding: 2024 – 20,648,642 shares, 2023 – 20,599,908 shares</w:t>
            </w:r>
          </w:p>
        </w:tc>
        <w:tc>
          <w:tcPr>
            <w:tcW w:w="160" w:type="dxa"/>
            <w:vAlign w:val="bottom"/>
          </w:tcPr>
          <w:p>
            <w:pPr>
              <w:spacing w:after="0"/>
              <w:rPr>
                <w:sz w:val="20"/>
                <w:szCs w:val="20"/>
                <w:color w:val="auto"/>
              </w:rPr>
            </w:pPr>
          </w:p>
        </w:tc>
        <w:tc>
          <w:tcPr>
            <w:tcW w:w="16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230</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96,581</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96,294</w:t>
            </w:r>
          </w:p>
        </w:tc>
        <w:tc>
          <w:tcPr>
            <w:tcW w:w="0" w:type="dxa"/>
            <w:vAlign w:val="bottom"/>
          </w:tcPr>
          <w:p>
            <w:pPr>
              <w:spacing w:after="0"/>
              <w:rPr>
                <w:sz w:val="1"/>
                <w:szCs w:val="1"/>
                <w:color w:val="auto"/>
              </w:rPr>
            </w:pPr>
          </w:p>
        </w:tc>
      </w:tr>
      <w:tr>
        <w:trPr>
          <w:trHeight w:val="216"/>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Unearned employee stock ownership plan shares</w:t>
            </w:r>
          </w:p>
        </w:tc>
        <w:tc>
          <w:tcPr>
            <w:tcW w:w="160" w:type="dxa"/>
            <w:vAlign w:val="bottom"/>
          </w:tcPr>
          <w:p>
            <w:pPr>
              <w:spacing w:after="0"/>
              <w:rPr>
                <w:sz w:val="18"/>
                <w:szCs w:val="18"/>
                <w:color w:val="auto"/>
              </w:rPr>
            </w:pP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(698)</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197,827</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208,376</w:t>
            </w:r>
          </w:p>
        </w:tc>
        <w:tc>
          <w:tcPr>
            <w:tcW w:w="0" w:type="dxa"/>
            <w:vAlign w:val="bottom"/>
          </w:tcPr>
          <w:p>
            <w:pPr>
              <w:spacing w:after="0"/>
              <w:rPr>
                <w:sz w:val="1"/>
                <w:szCs w:val="1"/>
                <w:color w:val="auto"/>
              </w:rPr>
            </w:pPr>
          </w:p>
        </w:tc>
      </w:tr>
      <w:tr>
        <w:trPr>
          <w:trHeight w:val="216"/>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 net of income taxes</w:t>
            </w:r>
          </w:p>
        </w:tc>
        <w:tc>
          <w:tcPr>
            <w:tcW w:w="160" w:type="dxa"/>
            <w:vAlign w:val="bottom"/>
          </w:tcPr>
          <w:p>
            <w:pPr>
              <w:spacing w:after="0"/>
              <w:rPr>
                <w:sz w:val="18"/>
                <w:szCs w:val="18"/>
                <w:color w:val="auto"/>
              </w:rPr>
            </w:pP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(20,192)</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(21,384)</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Treasury stock, at cost, 2024 – 2,281,563 shares, 2023 – 2,330,297 shares</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(34,298)</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(35,177)</w:t>
            </w:r>
          </w:p>
        </w:tc>
        <w:tc>
          <w:tcPr>
            <w:tcW w:w="0" w:type="dxa"/>
            <w:vAlign w:val="bottom"/>
          </w:tcPr>
          <w:p>
            <w:pPr>
              <w:spacing w:after="0"/>
              <w:rPr>
                <w:sz w:val="1"/>
                <w:szCs w:val="1"/>
                <w:color w:val="auto"/>
              </w:rPr>
            </w:pPr>
          </w:p>
        </w:tc>
      </w:tr>
      <w:tr>
        <w:trPr>
          <w:trHeight w:val="229"/>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Non-controlling interest</w:t>
            </w:r>
          </w:p>
        </w:tc>
        <w:tc>
          <w:tcPr>
            <w:tcW w:w="160" w:type="dxa"/>
            <w:vAlign w:val="bottom"/>
          </w:tcPr>
          <w:p>
            <w:pPr>
              <w:spacing w:after="0"/>
              <w:rPr>
                <w:sz w:val="19"/>
                <w:szCs w:val="19"/>
                <w:color w:val="auto"/>
              </w:rPr>
            </w:pPr>
          </w:p>
        </w:tc>
        <w:tc>
          <w:tcPr>
            <w:tcW w:w="16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2,758</w:t>
            </w:r>
          </w:p>
        </w:tc>
        <w:tc>
          <w:tcPr>
            <w:tcW w:w="0" w:type="dxa"/>
            <w:vAlign w:val="bottom"/>
          </w:tcPr>
          <w:p>
            <w:pPr>
              <w:spacing w:after="0"/>
              <w:rPr>
                <w:sz w:val="1"/>
                <w:szCs w:val="1"/>
                <w:color w:val="auto"/>
              </w:rPr>
            </w:pPr>
          </w:p>
        </w:tc>
      </w:tr>
      <w:tr>
        <w:trPr>
          <w:trHeight w:val="210"/>
        </w:trPr>
        <w:tc>
          <w:tcPr>
            <w:tcW w:w="75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239,450</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570,987</w:t>
            </w:r>
          </w:p>
        </w:tc>
        <w:tc>
          <w:tcPr>
            <w:tcW w:w="7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654,886</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5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7540" w:type="dxa"/>
            <w:vAlign w:val="bottom"/>
            <w:tcBorders>
              <w:bottom w:val="single" w:sz="8" w:color="auto"/>
            </w:tcBorders>
          </w:tcPr>
          <w:p>
            <w:pPr>
              <w:ind w:left="556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60" w:type="dxa"/>
            <w:vAlign w:val="bottom"/>
            <w:gridSpan w:val="6"/>
          </w:tcPr>
          <w:p>
            <w:pPr>
              <w:jc w:val="right"/>
              <w:ind w:right="70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8"/>
                <w:szCs w:val="18"/>
                <w:color w:val="auto"/>
              </w:rPr>
            </w:pPr>
          </w:p>
        </w:tc>
        <w:tc>
          <w:tcPr>
            <w:tcW w:w="2520" w:type="dxa"/>
            <w:vAlign w:val="bottom"/>
            <w:gridSpan w:val="7"/>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4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premiums earned</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85,169</w:t>
            </w:r>
          </w:p>
        </w:tc>
        <w:tc>
          <w:tcPr>
            <w:tcW w:w="40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78,835</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155,053</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141,706</w:t>
            </w:r>
          </w:p>
        </w:tc>
        <w:tc>
          <w:tcPr>
            <w:tcW w:w="80" w:type="dxa"/>
            <w:vAlign w:val="bottom"/>
          </w:tcPr>
          <w:p>
            <w:pPr>
              <w:spacing w:after="0"/>
              <w:rPr>
                <w:sz w:val="18"/>
                <w:szCs w:val="18"/>
                <w:color w:val="auto"/>
              </w:rPr>
            </w:pPr>
          </w:p>
        </w:tc>
      </w:tr>
      <w:tr>
        <w:trPr>
          <w:trHeight w:val="216"/>
        </w:trPr>
        <w:tc>
          <w:tcPr>
            <w:tcW w:w="5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Fee and other income</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490</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1,099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80" w:type="dxa"/>
            <w:vAlign w:val="bottom"/>
            <w:shd w:val="clear" w:color="auto" w:fill="CCEEFF"/>
          </w:tcPr>
          <w:p>
            <w:pPr>
              <w:spacing w:after="0"/>
              <w:rPr>
                <w:sz w:val="18"/>
                <w:szCs w:val="18"/>
                <w:color w:val="auto"/>
              </w:rPr>
            </w:pPr>
          </w:p>
        </w:tc>
      </w:tr>
      <w:tr>
        <w:trPr>
          <w:trHeight w:val="216"/>
        </w:trPr>
        <w:tc>
          <w:tcPr>
            <w:tcW w:w="5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investment income</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2,523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1,923</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5,278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3,614</w:t>
            </w:r>
          </w:p>
        </w:tc>
        <w:tc>
          <w:tcPr>
            <w:tcW w:w="80" w:type="dxa"/>
            <w:vAlign w:val="bottom"/>
          </w:tcPr>
          <w:p>
            <w:pPr>
              <w:spacing w:after="0"/>
              <w:rPr>
                <w:sz w:val="18"/>
                <w:szCs w:val="18"/>
                <w:color w:val="auto"/>
              </w:rPr>
            </w:pPr>
          </w:p>
        </w:tc>
      </w:tr>
      <w:tr>
        <w:trPr>
          <w:trHeight w:val="229"/>
        </w:trPr>
        <w:tc>
          <w:tcPr>
            <w:tcW w:w="5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investment gains (losses)</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(173)</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876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80" w:type="dxa"/>
            <w:vAlign w:val="bottom"/>
            <w:shd w:val="clear" w:color="auto" w:fill="CCEEFF"/>
          </w:tcPr>
          <w:p>
            <w:pPr>
              <w:spacing w:after="0"/>
              <w:rPr>
                <w:sz w:val="19"/>
                <w:szCs w:val="19"/>
                <w:color w:val="auto"/>
              </w:rPr>
            </w:pPr>
          </w:p>
        </w:tc>
      </w:tr>
      <w:tr>
        <w:trPr>
          <w:trHeight w:val="210"/>
        </w:trPr>
        <w:tc>
          <w:tcPr>
            <w:tcW w:w="54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revenues</w:t>
            </w: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87,807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81,075</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162,306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147,301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5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69,358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60,077</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109,502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101,202</w:t>
            </w:r>
          </w:p>
        </w:tc>
        <w:tc>
          <w:tcPr>
            <w:tcW w:w="80" w:type="dxa"/>
            <w:vAlign w:val="bottom"/>
            <w:shd w:val="clear" w:color="auto" w:fill="CCEEFF"/>
          </w:tcPr>
          <w:p>
            <w:pPr>
              <w:spacing w:after="0"/>
              <w:rPr>
                <w:sz w:val="18"/>
                <w:szCs w:val="18"/>
                <w:color w:val="auto"/>
              </w:rPr>
            </w:pPr>
          </w:p>
        </w:tc>
      </w:tr>
      <w:tr>
        <w:trPr>
          <w:trHeight w:val="216"/>
        </w:trPr>
        <w:tc>
          <w:tcPr>
            <w:tcW w:w="5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19,290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16,784</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36,107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31,788</w:t>
            </w:r>
          </w:p>
        </w:tc>
        <w:tc>
          <w:tcPr>
            <w:tcW w:w="80" w:type="dxa"/>
            <w:vAlign w:val="bottom"/>
          </w:tcPr>
          <w:p>
            <w:pPr>
              <w:spacing w:after="0"/>
              <w:rPr>
                <w:sz w:val="18"/>
                <w:szCs w:val="18"/>
                <w:color w:val="auto"/>
              </w:rPr>
            </w:pPr>
          </w:p>
        </w:tc>
      </w:tr>
      <w:tr>
        <w:trPr>
          <w:trHeight w:val="230"/>
        </w:trPr>
        <w:tc>
          <w:tcPr>
            <w:tcW w:w="5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underwriting and general expenses</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8,229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7,475</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16,934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15,276</w:t>
            </w:r>
          </w:p>
        </w:tc>
        <w:tc>
          <w:tcPr>
            <w:tcW w:w="80" w:type="dxa"/>
            <w:vAlign w:val="bottom"/>
            <w:shd w:val="clear" w:color="auto" w:fill="CCEEFF"/>
          </w:tcPr>
          <w:p>
            <w:pPr>
              <w:spacing w:after="0"/>
              <w:rPr>
                <w:sz w:val="19"/>
                <w:szCs w:val="19"/>
                <w:color w:val="auto"/>
              </w:rPr>
            </w:pPr>
          </w:p>
        </w:tc>
      </w:tr>
      <w:tr>
        <w:trPr>
          <w:trHeight w:val="209"/>
        </w:trPr>
        <w:tc>
          <w:tcPr>
            <w:tcW w:w="54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expenses</w:t>
            </w: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96,877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84,336</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162,543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148,266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5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(9,070)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(3,261)</w:t>
            </w:r>
          </w:p>
        </w:tc>
        <w:tc>
          <w:tcPr>
            <w:tcW w:w="26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(237)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(965)</w:t>
            </w:r>
          </w:p>
        </w:tc>
      </w:tr>
      <w:tr>
        <w:trPr>
          <w:trHeight w:val="229"/>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(685)</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(203)</w:t>
            </w:r>
          </w:p>
        </w:tc>
      </w:tr>
      <w:tr>
        <w:trPr>
          <w:trHeight w:val="210"/>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gridSpan w:val="2"/>
          </w:tcPr>
          <w:p>
            <w:pPr>
              <w:spacing w:after="0"/>
              <w:rPr>
                <w:sz w:val="18"/>
                <w:szCs w:val="18"/>
                <w:color w:val="auto"/>
              </w:rPr>
            </w:pPr>
          </w:p>
        </w:tc>
      </w:tr>
      <w:tr>
        <w:trPr>
          <w:trHeight w:val="229"/>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(113)</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(403)</w:t>
            </w:r>
          </w:p>
        </w:tc>
      </w:tr>
      <w:tr>
        <w:trPr>
          <w:trHeight w:val="209"/>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from continuing operations attributable to NI Holdings, Inc.</w:t>
            </w:r>
          </w:p>
        </w:tc>
        <w:tc>
          <w:tcPr>
            <w:tcW w:w="6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220" w:type="dxa"/>
            <w:vAlign w:val="bottom"/>
          </w:tcPr>
          <w:p>
            <w:pPr>
              <w:spacing w:after="0"/>
              <w:rPr>
                <w:sz w:val="18"/>
                <w:szCs w:val="18"/>
                <w:color w:val="auto"/>
              </w:rPr>
            </w:pPr>
          </w:p>
        </w:tc>
        <w:tc>
          <w:tcPr>
            <w:tcW w:w="2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gridSpan w:val="2"/>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 net of taxes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(5,659)</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(1,512)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(11,973)</w:t>
            </w: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Loss on sale of discontinued operations, net of taxes</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(7,762)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(7,762)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4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(16,236</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(9,817</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(12,332</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5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common share from continuing operations: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83"/>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(0.36)</w:t>
            </w:r>
          </w:p>
        </w:tc>
        <w:tc>
          <w:tcPr>
            <w:tcW w:w="40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(0.12)</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(0.03)</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(0.02)</w:t>
            </w:r>
          </w:p>
        </w:tc>
      </w:tr>
      <w:tr>
        <w:trPr>
          <w:trHeight w:val="196"/>
        </w:trPr>
        <w:tc>
          <w:tcPr>
            <w:tcW w:w="5460" w:type="dxa"/>
            <w:vAlign w:val="bottom"/>
            <w:tcBorders>
              <w:top w:val="single" w:sz="8" w:color="CCEEFF"/>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Diluted</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(0.36</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(0.03</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5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common share:</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83"/>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(0.77)</w:t>
            </w:r>
          </w:p>
        </w:tc>
        <w:tc>
          <w:tcPr>
            <w:tcW w:w="40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(0.38)</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(0.47)</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(0.58)</w:t>
            </w:r>
          </w:p>
        </w:tc>
      </w:tr>
      <w:tr>
        <w:trPr>
          <w:trHeight w:val="196"/>
        </w:trPr>
        <w:tc>
          <w:tcPr>
            <w:tcW w:w="5460" w:type="dxa"/>
            <w:vAlign w:val="bottom"/>
            <w:tcBorders>
              <w:top w:val="single" w:sz="8" w:color="CCEEFF"/>
              <w:bottom w:val="single" w:sz="8" w:color="CCEEFF"/>
            </w:tcBorders>
            <w:shd w:val="clear" w:color="auto" w:fill="CCEEFF"/>
          </w:tcPr>
          <w:p>
            <w:pPr>
              <w:ind w:left="140"/>
              <w:spacing w:after="0" w:line="195" w:lineRule="exact"/>
              <w:rPr>
                <w:sz w:val="20"/>
                <w:szCs w:val="20"/>
                <w:color w:val="auto"/>
              </w:rPr>
            </w:pPr>
            <w:r>
              <w:rPr>
                <w:rFonts w:ascii="Times New Roman" w:cs="Times New Roman" w:eastAsia="Times New Roman" w:hAnsi="Times New Roman"/>
                <w:sz w:val="18"/>
                <w:szCs w:val="18"/>
                <w:color w:val="auto"/>
              </w:rPr>
              <w:t>Diluted</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(0.77</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(0.38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(0.47</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(0.58</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5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data:</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546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Weighted average common shares outstanding used in basic per common</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 calculations</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20,970,384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21,281,542</w:t>
            </w:r>
          </w:p>
        </w:tc>
        <w:tc>
          <w:tcPr>
            <w:tcW w:w="260" w:type="dxa"/>
            <w:vAlign w:val="bottom"/>
          </w:tcPr>
          <w:p>
            <w:pPr>
              <w:spacing w:after="0"/>
              <w:rPr>
                <w:sz w:val="20"/>
                <w:szCs w:val="20"/>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20,951,579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21,325,007</w:t>
            </w:r>
          </w:p>
        </w:tc>
        <w:tc>
          <w:tcPr>
            <w:tcW w:w="80" w:type="dxa"/>
            <w:vAlign w:val="bottom"/>
          </w:tcPr>
          <w:p>
            <w:pPr>
              <w:spacing w:after="0"/>
              <w:rPr>
                <w:sz w:val="20"/>
                <w:szCs w:val="20"/>
                <w:color w:val="auto"/>
              </w:rPr>
            </w:pPr>
          </w:p>
        </w:tc>
      </w:tr>
      <w:tr>
        <w:trPr>
          <w:trHeight w:val="229"/>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Dilutive securities</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78"/>
        </w:trPr>
        <w:tc>
          <w:tcPr>
            <w:tcW w:w="546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Weighted average common shares used in diluted per common share</w:t>
            </w:r>
          </w:p>
        </w:tc>
        <w:tc>
          <w:tcPr>
            <w:tcW w:w="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61"/>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calculations</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20,970,384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21,281,542</w:t>
            </w:r>
          </w:p>
        </w:tc>
        <w:tc>
          <w:tcPr>
            <w:tcW w:w="260" w:type="dxa"/>
            <w:vAlign w:val="bottom"/>
          </w:tcPr>
          <w:p>
            <w:pPr>
              <w:spacing w:after="0"/>
              <w:rPr>
                <w:sz w:val="22"/>
                <w:szCs w:val="22"/>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20,951,579</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21,325,007</w:t>
            </w:r>
          </w:p>
        </w:tc>
        <w:tc>
          <w:tcPr>
            <w:tcW w:w="80" w:type="dxa"/>
            <w:vAlign w:val="bottom"/>
          </w:tcPr>
          <w:p>
            <w:pPr>
              <w:spacing w:after="0"/>
              <w:rPr>
                <w:sz w:val="22"/>
                <w:szCs w:val="22"/>
                <w:color w:val="auto"/>
              </w:rPr>
            </w:pPr>
          </w:p>
        </w:tc>
      </w:tr>
      <w:tr>
        <w:trPr>
          <w:trHeight w:val="20"/>
        </w:trPr>
        <w:tc>
          <w:tcPr>
            <w:tcW w:w="5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20" w:type="dxa"/>
            <w:vAlign w:val="bottom"/>
            <w:gridSpan w:val="15"/>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40" w:type="dxa"/>
            <w:vAlign w:val="bottom"/>
            <w:gridSpan w:val="11"/>
          </w:tcPr>
          <w:p>
            <w:pPr>
              <w:ind w:left="16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r>
      <w:tr>
        <w:trPr>
          <w:trHeight w:val="187"/>
        </w:trPr>
        <w:tc>
          <w:tcPr>
            <w:tcW w:w="44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5"/>
          </w:tcPr>
          <w:p>
            <w:pPr>
              <w:jc w:val="right"/>
              <w:ind w:right="81"/>
              <w:spacing w:after="0" w:line="188" w:lineRule="exact"/>
              <w:rPr>
                <w:sz w:val="20"/>
                <w:szCs w:val="20"/>
                <w:color w:val="auto"/>
              </w:rPr>
            </w:pPr>
            <w:r>
              <w:rPr>
                <w:rFonts w:ascii="Times New Roman" w:cs="Times New Roman" w:eastAsia="Times New Roman" w:hAnsi="Times New Roman"/>
                <w:sz w:val="18"/>
                <w:szCs w:val="18"/>
                <w:b w:val="1"/>
                <w:bCs w:val="1"/>
                <w:color w:val="auto"/>
                <w:w w:val="99"/>
              </w:rPr>
              <w:t>Attributable</w:t>
            </w: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4"/>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Attributable</w:t>
            </w: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4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Attributable</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to Non-</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Attributable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341"/>
              <w:spacing w:after="0"/>
              <w:rPr>
                <w:sz w:val="20"/>
                <w:szCs w:val="20"/>
                <w:color w:val="auto"/>
              </w:rPr>
            </w:pPr>
            <w:r>
              <w:rPr>
                <w:rFonts w:ascii="Times New Roman" w:cs="Times New Roman" w:eastAsia="Times New Roman" w:hAnsi="Times New Roman"/>
                <w:sz w:val="18"/>
                <w:szCs w:val="18"/>
                <w:b w:val="1"/>
                <w:bCs w:val="1"/>
                <w:color w:val="auto"/>
                <w:w w:val="97"/>
              </w:rPr>
              <w:t>to Non-</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to NI</w:t>
            </w:r>
          </w:p>
        </w:tc>
        <w:tc>
          <w:tcPr>
            <w:tcW w:w="60" w:type="dxa"/>
            <w:vAlign w:val="bottom"/>
          </w:tcPr>
          <w:p>
            <w:pPr>
              <w:spacing w:after="0"/>
              <w:rPr>
                <w:sz w:val="18"/>
                <w:szCs w:val="18"/>
                <w:color w:val="auto"/>
              </w:rPr>
            </w:pPr>
          </w:p>
        </w:tc>
        <w:tc>
          <w:tcPr>
            <w:tcW w:w="1140" w:type="dxa"/>
            <w:vAlign w:val="bottom"/>
            <w:gridSpan w:val="5"/>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to NI</w:t>
            </w: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4400" w:type="dxa"/>
            <w:vAlign w:val="bottom"/>
          </w:tcPr>
          <w:p>
            <w:pPr>
              <w:spacing w:after="0"/>
              <w:rPr>
                <w:sz w:val="20"/>
                <w:szCs w:val="20"/>
                <w:color w:val="auto"/>
              </w:rPr>
            </w:pPr>
          </w:p>
        </w:tc>
        <w:tc>
          <w:tcPr>
            <w:tcW w:w="12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Holdings, Inc.</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3"/>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3"/>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34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Holdings, Inc.</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40" w:type="dxa"/>
            <w:vAlign w:val="bottom"/>
          </w:tcPr>
          <w:p>
            <w:pPr>
              <w:spacing w:after="0"/>
              <w:rPr>
                <w:sz w:val="20"/>
                <w:szCs w:val="20"/>
                <w:color w:val="auto"/>
              </w:rPr>
            </w:pPr>
          </w:p>
        </w:tc>
        <w:tc>
          <w:tcPr>
            <w:tcW w:w="7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4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(16,236</w:t>
            </w:r>
          </w:p>
        </w:tc>
        <w:tc>
          <w:tcPr>
            <w:tcW w:w="160" w:type="dxa"/>
            <w:vAlign w:val="bottom"/>
            <w:tcBorders>
              <w:top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(16,236</w:t>
            </w:r>
          </w:p>
        </w:tc>
        <w:tc>
          <w:tcPr>
            <w:tcW w:w="160" w:type="dxa"/>
            <w:vAlign w:val="bottom"/>
            <w:tcBorders>
              <w:top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(9,817</w:t>
            </w:r>
          </w:p>
        </w:tc>
        <w:tc>
          <w:tcPr>
            <w:tcW w:w="220" w:type="dxa"/>
            <w:vAlign w:val="bottom"/>
            <w:tcBorders>
              <w:top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(9,817</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4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before income taxes: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Holding gains (losses) on investments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(953)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(953)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(2,770)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(2,770)</w:t>
            </w:r>
          </w:p>
        </w:tc>
      </w:tr>
      <w:tr>
        <w:trPr>
          <w:trHeight w:val="198"/>
        </w:trPr>
        <w:tc>
          <w:tcPr>
            <w:tcW w:w="44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Reclassification adjustment for net realized losses</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8"/>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included in net loss</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21"/>
                <w:szCs w:val="21"/>
                <w:color w:val="auto"/>
              </w:rPr>
            </w:pPr>
          </w:p>
        </w:tc>
      </w:tr>
      <w:tr>
        <w:trPr>
          <w:trHeight w:val="178"/>
        </w:trPr>
        <w:tc>
          <w:tcPr>
            <w:tcW w:w="4400" w:type="dxa"/>
            <w:vAlign w:val="bottom"/>
          </w:tcPr>
          <w:p>
            <w:pPr>
              <w:ind w:left="340"/>
              <w:spacing w:after="0" w:line="177" w:lineRule="exact"/>
              <w:rPr>
                <w:sz w:val="20"/>
                <w:szCs w:val="20"/>
                <w:color w:val="auto"/>
              </w:rPr>
            </w:pPr>
            <w:r>
              <w:rPr>
                <w:rFonts w:ascii="Times New Roman" w:cs="Times New Roman" w:eastAsia="Times New Roman" w:hAnsi="Times New Roman"/>
                <w:sz w:val="18"/>
                <w:szCs w:val="18"/>
                <w:color w:val="auto"/>
              </w:rPr>
              <w:t>Other comprehensive income (loss), before income</w:t>
            </w:r>
          </w:p>
        </w:tc>
        <w:tc>
          <w:tcPr>
            <w:tcW w:w="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34"/>
        </w:trPr>
        <w:tc>
          <w:tcPr>
            <w:tcW w:w="4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taxes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(923)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(923)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(2,730)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(2,730)</w:t>
            </w:r>
          </w:p>
        </w:tc>
      </w:tr>
      <w:tr>
        <w:trPr>
          <w:trHeight w:val="198"/>
        </w:trPr>
        <w:tc>
          <w:tcPr>
            <w:tcW w:w="4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Income tax (expense) benefit related to items of other</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8"/>
        </w:trPr>
        <w:tc>
          <w:tcPr>
            <w:tcW w:w="4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loss</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80" w:type="dxa"/>
            <w:vAlign w:val="bottom"/>
            <w:shd w:val="clear" w:color="auto" w:fill="CCEEFF"/>
          </w:tcPr>
          <w:p>
            <w:pPr>
              <w:spacing w:after="0"/>
              <w:rPr>
                <w:sz w:val="21"/>
                <w:szCs w:val="21"/>
                <w:color w:val="auto"/>
              </w:rPr>
            </w:pPr>
          </w:p>
        </w:tc>
      </w:tr>
      <w:tr>
        <w:trPr>
          <w:trHeight w:val="178"/>
        </w:trPr>
        <w:tc>
          <w:tcPr>
            <w:tcW w:w="4400" w:type="dxa"/>
            <w:vAlign w:val="bottom"/>
          </w:tcPr>
          <w:p>
            <w:pPr>
              <w:ind w:left="340"/>
              <w:spacing w:after="0" w:line="177" w:lineRule="exact"/>
              <w:rPr>
                <w:sz w:val="20"/>
                <w:szCs w:val="20"/>
                <w:color w:val="auto"/>
              </w:rPr>
            </w:pPr>
            <w:r>
              <w:rPr>
                <w:rFonts w:ascii="Times New Roman" w:cs="Times New Roman" w:eastAsia="Times New Roman" w:hAnsi="Times New Roman"/>
                <w:sz w:val="18"/>
                <w:szCs w:val="18"/>
                <w:color w:val="auto"/>
              </w:rPr>
              <w:t>Other comprehensive income (loss), net of income</w:t>
            </w:r>
          </w:p>
        </w:tc>
        <w:tc>
          <w:tcPr>
            <w:tcW w:w="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48"/>
        </w:trPr>
        <w:tc>
          <w:tcPr>
            <w:tcW w:w="4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taxes</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(714)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(714)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(2,114)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(2,114)</w:t>
            </w:r>
          </w:p>
        </w:tc>
      </w:tr>
      <w:tr>
        <w:trPr>
          <w:trHeight w:val="209"/>
        </w:trPr>
        <w:tc>
          <w:tcPr>
            <w:tcW w:w="44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43"/>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(16,950)</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(16,950)</w:t>
            </w:r>
          </w:p>
        </w:tc>
        <w:tc>
          <w:tcPr>
            <w:tcW w:w="2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(11,931)</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(11,931)</w:t>
            </w:r>
          </w:p>
        </w:tc>
      </w:tr>
      <w:tr>
        <w:trPr>
          <w:trHeight w:val="20"/>
        </w:trPr>
        <w:tc>
          <w:tcPr>
            <w:tcW w:w="44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4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20" w:type="dxa"/>
            <w:vAlign w:val="bottom"/>
            <w:gridSpan w:val="15"/>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Three Months Ended June 30, 2023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40" w:type="dxa"/>
            <w:vAlign w:val="bottom"/>
            <w:gridSpan w:val="11"/>
          </w:tcPr>
          <w:p>
            <w:pPr>
              <w:ind w:left="180"/>
              <w:spacing w:after="0"/>
              <w:rPr>
                <w:sz w:val="20"/>
                <w:szCs w:val="20"/>
                <w:color w:val="auto"/>
              </w:rPr>
            </w:pPr>
            <w:r>
              <w:rPr>
                <w:rFonts w:ascii="Times New Roman" w:cs="Times New Roman" w:eastAsia="Times New Roman" w:hAnsi="Times New Roman"/>
                <w:sz w:val="18"/>
                <w:szCs w:val="18"/>
                <w:b w:val="1"/>
                <w:bCs w:val="1"/>
                <w:color w:val="auto"/>
              </w:rPr>
              <w:t>Six Months Ended June 30, 2023</w:t>
            </w:r>
          </w:p>
        </w:tc>
      </w:tr>
      <w:tr>
        <w:trPr>
          <w:trHeight w:val="187"/>
        </w:trPr>
        <w:tc>
          <w:tcPr>
            <w:tcW w:w="4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4"/>
          </w:tcPr>
          <w:p>
            <w:pPr>
              <w:jc w:val="center"/>
              <w:ind w:right="21"/>
              <w:spacing w:after="0" w:line="188" w:lineRule="exact"/>
              <w:rPr>
                <w:sz w:val="20"/>
                <w:szCs w:val="20"/>
                <w:color w:val="auto"/>
              </w:rPr>
            </w:pPr>
            <w:r>
              <w:rPr>
                <w:rFonts w:ascii="Times New Roman" w:cs="Times New Roman" w:eastAsia="Times New Roman" w:hAnsi="Times New Roman"/>
                <w:sz w:val="18"/>
                <w:szCs w:val="18"/>
                <w:b w:val="1"/>
                <w:bCs w:val="1"/>
                <w:color w:val="auto"/>
                <w:w w:val="99"/>
              </w:rPr>
              <w:t>Attributable</w:t>
            </w: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4"/>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Attributable</w:t>
            </w: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4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gridSpan w:val="4"/>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Attributable</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rPr>
              <w:t>to Non-</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4"/>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Attributable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to Non-</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to NI</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gridSpan w:val="4"/>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to NI</w:t>
            </w:r>
          </w:p>
        </w:tc>
        <w:tc>
          <w:tcPr>
            <w:tcW w:w="40" w:type="dxa"/>
            <w:vAlign w:val="bottom"/>
          </w:tcPr>
          <w:p>
            <w:pPr>
              <w:spacing w:after="0"/>
              <w:rPr>
                <w:sz w:val="18"/>
                <w:szCs w:val="18"/>
                <w:color w:val="auto"/>
              </w:rPr>
            </w:pPr>
          </w:p>
        </w:tc>
        <w:tc>
          <w:tcPr>
            <w:tcW w:w="1180" w:type="dxa"/>
            <w:vAlign w:val="bottom"/>
            <w:gridSpan w:val="3"/>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8"/>
              </w:rPr>
              <w:t>Controlling</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4400" w:type="dxa"/>
            <w:vAlign w:val="bottom"/>
          </w:tcPr>
          <w:p>
            <w:pPr>
              <w:spacing w:after="0"/>
              <w:rPr>
                <w:sz w:val="20"/>
                <w:szCs w:val="20"/>
                <w:color w:val="auto"/>
              </w:rPr>
            </w:pPr>
          </w:p>
        </w:tc>
        <w:tc>
          <w:tcPr>
            <w:tcW w:w="124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Holdings, Inc.</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3"/>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6"/>
              </w:rPr>
              <w:t>Interest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3"/>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Holdings, Inc.</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40" w:type="dxa"/>
            <w:vAlign w:val="bottom"/>
          </w:tcPr>
          <w:p>
            <w:pPr>
              <w:spacing w:after="0"/>
              <w:rPr>
                <w:sz w:val="20"/>
                <w:szCs w:val="20"/>
                <w:color w:val="auto"/>
              </w:rPr>
            </w:pPr>
          </w:p>
        </w:tc>
        <w:tc>
          <w:tcPr>
            <w:tcW w:w="7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(8,122</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(8,235</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(12,332</w:t>
            </w:r>
          </w:p>
        </w:tc>
        <w:tc>
          <w:tcPr>
            <w:tcW w:w="180" w:type="dxa"/>
            <w:vAlign w:val="bottom"/>
            <w:tcBorders>
              <w:top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(12,735</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4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before income taxes: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Holding gains (losses) on investments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(3,094)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2,490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80" w:type="dxa"/>
            <w:vAlign w:val="bottom"/>
          </w:tcPr>
          <w:p>
            <w:pPr>
              <w:spacing w:after="0"/>
              <w:rPr>
                <w:sz w:val="18"/>
                <w:szCs w:val="18"/>
                <w:color w:val="auto"/>
              </w:rPr>
            </w:pPr>
          </w:p>
        </w:tc>
      </w:tr>
      <w:tr>
        <w:trPr>
          <w:trHeight w:val="198"/>
        </w:trPr>
        <w:tc>
          <w:tcPr>
            <w:tcW w:w="44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Reclassification adjustment for net realized losses</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8"/>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included in net loss</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188</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188</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487</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80" w:type="dxa"/>
            <w:vAlign w:val="bottom"/>
            <w:shd w:val="clear" w:color="auto" w:fill="CCEEFF"/>
          </w:tcPr>
          <w:p>
            <w:pPr>
              <w:spacing w:after="0"/>
              <w:rPr>
                <w:sz w:val="21"/>
                <w:szCs w:val="21"/>
                <w:color w:val="auto"/>
              </w:rPr>
            </w:pPr>
          </w:p>
        </w:tc>
      </w:tr>
      <w:tr>
        <w:trPr>
          <w:trHeight w:val="178"/>
        </w:trPr>
        <w:tc>
          <w:tcPr>
            <w:tcW w:w="4400" w:type="dxa"/>
            <w:vAlign w:val="bottom"/>
          </w:tcPr>
          <w:p>
            <w:pPr>
              <w:ind w:left="340"/>
              <w:spacing w:after="0" w:line="177" w:lineRule="exact"/>
              <w:rPr>
                <w:sz w:val="20"/>
                <w:szCs w:val="20"/>
                <w:color w:val="auto"/>
              </w:rPr>
            </w:pPr>
            <w:r>
              <w:rPr>
                <w:rFonts w:ascii="Times New Roman" w:cs="Times New Roman" w:eastAsia="Times New Roman" w:hAnsi="Times New Roman"/>
                <w:sz w:val="18"/>
                <w:szCs w:val="18"/>
                <w:color w:val="auto"/>
              </w:rPr>
              <w:t>Other comprehensive income (loss), before income</w:t>
            </w:r>
          </w:p>
        </w:tc>
        <w:tc>
          <w:tcPr>
            <w:tcW w:w="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34"/>
        </w:trPr>
        <w:tc>
          <w:tcPr>
            <w:tcW w:w="4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taxes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2,977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80" w:type="dxa"/>
            <w:vAlign w:val="bottom"/>
          </w:tcPr>
          <w:p>
            <w:pPr>
              <w:spacing w:after="0"/>
              <w:rPr>
                <w:sz w:val="20"/>
                <w:szCs w:val="20"/>
                <w:color w:val="auto"/>
              </w:rPr>
            </w:pPr>
          </w:p>
        </w:tc>
      </w:tr>
      <w:tr>
        <w:trPr>
          <w:trHeight w:val="198"/>
        </w:trPr>
        <w:tc>
          <w:tcPr>
            <w:tcW w:w="4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Income tax (expense) benefit related to items of other</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8"/>
        </w:trPr>
        <w:tc>
          <w:tcPr>
            <w:tcW w:w="4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loss</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628</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660</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(677)</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21"/>
                <w:szCs w:val="21"/>
                <w:color w:val="auto"/>
              </w:rPr>
            </w:pP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(708)</w:t>
            </w:r>
          </w:p>
        </w:tc>
      </w:tr>
      <w:tr>
        <w:trPr>
          <w:trHeight w:val="178"/>
        </w:trPr>
        <w:tc>
          <w:tcPr>
            <w:tcW w:w="4400" w:type="dxa"/>
            <w:vAlign w:val="bottom"/>
          </w:tcPr>
          <w:p>
            <w:pPr>
              <w:ind w:left="340"/>
              <w:spacing w:after="0" w:line="177" w:lineRule="exact"/>
              <w:rPr>
                <w:sz w:val="20"/>
                <w:szCs w:val="20"/>
                <w:color w:val="auto"/>
              </w:rPr>
            </w:pPr>
            <w:r>
              <w:rPr>
                <w:rFonts w:ascii="Times New Roman" w:cs="Times New Roman" w:eastAsia="Times New Roman" w:hAnsi="Times New Roman"/>
                <w:sz w:val="18"/>
                <w:szCs w:val="18"/>
                <w:color w:val="auto"/>
              </w:rPr>
              <w:t>Other comprehensive income (loss), net of income</w:t>
            </w:r>
          </w:p>
        </w:tc>
        <w:tc>
          <w:tcPr>
            <w:tcW w:w="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48"/>
        </w:trPr>
        <w:tc>
          <w:tcPr>
            <w:tcW w:w="4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taxes</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2,300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80" w:type="dxa"/>
            <w:vAlign w:val="bottom"/>
          </w:tcPr>
          <w:p>
            <w:pPr>
              <w:spacing w:after="0"/>
              <w:rPr>
                <w:sz w:val="21"/>
                <w:szCs w:val="21"/>
                <w:color w:val="auto"/>
              </w:rPr>
            </w:pPr>
          </w:p>
        </w:tc>
      </w:tr>
      <w:tr>
        <w:trPr>
          <w:trHeight w:val="210"/>
        </w:trPr>
        <w:tc>
          <w:tcPr>
            <w:tcW w:w="44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43"/>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(10,260)</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(10,481)</w:t>
            </w:r>
          </w:p>
        </w:tc>
        <w:tc>
          <w:tcPr>
            <w:tcW w:w="2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(10,032)</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(10,328)</w:t>
            </w:r>
          </w:p>
        </w:tc>
      </w:tr>
      <w:tr>
        <w:trPr>
          <w:trHeight w:val="20"/>
        </w:trPr>
        <w:tc>
          <w:tcPr>
            <w:tcW w:w="4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3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4"/>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Unearned</w:t>
            </w:r>
          </w:p>
        </w:tc>
        <w:tc>
          <w:tcPr>
            <w:tcW w:w="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4"/>
          </w:tcPr>
          <w:p>
            <w:pPr>
              <w:jc w:val="right"/>
              <w:ind w:right="28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r>
      <w:tr>
        <w:trPr>
          <w:trHeight w:val="216"/>
        </w:trPr>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Employee</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2300" w:type="dxa"/>
            <w:vAlign w:val="bottom"/>
          </w:tcPr>
          <w:p>
            <w:pPr>
              <w:spacing w:after="0"/>
              <w:rPr>
                <w:sz w:val="18"/>
                <w:szCs w:val="18"/>
                <w:color w:val="auto"/>
              </w:rPr>
            </w:pPr>
          </w:p>
        </w:tc>
        <w:tc>
          <w:tcPr>
            <w:tcW w:w="8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40" w:type="dxa"/>
            <w:vAlign w:val="bottom"/>
          </w:tcPr>
          <w:p>
            <w:pPr>
              <w:spacing w:after="0"/>
              <w:rPr>
                <w:sz w:val="18"/>
                <w:szCs w:val="18"/>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8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Loss, Net of</w:t>
            </w:r>
          </w:p>
        </w:tc>
        <w:tc>
          <w:tcPr>
            <w:tcW w:w="20" w:type="dxa"/>
            <w:vAlign w:val="bottom"/>
          </w:tcPr>
          <w:p>
            <w:pPr>
              <w:spacing w:after="0"/>
              <w:rPr>
                <w:sz w:val="18"/>
                <w:szCs w:val="18"/>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5"/>
              </w:rPr>
              <w:t>Treasury</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Non-Controlling</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r>
      <w:tr>
        <w:trPr>
          <w:trHeight w:val="238"/>
        </w:trPr>
        <w:tc>
          <w:tcPr>
            <w:tcW w:w="2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8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Plan Shares</w:t>
            </w:r>
          </w:p>
        </w:tc>
        <w:tc>
          <w:tcPr>
            <w:tcW w:w="8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Income Taxes</w:t>
            </w:r>
          </w:p>
        </w:tc>
        <w:tc>
          <w:tcPr>
            <w:tcW w:w="20" w:type="dxa"/>
            <w:vAlign w:val="bottom"/>
          </w:tcPr>
          <w:p>
            <w:pPr>
              <w:spacing w:after="0"/>
              <w:rPr>
                <w:sz w:val="20"/>
                <w:szCs w:val="20"/>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178"/>
        </w:trPr>
        <w:tc>
          <w:tcPr>
            <w:tcW w:w="23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Balance,</w:t>
            </w: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2024</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230</w:t>
            </w:r>
          </w:p>
        </w:tc>
        <w:tc>
          <w:tcPr>
            <w:tcW w:w="40" w:type="dxa"/>
            <w:vAlign w:val="bottom"/>
            <w:shd w:val="clear" w:color="auto" w:fill="CCEEFF"/>
          </w:tcPr>
          <w:p>
            <w:pPr>
              <w:spacing w:after="0"/>
              <w:rPr>
                <w:sz w:val="20"/>
                <w:szCs w:val="20"/>
                <w:color w:val="auto"/>
              </w:rPr>
            </w:pPr>
          </w:p>
        </w:tc>
        <w:tc>
          <w:tcPr>
            <w:tcW w:w="2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96,320</w:t>
            </w:r>
          </w:p>
        </w:tc>
        <w:tc>
          <w:tcPr>
            <w:tcW w:w="14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(698)</w:t>
            </w: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$ 218,451</w:t>
            </w:r>
          </w:p>
        </w:tc>
        <w:tc>
          <w:tcPr>
            <w:tcW w:w="100" w:type="dxa"/>
            <w:vAlign w:val="bottom"/>
            <w:shd w:val="clear" w:color="auto" w:fill="CCEEFF"/>
          </w:tcPr>
          <w:p>
            <w:pPr>
              <w:spacing w:after="0"/>
              <w:rPr>
                <w:sz w:val="20"/>
                <w:szCs w:val="20"/>
                <w:color w:val="auto"/>
              </w:rPr>
            </w:pPr>
          </w:p>
        </w:tc>
        <w:tc>
          <w:tcPr>
            <w:tcW w:w="1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(23,858)</w:t>
            </w: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(34,599)</w:t>
            </w:r>
          </w:p>
        </w:tc>
        <w:tc>
          <w:tcPr>
            <w:tcW w:w="2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255,846</w:t>
            </w:r>
          </w:p>
        </w:tc>
        <w:tc>
          <w:tcPr>
            <w:tcW w:w="100" w:type="dxa"/>
            <w:vAlign w:val="bottom"/>
            <w:shd w:val="clear" w:color="auto" w:fill="CCEEFF"/>
          </w:tcPr>
          <w:p>
            <w:pPr>
              <w:spacing w:after="0"/>
              <w:rPr>
                <w:sz w:val="20"/>
                <w:szCs w:val="20"/>
                <w:color w:val="auto"/>
              </w:rPr>
            </w:pPr>
          </w:p>
        </w:tc>
      </w:tr>
      <w:tr>
        <w:trPr>
          <w:trHeight w:val="216"/>
        </w:trPr>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Battle Creek demutualization</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(16,236)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(16,236)</w:t>
            </w:r>
          </w:p>
        </w:tc>
      </w:tr>
      <w:tr>
        <w:trPr>
          <w:trHeight w:val="198"/>
        </w:trPr>
        <w:tc>
          <w:tcPr>
            <w:tcW w:w="2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Impact of Westminster</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investment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gains/losses</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(4,380)</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4,380</w:t>
            </w:r>
          </w:p>
        </w:tc>
        <w:tc>
          <w:tcPr>
            <w:tcW w:w="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(loss), net of income taxes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(714)</w:t>
            </w:r>
          </w:p>
        </w:tc>
        <w:tc>
          <w:tcPr>
            <w:tcW w:w="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(714)</w:t>
            </w: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555</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18"/>
                <w:szCs w:val="18"/>
                <w:color w:val="auto"/>
              </w:rPr>
            </w:pPr>
          </w:p>
        </w:tc>
      </w:tr>
      <w:tr>
        <w:trPr>
          <w:trHeight w:val="198"/>
        </w:trPr>
        <w:tc>
          <w:tcPr>
            <w:tcW w:w="2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vested award</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301</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178"/>
        </w:trPr>
        <w:tc>
          <w:tcPr>
            <w:tcW w:w="23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Balance,</w:t>
            </w: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61"/>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June 30, 2024</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230</w:t>
            </w:r>
          </w:p>
        </w:tc>
        <w:tc>
          <w:tcPr>
            <w:tcW w:w="40" w:type="dxa"/>
            <w:vAlign w:val="bottom"/>
          </w:tcPr>
          <w:p>
            <w:pPr>
              <w:spacing w:after="0"/>
              <w:rPr>
                <w:sz w:val="22"/>
                <w:szCs w:val="22"/>
                <w:color w:val="auto"/>
              </w:rPr>
            </w:pPr>
          </w:p>
        </w:tc>
        <w:tc>
          <w:tcPr>
            <w:tcW w:w="2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96,581</w:t>
            </w:r>
          </w:p>
        </w:tc>
        <w:tc>
          <w:tcPr>
            <w:tcW w:w="140" w:type="dxa"/>
            <w:vAlign w:val="bottom"/>
          </w:tcPr>
          <w:p>
            <w:pPr>
              <w:spacing w:after="0"/>
              <w:rPr>
                <w:sz w:val="22"/>
                <w:szCs w:val="22"/>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(698)</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9"/>
              </w:rPr>
              <w:t>$ 197,827</w:t>
            </w:r>
          </w:p>
        </w:tc>
        <w:tc>
          <w:tcPr>
            <w:tcW w:w="100" w:type="dxa"/>
            <w:vAlign w:val="bottom"/>
          </w:tcPr>
          <w:p>
            <w:pPr>
              <w:spacing w:after="0"/>
              <w:rPr>
                <w:sz w:val="22"/>
                <w:szCs w:val="22"/>
                <w:color w:val="auto"/>
              </w:rPr>
            </w:pPr>
          </w:p>
        </w:tc>
        <w:tc>
          <w:tcPr>
            <w:tcW w:w="1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(20,192)</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(34,298)</w:t>
            </w:r>
          </w:p>
        </w:tc>
        <w:tc>
          <w:tcPr>
            <w:tcW w:w="2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239,450</w:t>
            </w:r>
          </w:p>
        </w:tc>
        <w:tc>
          <w:tcPr>
            <w:tcW w:w="100" w:type="dxa"/>
            <w:vAlign w:val="bottom"/>
          </w:tcPr>
          <w:p>
            <w:pPr>
              <w:spacing w:after="0"/>
              <w:rPr>
                <w:sz w:val="22"/>
                <w:szCs w:val="22"/>
                <w:color w:val="auto"/>
              </w:rPr>
            </w:pPr>
          </w:p>
        </w:tc>
      </w:tr>
      <w:tr>
        <w:trPr>
          <w:trHeight w:val="20"/>
        </w:trPr>
        <w:tc>
          <w:tcPr>
            <w:tcW w:w="2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2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13"/>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w w:val="99"/>
              </w:rPr>
              <w:t>Six Months Ended June 30, 2024</w:t>
            </w: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87"/>
        </w:trPr>
        <w:tc>
          <w:tcPr>
            <w:tcW w:w="2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gridSpan w:val="4"/>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Unearned</w:t>
            </w: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gridSpan w:val="4"/>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Employee</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40" w:type="dxa"/>
            <w:vAlign w:val="bottom"/>
          </w:tcPr>
          <w:p>
            <w:pPr>
              <w:spacing w:after="0"/>
              <w:rPr>
                <w:sz w:val="18"/>
                <w:szCs w:val="18"/>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40" w:type="dxa"/>
            <w:vAlign w:val="bottom"/>
          </w:tcPr>
          <w:p>
            <w:pPr>
              <w:spacing w:after="0"/>
              <w:rPr>
                <w:sz w:val="18"/>
                <w:szCs w:val="18"/>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Loss, Net of</w:t>
            </w:r>
          </w:p>
        </w:tc>
        <w:tc>
          <w:tcPr>
            <w:tcW w:w="20" w:type="dxa"/>
            <w:vAlign w:val="bottom"/>
          </w:tcPr>
          <w:p>
            <w:pPr>
              <w:spacing w:after="0"/>
              <w:rPr>
                <w:sz w:val="18"/>
                <w:szCs w:val="18"/>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Non-Controlling</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r>
      <w:tr>
        <w:trPr>
          <w:trHeight w:val="238"/>
        </w:trPr>
        <w:tc>
          <w:tcPr>
            <w:tcW w:w="2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40" w:type="dxa"/>
            <w:vAlign w:val="bottom"/>
          </w:tcPr>
          <w:p>
            <w:pPr>
              <w:spacing w:after="0"/>
              <w:rPr>
                <w:sz w:val="20"/>
                <w:szCs w:val="20"/>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Plan Shares</w:t>
            </w:r>
          </w:p>
        </w:tc>
        <w:tc>
          <w:tcPr>
            <w:tcW w:w="40" w:type="dxa"/>
            <w:vAlign w:val="bottom"/>
          </w:tcPr>
          <w:p>
            <w:pPr>
              <w:spacing w:after="0"/>
              <w:rPr>
                <w:sz w:val="20"/>
                <w:szCs w:val="20"/>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7"/>
              </w:rPr>
              <w:t>Earnings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Income Taxes</w:t>
            </w:r>
          </w:p>
        </w:tc>
        <w:tc>
          <w:tcPr>
            <w:tcW w:w="20" w:type="dxa"/>
            <w:vAlign w:val="bottom"/>
          </w:tcPr>
          <w:p>
            <w:pPr>
              <w:spacing w:after="0"/>
              <w:rPr>
                <w:sz w:val="20"/>
                <w:szCs w:val="20"/>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178"/>
        </w:trPr>
        <w:tc>
          <w:tcPr>
            <w:tcW w:w="23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Balance,</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2024</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230</w:t>
            </w:r>
          </w:p>
        </w:tc>
        <w:tc>
          <w:tcPr>
            <w:tcW w:w="2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96,294</w:t>
            </w:r>
          </w:p>
        </w:tc>
        <w:tc>
          <w:tcPr>
            <w:tcW w:w="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(698)</w:t>
            </w:r>
          </w:p>
        </w:tc>
        <w:tc>
          <w:tcPr>
            <w:tcW w:w="8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$ 208,376</w:t>
            </w:r>
          </w:p>
        </w:tc>
        <w:tc>
          <w:tcPr>
            <w:tcW w:w="1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(21,384)</w:t>
            </w: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(35,177)</w:t>
            </w: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250,399</w:t>
            </w:r>
          </w:p>
        </w:tc>
        <w:tc>
          <w:tcPr>
            <w:tcW w:w="100" w:type="dxa"/>
            <w:vAlign w:val="bottom"/>
            <w:shd w:val="clear" w:color="auto" w:fill="CCEEFF"/>
          </w:tcPr>
          <w:p>
            <w:pPr>
              <w:spacing w:after="0"/>
              <w:rPr>
                <w:sz w:val="20"/>
                <w:szCs w:val="20"/>
                <w:color w:val="auto"/>
              </w:rPr>
            </w:pPr>
          </w:p>
        </w:tc>
      </w:tr>
      <w:tr>
        <w:trPr>
          <w:trHeight w:val="216"/>
        </w:trPr>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Battle Creek demutualization</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3,832</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(1,074)</w:t>
            </w: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(2,758)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(9,817)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(9,817)</w:t>
            </w:r>
          </w:p>
        </w:tc>
      </w:tr>
      <w:tr>
        <w:trPr>
          <w:trHeight w:val="198"/>
        </w:trPr>
        <w:tc>
          <w:tcPr>
            <w:tcW w:w="2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Impact of Westminster</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investment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gains/losses</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(4,380)</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4,380</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(loss), net of income taxes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(2,114)</w:t>
            </w:r>
          </w:p>
        </w:tc>
        <w:tc>
          <w:tcPr>
            <w:tcW w:w="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(2,114)</w:t>
            </w: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1,136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tcPr>
          <w:p>
            <w:pPr>
              <w:spacing w:after="0"/>
              <w:rPr>
                <w:sz w:val="18"/>
                <w:szCs w:val="18"/>
                <w:color w:val="auto"/>
              </w:rPr>
            </w:pPr>
          </w:p>
        </w:tc>
      </w:tr>
      <w:tr>
        <w:trPr>
          <w:trHeight w:val="198"/>
        </w:trPr>
        <w:tc>
          <w:tcPr>
            <w:tcW w:w="2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vested award</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(849)</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(184)</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(154)</w:t>
            </w:r>
          </w:p>
        </w:tc>
      </w:tr>
      <w:tr>
        <w:trPr>
          <w:trHeight w:val="178"/>
        </w:trPr>
        <w:tc>
          <w:tcPr>
            <w:tcW w:w="23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Balance,</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61"/>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June 30, 2024</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230</w:t>
            </w:r>
          </w:p>
        </w:tc>
        <w:tc>
          <w:tcPr>
            <w:tcW w:w="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96,581</w:t>
            </w: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(698)</w:t>
            </w:r>
          </w:p>
        </w:tc>
        <w:tc>
          <w:tcPr>
            <w:tcW w:w="8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$ 197,827</w:t>
            </w:r>
          </w:p>
        </w:tc>
        <w:tc>
          <w:tcPr>
            <w:tcW w:w="1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(20,192)</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(34,298)</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239,450</w:t>
            </w:r>
          </w:p>
        </w:tc>
        <w:tc>
          <w:tcPr>
            <w:tcW w:w="100" w:type="dxa"/>
            <w:vAlign w:val="bottom"/>
          </w:tcPr>
          <w:p>
            <w:pPr>
              <w:spacing w:after="0"/>
              <w:rPr>
                <w:sz w:val="22"/>
                <w:szCs w:val="22"/>
                <w:color w:val="auto"/>
              </w:rPr>
            </w:pPr>
          </w:p>
        </w:tc>
      </w:tr>
      <w:tr>
        <w:trPr>
          <w:trHeight w:val="20"/>
        </w:trPr>
        <w:tc>
          <w:tcPr>
            <w:tcW w:w="2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June 30, 2023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3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4"/>
          </w:tcPr>
          <w:p>
            <w:pPr>
              <w:jc w:val="right"/>
              <w:ind w:right="2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Unearned</w:t>
            </w:r>
          </w:p>
        </w:tc>
        <w:tc>
          <w:tcPr>
            <w:tcW w:w="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4"/>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r>
      <w:tr>
        <w:trPr>
          <w:trHeight w:val="216"/>
        </w:trPr>
        <w:tc>
          <w:tcPr>
            <w:tcW w:w="2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Employee</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2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20" w:type="dxa"/>
            <w:vAlign w:val="bottom"/>
          </w:tcPr>
          <w:p>
            <w:pPr>
              <w:spacing w:after="0"/>
              <w:rPr>
                <w:sz w:val="18"/>
                <w:szCs w:val="18"/>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Loss, Net of</w:t>
            </w:r>
          </w:p>
        </w:tc>
        <w:tc>
          <w:tcPr>
            <w:tcW w:w="8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60" w:type="dxa"/>
            <w:vAlign w:val="bottom"/>
          </w:tcPr>
          <w:p>
            <w:pPr>
              <w:spacing w:after="0"/>
              <w:rPr>
                <w:sz w:val="18"/>
                <w:szCs w:val="18"/>
                <w:color w:val="auto"/>
              </w:rPr>
            </w:pP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r>
      <w:tr>
        <w:trPr>
          <w:trHeight w:val="238"/>
        </w:trPr>
        <w:tc>
          <w:tcPr>
            <w:tcW w:w="2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Plan Shares</w:t>
            </w: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60" w:type="dxa"/>
            <w:vAlign w:val="bottom"/>
          </w:tcPr>
          <w:p>
            <w:pPr>
              <w:spacing w:after="0"/>
              <w:rPr>
                <w:sz w:val="20"/>
                <w:szCs w:val="20"/>
                <w:color w:val="auto"/>
              </w:rPr>
            </w:pPr>
          </w:p>
        </w:tc>
        <w:tc>
          <w:tcPr>
            <w:tcW w:w="136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Income Taxes</w:t>
            </w:r>
          </w:p>
        </w:tc>
        <w:tc>
          <w:tcPr>
            <w:tcW w:w="40" w:type="dxa"/>
            <w:vAlign w:val="bottom"/>
          </w:tcPr>
          <w:p>
            <w:pPr>
              <w:spacing w:after="0"/>
              <w:rPr>
                <w:sz w:val="20"/>
                <w:szCs w:val="20"/>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178"/>
        </w:trPr>
        <w:tc>
          <w:tcPr>
            <w:tcW w:w="238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Balance,</w:t>
            </w: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2023</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230</w:t>
            </w:r>
          </w:p>
        </w:tc>
        <w:tc>
          <w:tcPr>
            <w:tcW w:w="1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95,568</w:t>
            </w:r>
          </w:p>
        </w:tc>
        <w:tc>
          <w:tcPr>
            <w:tcW w:w="160" w:type="dxa"/>
            <w:vAlign w:val="bottom"/>
            <w:shd w:val="clear" w:color="auto" w:fill="CCEEFF"/>
          </w:tcPr>
          <w:p>
            <w:pPr>
              <w:spacing w:after="0"/>
              <w:rPr>
                <w:sz w:val="20"/>
                <w:szCs w:val="20"/>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(941)</w:t>
            </w: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$ 209,710</w:t>
            </w: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(24,848)</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(28,803)</w:t>
            </w: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2,155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253,071</w:t>
            </w:r>
          </w:p>
        </w:tc>
        <w:tc>
          <w:tcPr>
            <w:tcW w:w="100" w:type="dxa"/>
            <w:vAlign w:val="bottom"/>
            <w:shd w:val="clear" w:color="auto" w:fill="CCEEFF"/>
          </w:tcPr>
          <w:p>
            <w:pPr>
              <w:spacing w:after="0"/>
              <w:rPr>
                <w:sz w:val="20"/>
                <w:szCs w:val="20"/>
                <w:color w:val="auto"/>
              </w:rPr>
            </w:pPr>
          </w:p>
        </w:tc>
      </w:tr>
      <w:tr>
        <w:trPr>
          <w:trHeight w:val="216"/>
        </w:trPr>
        <w:tc>
          <w:tcPr>
            <w:tcW w:w="2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Battle Creek demutualization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(8,122)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(8,235)</w:t>
            </w:r>
          </w:p>
        </w:tc>
      </w:tr>
      <w:tr>
        <w:trPr>
          <w:trHeight w:val="198"/>
        </w:trPr>
        <w:tc>
          <w:tcPr>
            <w:tcW w:w="2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Impact of Westminster</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investment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gains/losses</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(loss), net of income taxes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(2,138)</w:t>
            </w:r>
          </w:p>
        </w:tc>
        <w:tc>
          <w:tcPr>
            <w:tcW w:w="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(2,246)</w:t>
            </w: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(2,602)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(2,602)</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18"/>
                <w:szCs w:val="18"/>
                <w:color w:val="auto"/>
              </w:rPr>
            </w:pPr>
          </w:p>
        </w:tc>
      </w:tr>
      <w:tr>
        <w:trPr>
          <w:trHeight w:val="198"/>
        </w:trPr>
        <w:tc>
          <w:tcPr>
            <w:tcW w:w="2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vested award</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(214)</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178"/>
        </w:trPr>
        <w:tc>
          <w:tcPr>
            <w:tcW w:w="23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Balance,</w:t>
            </w: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61"/>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June 30, 2023</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230</w:t>
            </w:r>
          </w:p>
        </w:tc>
        <w:tc>
          <w:tcPr>
            <w:tcW w:w="1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95,750</w:t>
            </w:r>
          </w:p>
        </w:tc>
        <w:tc>
          <w:tcPr>
            <w:tcW w:w="160" w:type="dxa"/>
            <w:vAlign w:val="bottom"/>
          </w:tcPr>
          <w:p>
            <w:pPr>
              <w:spacing w:after="0"/>
              <w:rPr>
                <w:sz w:val="22"/>
                <w:szCs w:val="22"/>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(941)</w:t>
            </w: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97"/>
              </w:rPr>
              <w:t>$ 201,518</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(26,986)</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(31,122)</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1,934</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240,383</w:t>
            </w:r>
          </w:p>
        </w:tc>
        <w:tc>
          <w:tcPr>
            <w:tcW w:w="100" w:type="dxa"/>
            <w:vAlign w:val="bottom"/>
          </w:tcPr>
          <w:p>
            <w:pPr>
              <w:spacing w:after="0"/>
              <w:rPr>
                <w:sz w:val="22"/>
                <w:szCs w:val="22"/>
                <w:color w:val="auto"/>
              </w:rPr>
            </w:pPr>
          </w:p>
        </w:tc>
      </w:tr>
      <w:tr>
        <w:trPr>
          <w:trHeight w:val="20"/>
        </w:trPr>
        <w:tc>
          <w:tcPr>
            <w:tcW w:w="23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2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1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Six Months Ended June 30, 2023</w:t>
            </w:r>
          </w:p>
        </w:tc>
        <w:tc>
          <w:tcPr>
            <w:tcW w:w="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87"/>
        </w:trPr>
        <w:tc>
          <w:tcPr>
            <w:tcW w:w="2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gridSpan w:val="4"/>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Unearned</w:t>
            </w: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Employee</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2380" w:type="dxa"/>
            <w:vAlign w:val="bottom"/>
          </w:tcPr>
          <w:p>
            <w:pPr>
              <w:spacing w:after="0"/>
              <w:rPr>
                <w:sz w:val="18"/>
                <w:szCs w:val="18"/>
                <w:color w:val="auto"/>
              </w:rPr>
            </w:pPr>
          </w:p>
        </w:tc>
        <w:tc>
          <w:tcPr>
            <w:tcW w:w="8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20" w:type="dxa"/>
            <w:vAlign w:val="bottom"/>
          </w:tcPr>
          <w:p>
            <w:pPr>
              <w:spacing w:after="0"/>
              <w:rPr>
                <w:sz w:val="18"/>
                <w:szCs w:val="18"/>
                <w:color w:val="auto"/>
              </w:rPr>
            </w:pPr>
          </w:p>
        </w:tc>
        <w:tc>
          <w:tcPr>
            <w:tcW w:w="106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2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Loss, Net of</w:t>
            </w:r>
          </w:p>
        </w:tc>
        <w:tc>
          <w:tcPr>
            <w:tcW w:w="8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60" w:type="dxa"/>
            <w:vAlign w:val="bottom"/>
          </w:tcPr>
          <w:p>
            <w:pPr>
              <w:spacing w:after="0"/>
              <w:rPr>
                <w:sz w:val="18"/>
                <w:szCs w:val="18"/>
                <w:color w:val="auto"/>
              </w:rPr>
            </w:pP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r>
      <w:tr>
        <w:trPr>
          <w:trHeight w:val="238"/>
        </w:trPr>
        <w:tc>
          <w:tcPr>
            <w:tcW w:w="2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 w:type="dxa"/>
            <w:vAlign w:val="bottom"/>
          </w:tcPr>
          <w:p>
            <w:pPr>
              <w:spacing w:after="0"/>
              <w:rPr>
                <w:sz w:val="20"/>
                <w:szCs w:val="20"/>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Plan Shares</w:t>
            </w:r>
          </w:p>
        </w:tc>
        <w:tc>
          <w:tcPr>
            <w:tcW w:w="20" w:type="dxa"/>
            <w:vAlign w:val="bottom"/>
          </w:tcPr>
          <w:p>
            <w:pPr>
              <w:spacing w:after="0"/>
              <w:rPr>
                <w:sz w:val="20"/>
                <w:szCs w:val="20"/>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Income Taxes</w:t>
            </w:r>
          </w:p>
        </w:tc>
        <w:tc>
          <w:tcPr>
            <w:tcW w:w="40" w:type="dxa"/>
            <w:vAlign w:val="bottom"/>
          </w:tcPr>
          <w:p>
            <w:pPr>
              <w:spacing w:after="0"/>
              <w:rPr>
                <w:sz w:val="20"/>
                <w:szCs w:val="20"/>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178"/>
        </w:trPr>
        <w:tc>
          <w:tcPr>
            <w:tcW w:w="238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Balance,</w:t>
            </w: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2023</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shd w:val="clear" w:color="auto" w:fill="CCEEFF"/>
          </w:tcPr>
          <w:p>
            <w:pPr>
              <w:spacing w:after="0"/>
              <w:rPr>
                <w:sz w:val="20"/>
                <w:szCs w:val="20"/>
                <w:color w:val="auto"/>
              </w:rPr>
            </w:pPr>
          </w:p>
        </w:tc>
        <w:tc>
          <w:tcPr>
            <w:tcW w:w="1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95,671</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(941)</w:t>
            </w: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$ 214,121</w:t>
            </w: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(29,286)</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(28,818)</w:t>
            </w: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2,230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253,207</w:t>
            </w:r>
          </w:p>
        </w:tc>
        <w:tc>
          <w:tcPr>
            <w:tcW w:w="100" w:type="dxa"/>
            <w:vAlign w:val="bottom"/>
            <w:shd w:val="clear" w:color="auto" w:fill="CCEEFF"/>
          </w:tcPr>
          <w:p>
            <w:pPr>
              <w:spacing w:after="0"/>
              <w:rPr>
                <w:sz w:val="20"/>
                <w:szCs w:val="20"/>
                <w:color w:val="auto"/>
              </w:rPr>
            </w:pPr>
          </w:p>
        </w:tc>
      </w:tr>
      <w:tr>
        <w:trPr>
          <w:trHeight w:val="216"/>
        </w:trPr>
        <w:tc>
          <w:tcPr>
            <w:tcW w:w="2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Battle Creek demutualization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(12,332)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(403)</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(12,735)</w:t>
            </w:r>
          </w:p>
        </w:tc>
      </w:tr>
      <w:tr>
        <w:trPr>
          <w:trHeight w:val="198"/>
        </w:trPr>
        <w:tc>
          <w:tcPr>
            <w:tcW w:w="2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Impact of Westminster</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investment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gains/losses</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(loss), net of income taxes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2,300</w:t>
            </w:r>
          </w:p>
        </w:tc>
        <w:tc>
          <w:tcPr>
            <w:tcW w:w="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107</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100" w:type="dxa"/>
            <w:vAlign w:val="bottom"/>
          </w:tcPr>
          <w:p>
            <w:pPr>
              <w:spacing w:after="0"/>
              <w:rPr>
                <w:sz w:val="20"/>
                <w:szCs w:val="20"/>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(3,223)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(3,223)</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901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tcPr>
          <w:p>
            <w:pPr>
              <w:spacing w:after="0"/>
              <w:rPr>
                <w:sz w:val="18"/>
                <w:szCs w:val="18"/>
                <w:color w:val="auto"/>
              </w:rPr>
            </w:pPr>
          </w:p>
        </w:tc>
      </w:tr>
      <w:tr>
        <w:trPr>
          <w:trHeight w:val="23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vested award shares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(822)</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(271)</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919</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(174)</w:t>
            </w:r>
          </w:p>
        </w:tc>
      </w:tr>
      <w:tr>
        <w:trPr>
          <w:trHeight w:val="178"/>
        </w:trPr>
        <w:tc>
          <w:tcPr>
            <w:tcW w:w="23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Balance,</w:t>
            </w: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61"/>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June 30, 2023</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Pr>
          <w:p>
            <w:pPr>
              <w:spacing w:after="0"/>
              <w:rPr>
                <w:sz w:val="22"/>
                <w:szCs w:val="22"/>
                <w:color w:val="auto"/>
              </w:rPr>
            </w:pPr>
          </w:p>
        </w:tc>
        <w:tc>
          <w:tcPr>
            <w:tcW w:w="1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95,750</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(941)</w:t>
            </w: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97"/>
              </w:rPr>
              <w:t>$ 201,518</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(26,986)</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(31,122)</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1,934</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240,383</w:t>
            </w:r>
          </w:p>
        </w:tc>
        <w:tc>
          <w:tcPr>
            <w:tcW w:w="100" w:type="dxa"/>
            <w:vAlign w:val="bottom"/>
          </w:tcPr>
          <w:p>
            <w:pPr>
              <w:spacing w:after="0"/>
              <w:rPr>
                <w:sz w:val="22"/>
                <w:szCs w:val="22"/>
                <w:color w:val="auto"/>
              </w:rPr>
            </w:pPr>
          </w:p>
        </w:tc>
      </w:tr>
      <w:tr>
        <w:trPr>
          <w:trHeight w:val="20"/>
        </w:trPr>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NI Holdings, Inc.</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6"/>
            <w:vMerge w:val="restart"/>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9"/>
        </w:trPr>
        <w:tc>
          <w:tcPr>
            <w:tcW w:w="7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0" w:type="dxa"/>
            <w:vAlign w:val="bottom"/>
            <w:gridSpan w:val="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(9,817)</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(12,735)</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net income (loss) from discontinued operations, net of taxes</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(1,512)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(11,973)</w:t>
            </w:r>
          </w:p>
        </w:tc>
        <w:tc>
          <w:tcPr>
            <w:tcW w:w="0" w:type="dxa"/>
            <w:vAlign w:val="bottom"/>
          </w:tcPr>
          <w:p>
            <w:pPr>
              <w:spacing w:after="0"/>
              <w:rPr>
                <w:sz w:val="1"/>
                <w:szCs w:val="1"/>
                <w:color w:val="auto"/>
              </w:rPr>
            </w:pPr>
          </w:p>
        </w:tc>
      </w:tr>
      <w:tr>
        <w:trPr>
          <w:trHeight w:val="216"/>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(loss) to net cash flows from operating activities:</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investment gains</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(876)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0" w:type="dxa"/>
            <w:vAlign w:val="bottom"/>
          </w:tcPr>
          <w:p>
            <w:pPr>
              <w:spacing w:after="0"/>
              <w:rPr>
                <w:sz w:val="1"/>
                <w:szCs w:val="1"/>
                <w:color w:val="auto"/>
              </w:rPr>
            </w:pPr>
          </w:p>
        </w:tc>
      </w:tr>
      <w:tr>
        <w:trPr>
          <w:trHeight w:val="216"/>
        </w:trPr>
        <w:tc>
          <w:tcPr>
            <w:tcW w:w="7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(491)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341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16"/>
        </w:trPr>
        <w:tc>
          <w:tcPr>
            <w:tcW w:w="7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1,136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901</w:t>
            </w:r>
          </w:p>
        </w:tc>
        <w:tc>
          <w:tcPr>
            <w:tcW w:w="0" w:type="dxa"/>
            <w:vAlign w:val="bottom"/>
          </w:tcPr>
          <w:p>
            <w:pPr>
              <w:spacing w:after="0"/>
              <w:rPr>
                <w:sz w:val="1"/>
                <w:szCs w:val="1"/>
                <w:color w:val="auto"/>
              </w:rPr>
            </w:pPr>
          </w:p>
        </w:tc>
      </w:tr>
      <w:tr>
        <w:trPr>
          <w:trHeight w:val="216"/>
        </w:trPr>
        <w:tc>
          <w:tcPr>
            <w:tcW w:w="7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36,107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31,788</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Deferral of policy acquisition costs</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(40,474)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(35,585)</w:t>
            </w:r>
          </w:p>
        </w:tc>
        <w:tc>
          <w:tcPr>
            <w:tcW w:w="0" w:type="dxa"/>
            <w:vAlign w:val="bottom"/>
          </w:tcPr>
          <w:p>
            <w:pPr>
              <w:spacing w:after="0"/>
              <w:rPr>
                <w:sz w:val="1"/>
                <w:szCs w:val="1"/>
                <w:color w:val="auto"/>
              </w:rPr>
            </w:pPr>
          </w:p>
        </w:tc>
      </w:tr>
      <w:tr>
        <w:trPr>
          <w:trHeight w:val="216"/>
        </w:trPr>
        <w:tc>
          <w:tcPr>
            <w:tcW w:w="7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amortization of premiums and discounts on investments</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331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sale of property and equipment</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7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Premiums and agents’ balances receivable</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(36,677)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(43,904)</w:t>
            </w:r>
          </w:p>
        </w:tc>
        <w:tc>
          <w:tcPr>
            <w:tcW w:w="0" w:type="dxa"/>
            <w:vAlign w:val="bottom"/>
          </w:tcPr>
          <w:p>
            <w:pPr>
              <w:spacing w:after="0"/>
              <w:rPr>
                <w:sz w:val="1"/>
                <w:szCs w:val="1"/>
                <w:color w:val="auto"/>
              </w:rPr>
            </w:pPr>
          </w:p>
        </w:tc>
      </w:tr>
      <w:tr>
        <w:trPr>
          <w:trHeight w:val="216"/>
        </w:trPr>
        <w:tc>
          <w:tcPr>
            <w:tcW w:w="7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Reinsurance premiums receivable / payable</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(491)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Reinsurance recoverables on losses</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(2,963)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0" w:type="dxa"/>
            <w:vAlign w:val="bottom"/>
          </w:tcPr>
          <w:p>
            <w:pPr>
              <w:spacing w:after="0"/>
              <w:rPr>
                <w:sz w:val="1"/>
                <w:szCs w:val="1"/>
                <w:color w:val="auto"/>
              </w:rPr>
            </w:pPr>
          </w:p>
        </w:tc>
      </w:tr>
      <w:tr>
        <w:trPr>
          <w:trHeight w:val="216"/>
        </w:trPr>
        <w:tc>
          <w:tcPr>
            <w:tcW w:w="7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Federal Crop Insurance Corporation receivable / payable</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3,611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1,430</w:t>
            </w:r>
          </w:p>
        </w:tc>
        <w:tc>
          <w:tcPr>
            <w:tcW w:w="0" w:type="dxa"/>
            <w:vAlign w:val="bottom"/>
          </w:tcPr>
          <w:p>
            <w:pPr>
              <w:spacing w:after="0"/>
              <w:rPr>
                <w:sz w:val="1"/>
                <w:szCs w:val="1"/>
                <w:color w:val="auto"/>
              </w:rPr>
            </w:pPr>
          </w:p>
        </w:tc>
      </w:tr>
      <w:tr>
        <w:trPr>
          <w:trHeight w:val="216"/>
        </w:trPr>
        <w:tc>
          <w:tcPr>
            <w:tcW w:w="7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 assets</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(2,041)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Unpaid losses and loss adjustment expenses</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29,342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23,238</w:t>
            </w:r>
          </w:p>
        </w:tc>
        <w:tc>
          <w:tcPr>
            <w:tcW w:w="0" w:type="dxa"/>
            <w:vAlign w:val="bottom"/>
          </w:tcPr>
          <w:p>
            <w:pPr>
              <w:spacing w:after="0"/>
              <w:rPr>
                <w:sz w:val="1"/>
                <w:szCs w:val="1"/>
                <w:color w:val="auto"/>
              </w:rPr>
            </w:pPr>
          </w:p>
        </w:tc>
      </w:tr>
      <w:tr>
        <w:trPr>
          <w:trHeight w:val="216"/>
        </w:trPr>
        <w:tc>
          <w:tcPr>
            <w:tcW w:w="7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Unearned premiums</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31,630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34,754</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tax recoverable / payable</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(8,216)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4,534</w:t>
            </w:r>
          </w:p>
        </w:tc>
        <w:tc>
          <w:tcPr>
            <w:tcW w:w="0" w:type="dxa"/>
            <w:vAlign w:val="bottom"/>
          </w:tcPr>
          <w:p>
            <w:pPr>
              <w:spacing w:after="0"/>
              <w:rPr>
                <w:sz w:val="1"/>
                <w:szCs w:val="1"/>
                <w:color w:val="auto"/>
              </w:rPr>
            </w:pPr>
          </w:p>
        </w:tc>
      </w:tr>
      <w:tr>
        <w:trPr>
          <w:trHeight w:val="230"/>
        </w:trPr>
        <w:tc>
          <w:tcPr>
            <w:tcW w:w="7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6,658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8,343</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Net cash flows from operating activities – continuing operations</w:t>
            </w:r>
          </w:p>
        </w:tc>
        <w:tc>
          <w:tcPr>
            <w:tcW w:w="10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Net cash flows from operating activities – discontinued operations</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10,493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2,381</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Net cash flows from operating activities – loss on sale of discontinued operations</w:t>
            </w: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15,865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440" w:type="dxa"/>
            <w:vAlign w:val="bottom"/>
            <w:tcBorders>
              <w:bottom w:val="single" w:sz="8" w:color="CCEEFF"/>
            </w:tcBorders>
          </w:tcPr>
          <w:p>
            <w:pPr>
              <w:ind w:left="580"/>
              <w:spacing w:after="0"/>
              <w:rPr>
                <w:sz w:val="20"/>
                <w:szCs w:val="20"/>
                <w:color w:val="auto"/>
              </w:rPr>
            </w:pPr>
            <w:r>
              <w:rPr>
                <w:rFonts w:ascii="Times New Roman" w:cs="Times New Roman" w:eastAsia="Times New Roman" w:hAnsi="Times New Roman"/>
                <w:sz w:val="18"/>
                <w:szCs w:val="18"/>
                <w:color w:val="auto"/>
              </w:rPr>
              <w:t>Total adjustments</w:t>
            </w:r>
          </w:p>
        </w:tc>
        <w:tc>
          <w:tcPr>
            <w:tcW w:w="10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43,065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20,649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Net cash flows from operating activities</w:t>
            </w:r>
          </w:p>
        </w:tc>
        <w:tc>
          <w:tcPr>
            <w:tcW w:w="10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maturities and sales of fixed income securities</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15,596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17,213</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sales of equity securities</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3,827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32,682</w:t>
            </w:r>
          </w:p>
        </w:tc>
        <w:tc>
          <w:tcPr>
            <w:tcW w:w="0" w:type="dxa"/>
            <w:vAlign w:val="bottom"/>
          </w:tcPr>
          <w:p>
            <w:pPr>
              <w:spacing w:after="0"/>
              <w:rPr>
                <w:sz w:val="1"/>
                <w:szCs w:val="1"/>
                <w:color w:val="auto"/>
              </w:rPr>
            </w:pPr>
          </w:p>
        </w:tc>
      </w:tr>
      <w:tr>
        <w:trPr>
          <w:trHeight w:val="216"/>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fixed income securities</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(32,239)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(32,365)</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equity securities</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(3,935)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0" w:type="dxa"/>
            <w:vAlign w:val="bottom"/>
          </w:tcPr>
          <w:p>
            <w:pPr>
              <w:spacing w:after="0"/>
              <w:rPr>
                <w:sz w:val="1"/>
                <w:szCs w:val="1"/>
                <w:color w:val="auto"/>
              </w:rPr>
            </w:pPr>
          </w:p>
        </w:tc>
      </w:tr>
      <w:tr>
        <w:trPr>
          <w:trHeight w:val="216"/>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(630)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sales of property and equipment</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29"/>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disposition of Westminster</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10,500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cash flows from investing activities – continuing operations</w:t>
            </w:r>
          </w:p>
        </w:tc>
        <w:tc>
          <w:tcPr>
            <w:tcW w:w="10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cash flows from investing activities – discontinued operations</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2,878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(12,650)</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cash flows from investing activities</w:t>
            </w:r>
          </w:p>
        </w:tc>
        <w:tc>
          <w:tcPr>
            <w:tcW w:w="10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Pooling (payments) receipts</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(7,058)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(21,012)</w:t>
            </w:r>
          </w:p>
        </w:tc>
        <w:tc>
          <w:tcPr>
            <w:tcW w:w="0" w:type="dxa"/>
            <w:vAlign w:val="bottom"/>
          </w:tcPr>
          <w:p>
            <w:pPr>
              <w:spacing w:after="0"/>
              <w:rPr>
                <w:sz w:val="1"/>
                <w:szCs w:val="1"/>
                <w:color w:val="auto"/>
              </w:rPr>
            </w:pPr>
          </w:p>
        </w:tc>
      </w:tr>
      <w:tr>
        <w:trPr>
          <w:trHeight w:val="216"/>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repayments of finance leases</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vested award shares</w:t>
            </w: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0"/>
        </w:trPr>
        <w:tc>
          <w:tcPr>
            <w:tcW w:w="7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cash flows from financing activities – continuing operations</w:t>
            </w:r>
          </w:p>
        </w:tc>
        <w:tc>
          <w:tcPr>
            <w:tcW w:w="10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cash flows from financing activities – discontinued operations</w:t>
            </w: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7,058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21,012</w:t>
            </w:r>
          </w:p>
        </w:tc>
        <w:tc>
          <w:tcPr>
            <w:tcW w:w="0" w:type="dxa"/>
            <w:vAlign w:val="bottom"/>
          </w:tcPr>
          <w:p>
            <w:pPr>
              <w:spacing w:after="0"/>
              <w:rPr>
                <w:sz w:val="1"/>
                <w:szCs w:val="1"/>
                <w:color w:val="auto"/>
              </w:rPr>
            </w:pPr>
          </w:p>
        </w:tc>
      </w:tr>
      <w:tr>
        <w:trPr>
          <w:trHeight w:val="210"/>
        </w:trPr>
        <w:tc>
          <w:tcPr>
            <w:tcW w:w="74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Net cash flows from financing activities</w:t>
            </w:r>
          </w:p>
        </w:tc>
        <w:tc>
          <w:tcPr>
            <w:tcW w:w="10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30,782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17,607</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(Increase) decrease in cash and cash equivalents – discontinued operations</w:t>
            </w: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(20,429)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(10,743)</w:t>
            </w:r>
          </w:p>
        </w:tc>
        <w:tc>
          <w:tcPr>
            <w:tcW w:w="0" w:type="dxa"/>
            <w:vAlign w:val="bottom"/>
          </w:tcPr>
          <w:p>
            <w:pPr>
              <w:spacing w:after="0"/>
              <w:rPr>
                <w:sz w:val="1"/>
                <w:szCs w:val="1"/>
                <w:color w:val="auto"/>
              </w:rPr>
            </w:pPr>
          </w:p>
        </w:tc>
      </w:tr>
      <w:tr>
        <w:trPr>
          <w:trHeight w:val="209"/>
        </w:trPr>
        <w:tc>
          <w:tcPr>
            <w:tcW w:w="7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Net increase (decrease) in cash and cash equivalents – continuing operations</w:t>
            </w:r>
          </w:p>
        </w:tc>
        <w:tc>
          <w:tcPr>
            <w:tcW w:w="10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 – continuing operations</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41,037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33,862</w:t>
            </w:r>
          </w:p>
        </w:tc>
        <w:tc>
          <w:tcPr>
            <w:tcW w:w="0" w:type="dxa"/>
            <w:vAlign w:val="bottom"/>
          </w:tcPr>
          <w:p>
            <w:pPr>
              <w:spacing w:after="0"/>
              <w:rPr>
                <w:sz w:val="1"/>
                <w:szCs w:val="1"/>
                <w:color w:val="auto"/>
              </w:rPr>
            </w:pPr>
          </w:p>
        </w:tc>
      </w:tr>
      <w:tr>
        <w:trPr>
          <w:trHeight w:val="196"/>
        </w:trPr>
        <w:tc>
          <w:tcPr>
            <w:tcW w:w="74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 – continuing operations</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51,390</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40,726</w:t>
            </w:r>
          </w:p>
        </w:tc>
        <w:tc>
          <w:tcPr>
            <w:tcW w:w="0" w:type="dxa"/>
            <w:vAlign w:val="bottom"/>
          </w:tcPr>
          <w:p>
            <w:pPr>
              <w:spacing w:after="0"/>
              <w:rPr>
                <w:sz w:val="1"/>
                <w:szCs w:val="1"/>
                <w:color w:val="auto"/>
              </w:rPr>
            </w:pPr>
          </w:p>
        </w:tc>
      </w:tr>
      <w:tr>
        <w:trPr>
          <w:trHeight w:val="196"/>
        </w:trPr>
        <w:tc>
          <w:tcPr>
            <w:tcW w:w="74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Federal and state income taxes paid (net of refunds received)</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2,848</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1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4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7440" w:type="dxa"/>
            <w:vAlign w:val="bottom"/>
            <w:tcBorders>
              <w:bottom w:val="single" w:sz="8" w:color="auto"/>
            </w:tcBorders>
          </w:tcPr>
          <w:p>
            <w:pPr>
              <w:ind w:left="5560"/>
              <w:spacing w:after="0"/>
              <w:rPr>
                <w:sz w:val="20"/>
                <w:szCs w:val="20"/>
                <w:color w:val="auto"/>
              </w:rPr>
            </w:pPr>
            <w:r>
              <w:rPr>
                <w:rFonts w:ascii="Times New Roman" w:cs="Times New Roman" w:eastAsia="Times New Roman" w:hAnsi="Times New Roman"/>
                <w:sz w:val="18"/>
                <w:szCs w:val="18"/>
                <w:color w:val="auto"/>
              </w:rPr>
              <w:t>8</w:t>
            </w: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31" w:right="339" w:bottom="447"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203"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NI Holdings is a North Dakota business corporation that is the stock holding company of Nodak Insurance and became such in connection with the Nodak conversion, whereby Nodak Mutual converted from a mutual to stock form of organization and the creation of a mutual holding company. The Nodak conversion was consummated on March 13, 2017. Immediately following the Nodak conversion, all of the outstanding shares of common stock of Nodak Insurance were issued to Nodak Mutual Group, which then contributed the shares to NI Holdings in exchange for 55% of the outstanding shares of common stock of NI Holdings. Nodak Insurance then became a wholly-owned stock subsidiary of NI Holdings. Prior to completion of the Nodak conversion, NI Holdings conducted no business and had no assets or liabilities. As a result of the Nodak conversion, NI Holdings became the holding company for Nodak Insurance and its existing subsidiaries.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unaudited consolidated financial statements include the financial position and results of operations of NI Holdings and the following other entities: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Nodak Insurance Company</w:t>
      </w:r>
    </w:p>
    <w:p>
      <w:pPr>
        <w:spacing w:after="0" w:line="229" w:lineRule="exact"/>
        <w:rPr>
          <w:sz w:val="20"/>
          <w:szCs w:val="20"/>
          <w:color w:val="auto"/>
        </w:rPr>
      </w:pPr>
    </w:p>
    <w:p>
      <w:pPr>
        <w:ind w:right="720"/>
        <w:spacing w:after="0" w:line="312" w:lineRule="auto"/>
        <w:rPr>
          <w:sz w:val="20"/>
          <w:szCs w:val="20"/>
          <w:color w:val="auto"/>
        </w:rPr>
      </w:pPr>
      <w:r>
        <w:rPr>
          <w:rFonts w:ascii="Times New Roman" w:cs="Times New Roman" w:eastAsia="Times New Roman" w:hAnsi="Times New Roman"/>
          <w:sz w:val="17"/>
          <w:szCs w:val="17"/>
          <w:color w:val="auto"/>
        </w:rPr>
        <w:t>Nodak Insurance is the largest domestic property and casualty insurance company in North Dakota, offering private passenger auto, homeowners, farmowners, commercial multi-peril, crop hail, and Federal multi-peril crop insurance coverages through its captive agents in the state.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Nodak Agency,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Nodak Agency is an inactive shell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American West Insurance Company</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American West is a property and casualty insurance company licensed in eight states in the Midwest and Western regions of the United States (“U.S.”). American West began writing policies in 2002 and primarily writes private passenger auto, homeowners, and farm coverages in South Dakota. American West also writes private passenger auto coverage in North Dakota, as well as crop hail and Federal multi-peril crop insurance coverages in Minnesota and South Dakota.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Primero Insurance Company</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Primero is a wholly-owned subsidiary of Tri-State, Ltd. Tri-State, Ltd. is an inactive shell corporation 100% owned by Nodak Insurance. Primero is a property and casualty insurance company writing non-standard auto coverage in the states of Nevada, Arizona, North Dakota, and South Dakota. Primero was acquired by Nodak Insurance in 2014.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Battle Creek Insurance Company</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Battle Creek is a property and casualty insurance company writing private passenger auto, homeowners, and farm coverages solely in the state of Nebraska. Battle Creek became affiliated with Nodak Insurance in 2011 and, prior to January 2, 2024, was controlled by Nodak Insurance via a surplus note. On January 2, 2024, Battle Creek issued 300,000 shares of its common stock to Nodak Insurance at a $10.00 per share par value and became a wholly-owned subsidiary of Nodak Insurance. Because we concluded that we controlled Battle Creek prior to January 2, 2024, we consolidated the financial statements of Battle Creek, and Battle Creek’s policyholders’ interest in Battle Creek was reflected as a non-controlling interest in shareholders’ equity in our Consolidated Balance Sheets for NI Holdings (“Consolidated Balance Sheets”) and its net income or loss was excluded from net income or loss attributed to NI Holdings in our Consolidated Statements of Operations for NI Holdings (“Consolidated Statements of Operations”). Subsequent to January 2, 2024, Battle Creek is fully consolidated in our Consolidated Balance Sheets and Consolidated Statements of Operations and, as such, no longer reflected as a non-controlling interest.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Auto Insurance Company</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Direct Auto is a property and casualty insurance company licensed in Illinois. Direct Auto began writing non-standard auto coverage in 2007, and was acquired by NI Holdings on August 31, 2018, via a stock purchase agreement.</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Westminster American Insurance Company</w:t>
      </w:r>
    </w:p>
    <w:p>
      <w:pPr>
        <w:spacing w:after="0" w:line="229"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Westminster is a property and casualty insurance company licensed in 18 states and the District of Columbia. Westminster is headquartered in Owings Mills, Maryland and underwrites commercial multi-peril insurance in the states of Delaware, Georgia, Kentucky, Maryland, New Jersey, North Carolina, Pennsylvania, South Carolina, Tennessee, Virginia, West Virginia, and the District of Columbia. Westminster was sold to Scott Insurance Holdings on June 30, 2024. Subsequent to the date of sale, Westminster is reflected as discontinued operations within our Consolidated Balance Sheets and Consolidated Statements of Operations. For additional information see Part I, Item 1, Note 19 “Discontinued Operations” of this Quarterly Report on Form 10-Q.</w:t>
      </w:r>
    </w:p>
    <w:p>
      <w:pPr>
        <w:spacing w:after="0" w:line="16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Nodak Insurance markets and distributes its policies through its captive agents, while all other companies utilize the independent agent distribution channel. Additionally, all of the Company’s insurance subsidiary and affiliate companies, excluding Westminster, are rated “A” Excellent by A.M. Best Company, Inc. (“AM Best”), a global credit rating agency specializing in the insurance industry.</w:t>
      </w:r>
    </w:p>
    <w:p>
      <w:pPr>
        <w:spacing w:after="0" w:line="17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same executive management team provides oversight and strategic direction for the entire organization. Nodak Insurance provides common product oversight, pricing practices, and underwriting standards, as well as underwriting and claims administration, to itself, American West, and Battle Creek. Primero and Direct Auto personnel manage the day-to-day operations of their respective companies. Westminster personnel managed the day-to-day operations of their company prior to the date of sale.</w:t>
      </w:r>
    </w:p>
    <w:p>
      <w:pPr>
        <w:spacing w:after="0" w:line="351" w:lineRule="exact"/>
        <w:rPr>
          <w:sz w:val="20"/>
          <w:szCs w:val="20"/>
          <w:color w:val="auto"/>
        </w:rPr>
      </w:pPr>
    </w:p>
    <w:p>
      <w:pPr>
        <w:ind w:right="7280" w:firstLine="8"/>
        <w:spacing w:after="0" w:line="503" w:lineRule="auto"/>
        <w:tabs>
          <w:tab w:leader="none" w:pos="45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Accounting Policies Basis of Presentation</w:t>
      </w:r>
    </w:p>
    <w:p>
      <w:pPr>
        <w:ind w:right="100"/>
        <w:spacing w:after="0" w:line="256"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accounting principles generally accepted in the United States of America (“GAAP”) for interim financial information and with the instructions to Form 10-Q and Article 10 of Regulation S-X. Accordingly, they do not include all of the information and footnotes required by GAAP for complete financial statements. In the opinion of management, all adjustments (consisting of normal recurring accruals) considered necessary for a fair presentation have been included. All material intercompany transactions and balances have been eliminated. These financial statements should be read in conjunction with the financial statements and notes thereto included in our 2023 Annual Report.</w:t>
      </w:r>
    </w:p>
    <w:p>
      <w:pPr>
        <w:spacing w:after="0" w:line="18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Consolidated Balance Sheet at December 31, 2023, has been derived from the audited consolidated financial statements at that date but does not include all of the information and footnotes required by GAAP for complete financial statements.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preparation of the interim unaudited consolidated financial statements in conformity with GAAP requires management to make estimates and assumptions that affect the reported amounts of assets and liabilities and disclosure of contingent assets and liabilities at the date of the interim unaudited consolidated financial statements and the reported amounts of revenues, claims, and expenses during the reporting period. Actual results could differ from those estimates. Operating results for the interim periods ended June 30, 2024, are not necessarily indicative of the results that may be expected for the year ended December 31, 2024.</w:t>
      </w:r>
    </w:p>
    <w:p>
      <w:pPr>
        <w:spacing w:after="0" w:line="18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2023 Annual Report describes the accounting policies and estimates that are critical to the understanding of our results of operations, financial condition, and liquidity. The accounting policies and estimation processes described in the 2023 Annual Report were consistently applied to the unaudited consolidated financial statements as of and for the six months ended June 30, 2024 and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May 7, 2024, NI Holdings entered into a Stock Purchase Agreement (“Purchase Agreement”) to sell its subsidiary, Westminster, to Scott Insurance Holdings, a privately owned Maryland limited liability company. Scott Insurance Holdings is affiliated with John Scott, Sr., the father of the president of Westminster, John Scott, Jr. The sale closed on June 30, 2024. The Purchase Agreement included a cash purchase price of $10,500, subject to certain post-closing adjustments, including a post-closing payment to NI Holdings for the amount by which the ending statutory surplus balance for Westminster exceeded $20,000. The expected post-closing payment from Scott Insurance Holdings, is $1,772 and has been included as an adjustment to the purchase price for the calculation of the loss on the sale of Westminster. The sale of Westminster, which represented the majority of our Commercial segment in prior periods, represents a strategic shift that will have a major effect on our operations and financial results. Therefore, Westminster will be reported as discontinued operations in the Consolidated Balance Sheets, Consolidated Statements of Operations, and Consolidated Statements of Cash Flows for all periods presented in this Form 10-Q. All current and prior periods reflected in this Form 10-Q have been presented as continuing and discontinued operations, unless otherwise noted. For additional information see Part I, Item 1, Note 19 “Discontinued Operations” of this Form 10-Q.</w:t>
      </w:r>
    </w:p>
    <w:p>
      <w:pPr>
        <w:spacing w:after="0" w:line="3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Adopted</w:t>
      </w:r>
    </w:p>
    <w:p>
      <w:pPr>
        <w:spacing w:after="0" w:line="227"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For information regarding accounting pronouncements that the Company adopted during the periods presented, see Item II, Part 8, Note 2 “Recent Accounting Pronouncements” section of the 2023 Annual Report.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 Yet Adopted</w:t>
      </w:r>
    </w:p>
    <w:p>
      <w:pPr>
        <w:spacing w:after="0" w:line="22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Improvements to Reportable Segment Disclosures – In November 2023, the Financial Accounting Standards Board (“FASB”) issued guidance related to improving disclosures for reportable segments primarily through enhanced disclosures about significant segment expenses that are provided to the chief operating decision maker (“CODM”). This guidance also requires disclosure of the title and position of the CODM and an explanation of how the CODM uses the reported measures of segment profit or loss in assessing segment performance and deciding how to allocate resources. The amendments in this update are effective for fiscal years beginning after December 15, 2023, and interim periods within fiscal years beginning after December 15, 2024. We are currently evaluating the impact of the new standard on our consolidated financial statements, which is expected to result in enhanced disclosures.</w:t>
      </w:r>
    </w:p>
    <w:p>
      <w:pPr>
        <w:spacing w:after="0" w:line="18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Improvements to Income Tax Disclosures – In December 2023, the FASB issued guidance related to improving income tax disclosures. This guidance requires that an entity, on an annual basis, disclose additional income tax information, primarily related to the rate reconciliation and income taxes paid. The guidance is intended to enhance the transparency and decision usefulness of income tax disclosures. The amendments in this update are effective for annual periods beginning after December 15, 2024. We are currently evaluating the impact of the new standard on our consolidated financial statements, which is expected to result in enhanced disclosures.</w:t>
      </w:r>
    </w:p>
    <w:p>
      <w:pPr>
        <w:spacing w:after="0" w:line="179" w:lineRule="exact"/>
        <w:rPr>
          <w:sz w:val="20"/>
          <w:szCs w:val="20"/>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229" w:lineRule="exact"/>
        <w:rPr>
          <w:sz w:val="20"/>
          <w:szCs w:val="20"/>
          <w:color w:val="auto"/>
        </w:rPr>
      </w:pPr>
    </w:p>
    <w:p>
      <w:pPr>
        <w:ind w:left="20" w:right="460"/>
        <w:spacing w:after="0" w:line="282" w:lineRule="auto"/>
        <w:rPr>
          <w:sz w:val="20"/>
          <w:szCs w:val="20"/>
          <w:color w:val="auto"/>
        </w:rPr>
      </w:pPr>
      <w:r>
        <w:rPr>
          <w:rFonts w:ascii="Times New Roman" w:cs="Times New Roman" w:eastAsia="Times New Roman" w:hAnsi="Times New Roman"/>
          <w:sz w:val="18"/>
          <w:szCs w:val="18"/>
          <w:color w:val="auto"/>
        </w:rPr>
        <w:t>The amortized cost and estimated fair value of fixed income securities, presented on a consolidated basis, including both continuing and discontinued operations, as of June 30, 2024, and December 31, 2023,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3"/>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Cost or</w:t>
            </w:r>
          </w:p>
        </w:tc>
        <w:tc>
          <w:tcPr>
            <w:tcW w:w="1180" w:type="dxa"/>
            <w:vAlign w:val="bottom"/>
            <w:gridSpan w:val="4"/>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Allowance for</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44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16"/>
                <w:szCs w:val="16"/>
                <w:color w:val="auto"/>
              </w:rPr>
            </w:pPr>
          </w:p>
        </w:tc>
        <w:tc>
          <w:tcPr>
            <w:tcW w:w="1060" w:type="dxa"/>
            <w:vAlign w:val="bottom"/>
            <w:gridSpan w:val="2"/>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Expected</w:t>
            </w:r>
          </w:p>
        </w:tc>
        <w:tc>
          <w:tcPr>
            <w:tcW w:w="140" w:type="dxa"/>
            <w:vAlign w:val="bottom"/>
          </w:tcPr>
          <w:p>
            <w:pPr>
              <w:spacing w:after="0"/>
              <w:rPr>
                <w:sz w:val="18"/>
                <w:szCs w:val="18"/>
                <w:color w:val="auto"/>
              </w:rPr>
            </w:pPr>
          </w:p>
        </w:tc>
        <w:tc>
          <w:tcPr>
            <w:tcW w:w="12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20" w:type="dxa"/>
            <w:vAlign w:val="bottom"/>
            <w:gridSpan w:val="3"/>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40" w:type="dxa"/>
            <w:vAlign w:val="bottom"/>
          </w:tcPr>
          <w:p>
            <w:pPr>
              <w:spacing w:after="0"/>
              <w:rPr>
                <w:sz w:val="20"/>
                <w:szCs w:val="20"/>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6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8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12,075</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(355)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11,741</w:t>
            </w:r>
          </w:p>
        </w:tc>
      </w:tr>
      <w:tr>
        <w:trPr>
          <w:trHeight w:val="216"/>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56,568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(4,897)</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51,862</w:t>
            </w: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125,282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w:t>
            </w:r>
          </w:p>
        </w:tc>
        <w:tc>
          <w:tcPr>
            <w:tcW w:w="16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(8,980)</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116,440</w:t>
            </w:r>
          </w:p>
        </w:tc>
      </w:tr>
      <w:tr>
        <w:trPr>
          <w:trHeight w:val="216"/>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48,926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(5,061)</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43,903</w:t>
            </w: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28,301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(3,324)</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25,038</w:t>
            </w:r>
          </w:p>
        </w:tc>
      </w:tr>
      <w:tr>
        <w:trPr>
          <w:trHeight w:val="216"/>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54,596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(3,699)</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51,133</w:t>
            </w:r>
          </w:p>
        </w:tc>
      </w:tr>
      <w:tr>
        <w:trPr>
          <w:trHeight w:val="230"/>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Redeemable preferred stocks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3,738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(440)</w:t>
            </w:r>
          </w:p>
        </w:tc>
        <w:tc>
          <w:tcPr>
            <w:tcW w:w="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3,298</w:t>
            </w:r>
          </w:p>
        </w:tc>
      </w:tr>
      <w:tr>
        <w:trPr>
          <w:trHeight w:val="223"/>
        </w:trPr>
        <w:tc>
          <w:tcPr>
            <w:tcW w:w="51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329,486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51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6"/>
          </w:tcPr>
          <w:p>
            <w:pPr>
              <w:ind w:left="8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5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3"/>
          </w:tcPr>
          <w:p>
            <w:pPr>
              <w:jc w:val="right"/>
              <w:ind w:right="460"/>
              <w:spacing w:after="0" w:line="188" w:lineRule="exact"/>
              <w:rPr>
                <w:sz w:val="20"/>
                <w:szCs w:val="20"/>
                <w:color w:val="auto"/>
              </w:rPr>
            </w:pPr>
            <w:r>
              <w:rPr>
                <w:rFonts w:ascii="Times New Roman" w:cs="Times New Roman" w:eastAsia="Times New Roman" w:hAnsi="Times New Roman"/>
                <w:sz w:val="18"/>
                <w:szCs w:val="18"/>
                <w:b w:val="1"/>
                <w:bCs w:val="1"/>
                <w:color w:val="auto"/>
              </w:rPr>
              <w:t>Cost or</w:t>
            </w:r>
          </w:p>
        </w:tc>
        <w:tc>
          <w:tcPr>
            <w:tcW w:w="1180" w:type="dxa"/>
            <w:vAlign w:val="bottom"/>
            <w:gridSpan w:val="4"/>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Allowance for</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44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16"/>
                <w:szCs w:val="16"/>
                <w:color w:val="auto"/>
              </w:rPr>
            </w:pPr>
          </w:p>
        </w:tc>
        <w:tc>
          <w:tcPr>
            <w:tcW w:w="1060" w:type="dxa"/>
            <w:vAlign w:val="bottom"/>
            <w:gridSpan w:val="2"/>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Expected</w:t>
            </w:r>
          </w:p>
        </w:tc>
        <w:tc>
          <w:tcPr>
            <w:tcW w:w="140" w:type="dxa"/>
            <w:vAlign w:val="bottom"/>
          </w:tcPr>
          <w:p>
            <w:pPr>
              <w:spacing w:after="0"/>
              <w:rPr>
                <w:sz w:val="18"/>
                <w:szCs w:val="18"/>
                <w:color w:val="auto"/>
              </w:rPr>
            </w:pPr>
          </w:p>
        </w:tc>
        <w:tc>
          <w:tcPr>
            <w:tcW w:w="12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20" w:type="dxa"/>
            <w:vAlign w:val="bottom"/>
            <w:gridSpan w:val="3"/>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1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6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8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10,998</w:t>
            </w:r>
          </w:p>
        </w:tc>
        <w:tc>
          <w:tcPr>
            <w:tcW w:w="18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(736)</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10,262</w:t>
            </w:r>
          </w:p>
        </w:tc>
      </w:tr>
      <w:tr>
        <w:trPr>
          <w:trHeight w:val="216"/>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55,769</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(4,716)</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51,461</w:t>
            </w: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152,630</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442</w:t>
            </w:r>
          </w:p>
        </w:tc>
        <w:tc>
          <w:tcPr>
            <w:tcW w:w="16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(10,856)</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142,216</w:t>
            </w:r>
          </w:p>
        </w:tc>
      </w:tr>
      <w:tr>
        <w:trPr>
          <w:trHeight w:val="216"/>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66,362</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(5,379)</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61,163</w:t>
            </w: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33,532</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w:t>
            </w:r>
          </w:p>
        </w:tc>
        <w:tc>
          <w:tcPr>
            <w:tcW w:w="16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(4,241)</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29,439</w:t>
            </w:r>
          </w:p>
        </w:tc>
      </w:tr>
      <w:tr>
        <w:trPr>
          <w:trHeight w:val="216"/>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52,692</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(3,805)</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49,029</w:t>
            </w:r>
          </w:p>
        </w:tc>
      </w:tr>
      <w:tr>
        <w:trPr>
          <w:trHeight w:val="229"/>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Redeemable preferred stocks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4,747</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(586)</w:t>
            </w:r>
          </w:p>
        </w:tc>
        <w:tc>
          <w:tcPr>
            <w:tcW w:w="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4,161</w:t>
            </w:r>
          </w:p>
        </w:tc>
      </w:tr>
      <w:tr>
        <w:trPr>
          <w:trHeight w:val="223"/>
        </w:trPr>
        <w:tc>
          <w:tcPr>
            <w:tcW w:w="51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376,730</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1"/>
        </w:trPr>
        <w:tc>
          <w:tcPr>
            <w:tcW w:w="5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5"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85"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The reconciliation of the amortized cost and estimated fair value of fixed income securities for continuing and discontinued operations as of June 30, 2024, and December 31, 2023,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7"/>
        </w:trPr>
        <w:tc>
          <w:tcPr>
            <w:tcW w:w="5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360"/>
              <w:spacing w:after="0" w:line="188" w:lineRule="exact"/>
              <w:rPr>
                <w:sz w:val="20"/>
                <w:szCs w:val="20"/>
                <w:color w:val="auto"/>
              </w:rPr>
            </w:pPr>
            <w:r>
              <w:rPr>
                <w:rFonts w:ascii="Times New Roman" w:cs="Times New Roman" w:eastAsia="Times New Roman" w:hAnsi="Times New Roman"/>
                <w:sz w:val="18"/>
                <w:szCs w:val="18"/>
                <w:b w:val="1"/>
                <w:bCs w:val="1"/>
                <w:color w:val="auto"/>
              </w:rPr>
              <w:t>Cost or</w:t>
            </w:r>
          </w:p>
        </w:tc>
        <w:tc>
          <w:tcPr>
            <w:tcW w:w="1240" w:type="dxa"/>
            <w:vAlign w:val="bottom"/>
            <w:gridSpan w:val="4"/>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Allowance for</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44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16"/>
                <w:szCs w:val="16"/>
                <w:color w:val="auto"/>
              </w:rPr>
            </w:pPr>
          </w:p>
        </w:tc>
        <w:tc>
          <w:tcPr>
            <w:tcW w:w="1060" w:type="dxa"/>
            <w:vAlign w:val="bottom"/>
            <w:gridSpan w:val="2"/>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5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Expected</w:t>
            </w:r>
          </w:p>
        </w:tc>
        <w:tc>
          <w:tcPr>
            <w:tcW w:w="140" w:type="dxa"/>
            <w:vAlign w:val="bottom"/>
          </w:tcPr>
          <w:p>
            <w:pPr>
              <w:spacing w:after="0"/>
              <w:rPr>
                <w:sz w:val="18"/>
                <w:szCs w:val="18"/>
                <w:color w:val="auto"/>
              </w:rPr>
            </w:pPr>
          </w:p>
        </w:tc>
        <w:tc>
          <w:tcPr>
            <w:tcW w:w="12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20" w:type="dxa"/>
            <w:vAlign w:val="bottom"/>
            <w:gridSpan w:val="3"/>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5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0"/>
                <w:szCs w:val="20"/>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6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80" w:type="dxa"/>
            <w:vAlign w:val="bottom"/>
          </w:tcPr>
          <w:p>
            <w:pPr>
              <w:spacing w:after="0"/>
              <w:rPr>
                <w:sz w:val="20"/>
                <w:szCs w:val="20"/>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329,486</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(26,756)</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303,415</w:t>
            </w:r>
          </w:p>
        </w:tc>
        <w:tc>
          <w:tcPr>
            <w:tcW w:w="80" w:type="dxa"/>
            <w:vAlign w:val="bottom"/>
          </w:tcPr>
          <w:p>
            <w:pPr>
              <w:spacing w:after="0"/>
              <w:rPr>
                <w:sz w:val="18"/>
                <w:szCs w:val="18"/>
                <w:color w:val="auto"/>
              </w:rPr>
            </w:pPr>
          </w:p>
        </w:tc>
      </w:tr>
      <w:tr>
        <w:trPr>
          <w:trHeight w:val="230"/>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329,486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(26,756</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52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6"/>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7"/>
        </w:trPr>
        <w:tc>
          <w:tcPr>
            <w:tcW w:w="5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Cost or</w:t>
            </w:r>
          </w:p>
        </w:tc>
        <w:tc>
          <w:tcPr>
            <w:tcW w:w="1240" w:type="dxa"/>
            <w:vAlign w:val="bottom"/>
            <w:gridSpan w:val="4"/>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Allowance for</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44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16"/>
                <w:szCs w:val="16"/>
                <w:color w:val="auto"/>
              </w:rPr>
            </w:pPr>
          </w:p>
        </w:tc>
        <w:tc>
          <w:tcPr>
            <w:tcW w:w="1060" w:type="dxa"/>
            <w:vAlign w:val="bottom"/>
            <w:gridSpan w:val="2"/>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5200" w:type="dxa"/>
            <w:vAlign w:val="bottom"/>
          </w:tcPr>
          <w:p>
            <w:pPr>
              <w:spacing w:after="0"/>
              <w:rPr>
                <w:sz w:val="18"/>
                <w:szCs w:val="18"/>
                <w:color w:val="auto"/>
              </w:rPr>
            </w:pPr>
          </w:p>
        </w:tc>
        <w:tc>
          <w:tcPr>
            <w:tcW w:w="11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Expected</w:t>
            </w:r>
          </w:p>
        </w:tc>
        <w:tc>
          <w:tcPr>
            <w:tcW w:w="140" w:type="dxa"/>
            <w:vAlign w:val="bottom"/>
          </w:tcPr>
          <w:p>
            <w:pPr>
              <w:spacing w:after="0"/>
              <w:rPr>
                <w:sz w:val="18"/>
                <w:szCs w:val="18"/>
                <w:color w:val="auto"/>
              </w:rPr>
            </w:pPr>
          </w:p>
        </w:tc>
        <w:tc>
          <w:tcPr>
            <w:tcW w:w="12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20" w:type="dxa"/>
            <w:vAlign w:val="bottom"/>
            <w:gridSpan w:val="3"/>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5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0"/>
                <w:szCs w:val="20"/>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6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80" w:type="dxa"/>
            <w:vAlign w:val="bottom"/>
          </w:tcPr>
          <w:p>
            <w:pPr>
              <w:spacing w:after="0"/>
              <w:rPr>
                <w:sz w:val="20"/>
                <w:szCs w:val="20"/>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313,182</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(24,899)</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289,399</w:t>
            </w:r>
          </w:p>
        </w:tc>
        <w:tc>
          <w:tcPr>
            <w:tcW w:w="80" w:type="dxa"/>
            <w:vAlign w:val="bottom"/>
          </w:tcPr>
          <w:p>
            <w:pPr>
              <w:spacing w:after="0"/>
              <w:rPr>
                <w:sz w:val="18"/>
                <w:szCs w:val="18"/>
                <w:color w:val="auto"/>
              </w:rPr>
            </w:pPr>
          </w:p>
        </w:tc>
      </w:tr>
      <w:tr>
        <w:trPr>
          <w:trHeight w:val="229"/>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63,548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(5,420)</w:t>
            </w:r>
          </w:p>
        </w:tc>
        <w:tc>
          <w:tcPr>
            <w:tcW w:w="8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58,332</w:t>
            </w:r>
          </w:p>
        </w:tc>
      </w:tr>
      <w:tr>
        <w:trPr>
          <w:trHeight w:val="223"/>
        </w:trPr>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376,730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(30,319</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347,731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 w:right="140"/>
        <w:spacing w:after="0" w:line="266" w:lineRule="auto"/>
        <w:rPr>
          <w:sz w:val="20"/>
          <w:szCs w:val="20"/>
          <w:color w:val="auto"/>
        </w:rPr>
      </w:pPr>
      <w:r>
        <w:rPr>
          <w:rFonts w:ascii="Times New Roman" w:cs="Times New Roman" w:eastAsia="Times New Roman" w:hAnsi="Times New Roman"/>
          <w:sz w:val="18"/>
          <w:szCs w:val="18"/>
          <w:color w:val="auto"/>
        </w:rPr>
        <w:t>The amortized cost and estimated fair value of fixed income securities by contractual maturity, presented on a consolidated basis, including both continuing and discontinued operations, are shown below. Actual maturities could differ from contractual maturities because issuers may have the right to call or prepay these securities.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20" w:type="dxa"/>
            <w:vAlign w:val="bottom"/>
            <w:gridSpan w:val="7"/>
          </w:tcPr>
          <w:p>
            <w:pPr>
              <w:ind w:left="44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23"/>
        </w:trPr>
        <w:tc>
          <w:tcPr>
            <w:tcW w:w="55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4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gridSpan w:val="2"/>
          </w:tcPr>
          <w:p>
            <w:pPr>
              <w:spacing w:after="0"/>
              <w:rPr>
                <w:sz w:val="19"/>
                <w:szCs w:val="19"/>
                <w:color w:val="auto"/>
              </w:rPr>
            </w:pPr>
          </w:p>
        </w:tc>
      </w:tr>
      <w:tr>
        <w:trPr>
          <w:trHeight w:val="209"/>
        </w:trPr>
        <w:tc>
          <w:tcPr>
            <w:tcW w:w="5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mature:</w:t>
            </w:r>
          </w:p>
        </w:tc>
        <w:tc>
          <w:tcPr>
            <w:tcW w:w="29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One year or less</w:t>
            </w:r>
          </w:p>
        </w:tc>
        <w:tc>
          <w:tcPr>
            <w:tcW w:w="3280" w:type="dxa"/>
            <w:vAlign w:val="bottom"/>
            <w:gridSpan w:val="2"/>
          </w:tcPr>
          <w:p>
            <w:pPr>
              <w:ind w:left="29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12,663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12,454</w:t>
            </w:r>
          </w:p>
        </w:tc>
      </w:tr>
      <w:tr>
        <w:trPr>
          <w:trHeight w:val="216"/>
        </w:trPr>
        <w:tc>
          <w:tcPr>
            <w:tcW w:w="5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2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64,545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61,560</w:t>
            </w:r>
          </w:p>
        </w:tc>
      </w:tr>
      <w:tr>
        <w:trPr>
          <w:trHeight w:val="216"/>
        </w:trPr>
        <w:tc>
          <w:tcPr>
            <w:tcW w:w="5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2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72,035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65,882</w:t>
            </w:r>
          </w:p>
        </w:tc>
      </w:tr>
      <w:tr>
        <w:trPr>
          <w:trHeight w:val="216"/>
        </w:trPr>
        <w:tc>
          <w:tcPr>
            <w:tcW w:w="5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After ten years</w:t>
            </w:r>
          </w:p>
        </w:tc>
        <w:tc>
          <w:tcPr>
            <w:tcW w:w="2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44,682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40,147</w:t>
            </w:r>
          </w:p>
        </w:tc>
      </w:tr>
      <w:tr>
        <w:trPr>
          <w:trHeight w:val="216"/>
        </w:trPr>
        <w:tc>
          <w:tcPr>
            <w:tcW w:w="5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Mortgage / asset-backed securities</w:t>
            </w:r>
          </w:p>
        </w:tc>
        <w:tc>
          <w:tcPr>
            <w:tcW w:w="2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131,823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120,074</w:t>
            </w:r>
          </w:p>
        </w:tc>
        <w:tc>
          <w:tcPr>
            <w:tcW w:w="80" w:type="dxa"/>
            <w:vAlign w:val="bottom"/>
          </w:tcPr>
          <w:p>
            <w:pPr>
              <w:spacing w:after="0"/>
              <w:rPr>
                <w:sz w:val="18"/>
                <w:szCs w:val="18"/>
                <w:color w:val="auto"/>
              </w:rPr>
            </w:pPr>
          </w:p>
        </w:tc>
      </w:tr>
      <w:tr>
        <w:trPr>
          <w:trHeight w:val="230"/>
        </w:trPr>
        <w:tc>
          <w:tcPr>
            <w:tcW w:w="5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Redeemable preferred stocks</w:t>
            </w:r>
          </w:p>
        </w:tc>
        <w:tc>
          <w:tcPr>
            <w:tcW w:w="2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3,738</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3,298</w:t>
            </w:r>
          </w:p>
        </w:tc>
        <w:tc>
          <w:tcPr>
            <w:tcW w:w="80" w:type="dxa"/>
            <w:vAlign w:val="bottom"/>
            <w:shd w:val="clear" w:color="auto" w:fill="CCEEFF"/>
          </w:tcPr>
          <w:p>
            <w:pPr>
              <w:spacing w:after="0"/>
              <w:rPr>
                <w:sz w:val="19"/>
                <w:szCs w:val="19"/>
                <w:color w:val="auto"/>
              </w:rPr>
            </w:pPr>
          </w:p>
        </w:tc>
      </w:tr>
      <w:tr>
        <w:trPr>
          <w:trHeight w:val="223"/>
        </w:trPr>
        <w:tc>
          <w:tcPr>
            <w:tcW w:w="5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29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329,486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303,415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40" w:type="dxa"/>
            <w:vAlign w:val="bottom"/>
            <w:gridSpan w:val="7"/>
          </w:tcPr>
          <w:p>
            <w:pPr>
              <w:ind w:left="26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55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4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gridSpan w:val="2"/>
          </w:tcPr>
          <w:p>
            <w:pPr>
              <w:spacing w:after="0"/>
              <w:rPr>
                <w:sz w:val="19"/>
                <w:szCs w:val="19"/>
                <w:color w:val="auto"/>
              </w:rPr>
            </w:pP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mature:</w:t>
            </w:r>
          </w:p>
        </w:tc>
        <w:tc>
          <w:tcPr>
            <w:tcW w:w="29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One year or less</w:t>
            </w:r>
          </w:p>
        </w:tc>
        <w:tc>
          <w:tcPr>
            <w:tcW w:w="3260" w:type="dxa"/>
            <w:vAlign w:val="bottom"/>
            <w:gridSpan w:val="2"/>
          </w:tcPr>
          <w:p>
            <w:pPr>
              <w:ind w:left="29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9,612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9,436</w:t>
            </w:r>
          </w:p>
        </w:tc>
        <w:tc>
          <w:tcPr>
            <w:tcW w:w="80" w:type="dxa"/>
            <w:vAlign w:val="bottom"/>
          </w:tcPr>
          <w:p>
            <w:pPr>
              <w:spacing w:after="0"/>
              <w:rPr>
                <w:sz w:val="18"/>
                <w:szCs w:val="18"/>
                <w:color w:val="auto"/>
              </w:rPr>
            </w:pPr>
          </w:p>
        </w:tc>
      </w:tr>
      <w:tr>
        <w:trPr>
          <w:trHeight w:val="216"/>
        </w:trPr>
        <w:tc>
          <w:tcPr>
            <w:tcW w:w="5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2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75,794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72,602</w:t>
            </w:r>
          </w:p>
        </w:tc>
      </w:tr>
      <w:tr>
        <w:trPr>
          <w:trHeight w:val="216"/>
        </w:trPr>
        <w:tc>
          <w:tcPr>
            <w:tcW w:w="5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2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86,185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79,281</w:t>
            </w:r>
          </w:p>
        </w:tc>
      </w:tr>
      <w:tr>
        <w:trPr>
          <w:trHeight w:val="216"/>
        </w:trPr>
        <w:tc>
          <w:tcPr>
            <w:tcW w:w="5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After ten years</w:t>
            </w:r>
          </w:p>
        </w:tc>
        <w:tc>
          <w:tcPr>
            <w:tcW w:w="2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47,806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42,620</w:t>
            </w:r>
          </w:p>
        </w:tc>
      </w:tr>
      <w:tr>
        <w:trPr>
          <w:trHeight w:val="216"/>
        </w:trPr>
        <w:tc>
          <w:tcPr>
            <w:tcW w:w="5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Mortgage / asset-backed securities</w:t>
            </w:r>
          </w:p>
        </w:tc>
        <w:tc>
          <w:tcPr>
            <w:tcW w:w="2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152,586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139,631</w:t>
            </w:r>
          </w:p>
        </w:tc>
        <w:tc>
          <w:tcPr>
            <w:tcW w:w="80" w:type="dxa"/>
            <w:vAlign w:val="bottom"/>
          </w:tcPr>
          <w:p>
            <w:pPr>
              <w:spacing w:after="0"/>
              <w:rPr>
                <w:sz w:val="18"/>
                <w:szCs w:val="18"/>
                <w:color w:val="auto"/>
              </w:rPr>
            </w:pPr>
          </w:p>
        </w:tc>
      </w:tr>
      <w:tr>
        <w:trPr>
          <w:trHeight w:val="230"/>
        </w:trPr>
        <w:tc>
          <w:tcPr>
            <w:tcW w:w="5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Redeemable preferred stocks</w:t>
            </w:r>
          </w:p>
        </w:tc>
        <w:tc>
          <w:tcPr>
            <w:tcW w:w="29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4,747</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4,161</w:t>
            </w:r>
          </w:p>
        </w:tc>
        <w:tc>
          <w:tcPr>
            <w:tcW w:w="80" w:type="dxa"/>
            <w:vAlign w:val="bottom"/>
            <w:shd w:val="clear" w:color="auto" w:fill="CCEEFF"/>
          </w:tcPr>
          <w:p>
            <w:pPr>
              <w:spacing w:after="0"/>
              <w:rPr>
                <w:sz w:val="19"/>
                <w:szCs w:val="19"/>
                <w:color w:val="auto"/>
              </w:rPr>
            </w:pPr>
          </w:p>
        </w:tc>
      </w:tr>
      <w:tr>
        <w:trPr>
          <w:trHeight w:val="223"/>
        </w:trPr>
        <w:tc>
          <w:tcPr>
            <w:tcW w:w="5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29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376,730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347,731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 w:right="540"/>
        <w:spacing w:after="0" w:line="282" w:lineRule="auto"/>
        <w:rPr>
          <w:sz w:val="20"/>
          <w:szCs w:val="20"/>
          <w:color w:val="auto"/>
        </w:rPr>
      </w:pPr>
      <w:r>
        <w:rPr>
          <w:rFonts w:ascii="Times New Roman" w:cs="Times New Roman" w:eastAsia="Times New Roman" w:hAnsi="Times New Roman"/>
          <w:sz w:val="18"/>
          <w:szCs w:val="18"/>
          <w:color w:val="auto"/>
        </w:rPr>
        <w:t>Fixed income securities with a fair value of $7,245 at June 30, 2024, and $6,403 at December 31, 2023, were deposited with various state regulatory agencies as required by law. The Company has not pledged any assets to secure any obligations.</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99" w:lineRule="exact"/>
        <w:rPr>
          <w:sz w:val="20"/>
          <w:szCs w:val="20"/>
          <w:color w:val="auto"/>
        </w:rPr>
      </w:pPr>
    </w:p>
    <w:p>
      <w:pPr>
        <w:ind w:left="20" w:right="280"/>
        <w:spacing w:after="0" w:line="266" w:lineRule="auto"/>
        <w:rPr>
          <w:sz w:val="20"/>
          <w:szCs w:val="20"/>
          <w:color w:val="auto"/>
        </w:rPr>
      </w:pPr>
      <w:r>
        <w:rPr>
          <w:rFonts w:ascii="Times New Roman" w:cs="Times New Roman" w:eastAsia="Times New Roman" w:hAnsi="Times New Roman"/>
          <w:sz w:val="18"/>
          <w:szCs w:val="18"/>
          <w:color w:val="auto"/>
        </w:rPr>
        <w:t>The investment category and duration of the Company’s gross unrealized losses on fixed income securities, presented on a consolidated basis, including both continuing and discontinued operations, are shown below. Investments with unrealized losses are categorized with a duration of greater than 12 months when all positions of a security have continually been in a loss position for at least 12 months.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jc w:val="right"/>
              <w:ind w:right="781"/>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4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40" w:type="dxa"/>
            <w:vAlign w:val="bottom"/>
          </w:tcPr>
          <w:p>
            <w:pPr>
              <w:spacing w:after="0"/>
              <w:rPr>
                <w:sz w:val="19"/>
                <w:szCs w:val="19"/>
                <w:color w:val="auto"/>
              </w:rPr>
            </w:pPr>
          </w:p>
        </w:tc>
        <w:tc>
          <w:tcPr>
            <w:tcW w:w="2300" w:type="dxa"/>
            <w:vAlign w:val="bottom"/>
            <w:gridSpan w:val="5"/>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Greater than 12 months</w:t>
            </w:r>
          </w:p>
        </w:tc>
        <w:tc>
          <w:tcPr>
            <w:tcW w:w="18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87"/>
        </w:trPr>
        <w:tc>
          <w:tcPr>
            <w:tcW w:w="39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16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000" w:type="dxa"/>
            <w:vAlign w:val="bottom"/>
            <w:tcBorders>
              <w:top w:val="single" w:sz="8" w:color="auto"/>
            </w:tcBorders>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0" w:type="dxa"/>
            <w:vAlign w:val="bottom"/>
            <w:tcBorders>
              <w:top w:val="single" w:sz="8" w:color="auto"/>
            </w:tcBorders>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00" w:type="dxa"/>
            <w:vAlign w:val="bottom"/>
          </w:tcPr>
          <w:p>
            <w:pPr>
              <w:spacing w:after="0"/>
              <w:rPr>
                <w:sz w:val="16"/>
                <w:szCs w:val="16"/>
                <w:color w:val="auto"/>
              </w:rPr>
            </w:pPr>
          </w:p>
        </w:tc>
      </w:tr>
      <w:tr>
        <w:trPr>
          <w:trHeight w:val="238"/>
        </w:trPr>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0"/>
                <w:szCs w:val="20"/>
                <w:color w:val="auto"/>
              </w:rPr>
            </w:pPr>
          </w:p>
        </w:tc>
        <w:tc>
          <w:tcPr>
            <w:tcW w:w="116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40" w:type="dxa"/>
            <w:vAlign w:val="bottom"/>
          </w:tcPr>
          <w:p>
            <w:pPr>
              <w:spacing w:after="0"/>
              <w:rPr>
                <w:sz w:val="20"/>
                <w:szCs w:val="20"/>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80" w:type="dxa"/>
            <w:vAlign w:val="bottom"/>
          </w:tcPr>
          <w:p>
            <w:pPr>
              <w:spacing w:after="0"/>
              <w:rPr>
                <w:sz w:val="20"/>
                <w:szCs w:val="20"/>
                <w:color w:val="auto"/>
              </w:rPr>
            </w:pPr>
          </w:p>
        </w:tc>
        <w:tc>
          <w:tcPr>
            <w:tcW w:w="104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80" w:type="dxa"/>
            <w:vAlign w:val="bottom"/>
          </w:tcPr>
          <w:p>
            <w:pPr>
              <w:spacing w:after="0"/>
              <w:rPr>
                <w:sz w:val="20"/>
                <w:szCs w:val="20"/>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60" w:type="dxa"/>
            <w:vAlign w:val="bottom"/>
          </w:tcPr>
          <w:p>
            <w:pPr>
              <w:spacing w:after="0"/>
              <w:rPr>
                <w:sz w:val="20"/>
                <w:szCs w:val="20"/>
                <w:color w:val="auto"/>
              </w:rPr>
            </w:pPr>
          </w:p>
        </w:tc>
        <w:tc>
          <w:tcPr>
            <w:tcW w:w="94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Losses</w:t>
            </w: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3,212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6,071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(327)</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9,283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16"/>
        </w:trPr>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9,019</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36,207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(4,785)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45,226</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w:t>
            </w:r>
          </w:p>
        </w:tc>
      </w:tr>
      <w:tr>
        <w:trPr>
          <w:trHeight w:val="216"/>
        </w:trPr>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securities</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14,678</w:t>
            </w:r>
          </w:p>
        </w:tc>
        <w:tc>
          <w:tcPr>
            <w:tcW w:w="10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(240)</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91,589</w:t>
            </w:r>
          </w:p>
        </w:tc>
        <w:tc>
          <w:tcPr>
            <w:tcW w:w="18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(8,740)</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106,267</w:t>
            </w: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(8,980)</w:t>
            </w:r>
          </w:p>
        </w:tc>
      </w:tr>
      <w:tr>
        <w:trPr>
          <w:trHeight w:val="216"/>
        </w:trPr>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8,535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(121)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30,354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(4,940)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38,889</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(5,061)</w:t>
            </w:r>
          </w:p>
        </w:tc>
      </w:tr>
      <w:tr>
        <w:trPr>
          <w:trHeight w:val="216"/>
        </w:trPr>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1,928</w:t>
            </w:r>
          </w:p>
        </w:tc>
        <w:tc>
          <w:tcPr>
            <w:tcW w:w="10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21,112</w:t>
            </w:r>
          </w:p>
        </w:tc>
        <w:tc>
          <w:tcPr>
            <w:tcW w:w="18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(3,282)</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23,040</w:t>
            </w: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(3,324)</w:t>
            </w:r>
          </w:p>
        </w:tc>
      </w:tr>
      <w:tr>
        <w:trPr>
          <w:trHeight w:val="216"/>
        </w:trPr>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6,526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23,230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(3,656)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29,756</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(3,699)</w:t>
            </w:r>
          </w:p>
        </w:tc>
      </w:tr>
      <w:tr>
        <w:trPr>
          <w:trHeight w:val="229"/>
        </w:trPr>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Redeemable preferred stocks</w:t>
            </w:r>
          </w:p>
        </w:tc>
        <w:tc>
          <w:tcPr>
            <w:tcW w:w="2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3,297</w:t>
            </w:r>
          </w:p>
        </w:tc>
        <w:tc>
          <w:tcPr>
            <w:tcW w:w="180" w:type="dxa"/>
            <w:vAlign w:val="bottom"/>
          </w:tcPr>
          <w:p>
            <w:pPr>
              <w:spacing w:after="0"/>
              <w:rPr>
                <w:sz w:val="19"/>
                <w:szCs w:val="19"/>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(440)</w:t>
            </w:r>
          </w:p>
        </w:tc>
        <w:tc>
          <w:tcPr>
            <w:tcW w:w="1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3,297</w:t>
            </w:r>
          </w:p>
        </w:tc>
        <w:tc>
          <w:tcPr>
            <w:tcW w:w="1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10"/>
        </w:trPr>
        <w:tc>
          <w:tcPr>
            <w:tcW w:w="394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43,898</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240" w:type="dxa"/>
            <w:vAlign w:val="bottom"/>
            <w:tcBorders>
              <w:top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211,860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(26,170</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255,758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(26,756</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655"/>
        </w:trPr>
        <w:tc>
          <w:tcPr>
            <w:tcW w:w="39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right"/>
              <w:ind w:right="581"/>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4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40" w:type="dxa"/>
            <w:vAlign w:val="bottom"/>
          </w:tcPr>
          <w:p>
            <w:pPr>
              <w:spacing w:after="0"/>
              <w:rPr>
                <w:sz w:val="19"/>
                <w:szCs w:val="19"/>
                <w:color w:val="auto"/>
              </w:rPr>
            </w:pPr>
          </w:p>
        </w:tc>
        <w:tc>
          <w:tcPr>
            <w:tcW w:w="2300" w:type="dxa"/>
            <w:vAlign w:val="bottom"/>
            <w:gridSpan w:val="5"/>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Greater than 12 months</w:t>
            </w:r>
          </w:p>
        </w:tc>
        <w:tc>
          <w:tcPr>
            <w:tcW w:w="18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87"/>
        </w:trPr>
        <w:tc>
          <w:tcPr>
            <w:tcW w:w="39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16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000" w:type="dxa"/>
            <w:vAlign w:val="bottom"/>
            <w:tcBorders>
              <w:top w:val="single" w:sz="8" w:color="auto"/>
            </w:tcBorders>
            <w:gridSpan w:val="2"/>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0" w:type="dxa"/>
            <w:vAlign w:val="bottom"/>
            <w:tcBorders>
              <w:top w:val="single" w:sz="8" w:color="auto"/>
            </w:tcBorders>
            <w:gridSpan w:val="2"/>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00" w:type="dxa"/>
            <w:vAlign w:val="bottom"/>
          </w:tcPr>
          <w:p>
            <w:pPr>
              <w:spacing w:after="0"/>
              <w:rPr>
                <w:sz w:val="16"/>
                <w:szCs w:val="16"/>
                <w:color w:val="auto"/>
              </w:rPr>
            </w:pPr>
          </w:p>
        </w:tc>
      </w:tr>
      <w:tr>
        <w:trPr>
          <w:trHeight w:val="238"/>
        </w:trPr>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0"/>
                <w:szCs w:val="20"/>
                <w:color w:val="auto"/>
              </w:rPr>
            </w:pPr>
          </w:p>
        </w:tc>
        <w:tc>
          <w:tcPr>
            <w:tcW w:w="116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40" w:type="dxa"/>
            <w:vAlign w:val="bottom"/>
          </w:tcPr>
          <w:p>
            <w:pPr>
              <w:spacing w:after="0"/>
              <w:rPr>
                <w:sz w:val="20"/>
                <w:szCs w:val="20"/>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80" w:type="dxa"/>
            <w:vAlign w:val="bottom"/>
          </w:tcPr>
          <w:p>
            <w:pPr>
              <w:spacing w:after="0"/>
              <w:rPr>
                <w:sz w:val="20"/>
                <w:szCs w:val="20"/>
                <w:color w:val="auto"/>
              </w:rPr>
            </w:pPr>
          </w:p>
        </w:tc>
        <w:tc>
          <w:tcPr>
            <w:tcW w:w="104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80" w:type="dxa"/>
            <w:vAlign w:val="bottom"/>
          </w:tcPr>
          <w:p>
            <w:pPr>
              <w:spacing w:after="0"/>
              <w:rPr>
                <w:sz w:val="20"/>
                <w:szCs w:val="20"/>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60" w:type="dxa"/>
            <w:vAlign w:val="bottom"/>
          </w:tcPr>
          <w:p>
            <w:pPr>
              <w:spacing w:after="0"/>
              <w:rPr>
                <w:sz w:val="20"/>
                <w:szCs w:val="20"/>
                <w:color w:val="auto"/>
              </w:rPr>
            </w:pPr>
          </w:p>
        </w:tc>
        <w:tc>
          <w:tcPr>
            <w:tcW w:w="94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Losses</w:t>
            </w:r>
          </w:p>
        </w:tc>
      </w:tr>
      <w:tr>
        <w:trPr>
          <w:trHeight w:val="209"/>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9,018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(736)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9,018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(736)</w:t>
            </w:r>
          </w:p>
        </w:tc>
      </w:tr>
      <w:tr>
        <w:trPr>
          <w:trHeight w:val="216"/>
        </w:trPr>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5,239</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(359)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36,194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(4,357)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41,433</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(4,716)</w:t>
            </w:r>
          </w:p>
        </w:tc>
      </w:tr>
      <w:tr>
        <w:trPr>
          <w:trHeight w:val="216"/>
        </w:trPr>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securities</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8,018</w:t>
            </w:r>
          </w:p>
        </w:tc>
        <w:tc>
          <w:tcPr>
            <w:tcW w:w="10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110,117</w:t>
            </w:r>
          </w:p>
        </w:tc>
        <w:tc>
          <w:tcPr>
            <w:tcW w:w="18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(10,763)</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118,135</w:t>
            </w: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(10,856)</w:t>
            </w:r>
          </w:p>
        </w:tc>
      </w:tr>
      <w:tr>
        <w:trPr>
          <w:trHeight w:val="216"/>
        </w:trPr>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12,054</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33,341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(5,275)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45,395</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w:t>
            </w:r>
          </w:p>
        </w:tc>
      </w:tr>
      <w:tr>
        <w:trPr>
          <w:trHeight w:val="216"/>
        </w:trPr>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2,678</w:t>
            </w:r>
          </w:p>
        </w:tc>
        <w:tc>
          <w:tcPr>
            <w:tcW w:w="10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23,713</w:t>
            </w:r>
          </w:p>
        </w:tc>
        <w:tc>
          <w:tcPr>
            <w:tcW w:w="18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(4,236)</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26,391</w:t>
            </w: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(4,241)</w:t>
            </w:r>
          </w:p>
        </w:tc>
      </w:tr>
      <w:tr>
        <w:trPr>
          <w:trHeight w:val="216"/>
        </w:trPr>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4,463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30,200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(3,787)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34,663</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(3,805)</w:t>
            </w:r>
          </w:p>
        </w:tc>
      </w:tr>
      <w:tr>
        <w:trPr>
          <w:trHeight w:val="230"/>
        </w:trPr>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Redeemable preferred stocks</w:t>
            </w:r>
          </w:p>
        </w:tc>
        <w:tc>
          <w:tcPr>
            <w:tcW w:w="2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4,161</w:t>
            </w:r>
          </w:p>
        </w:tc>
        <w:tc>
          <w:tcPr>
            <w:tcW w:w="180" w:type="dxa"/>
            <w:vAlign w:val="bottom"/>
          </w:tcPr>
          <w:p>
            <w:pPr>
              <w:spacing w:after="0"/>
              <w:rPr>
                <w:sz w:val="19"/>
                <w:szCs w:val="19"/>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(586)</w:t>
            </w:r>
          </w:p>
        </w:tc>
        <w:tc>
          <w:tcPr>
            <w:tcW w:w="1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4,161</w:t>
            </w:r>
          </w:p>
        </w:tc>
        <w:tc>
          <w:tcPr>
            <w:tcW w:w="1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(586)</w:t>
            </w:r>
          </w:p>
        </w:tc>
      </w:tr>
      <w:tr>
        <w:trPr>
          <w:trHeight w:val="210"/>
        </w:trPr>
        <w:tc>
          <w:tcPr>
            <w:tcW w:w="394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32,452</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40" w:type="dxa"/>
            <w:vAlign w:val="bottom"/>
            <w:tcBorders>
              <w:top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246,744</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(29,740</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279,196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(30,319</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554"/>
        </w:trPr>
        <w:tc>
          <w:tcPr>
            <w:tcW w:w="3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5"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99" w:lineRule="exact"/>
        <w:rPr>
          <w:sz w:val="20"/>
          <w:szCs w:val="20"/>
          <w:color w:val="auto"/>
        </w:rPr>
      </w:pPr>
    </w:p>
    <w:p>
      <w:pPr>
        <w:ind w:left="20" w:right="160"/>
        <w:spacing w:after="0" w:line="282" w:lineRule="auto"/>
        <w:rPr>
          <w:sz w:val="20"/>
          <w:szCs w:val="20"/>
          <w:color w:val="auto"/>
        </w:rPr>
      </w:pPr>
      <w:r>
        <w:rPr>
          <w:rFonts w:ascii="Times New Roman" w:cs="Times New Roman" w:eastAsia="Times New Roman" w:hAnsi="Times New Roman"/>
          <w:sz w:val="18"/>
          <w:szCs w:val="18"/>
          <w:color w:val="auto"/>
        </w:rPr>
        <w:t>The reconciliation for continuing and discontinued operations by duration of the Company’s gross unrealized losses on fixed income securities are shown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jc w:val="right"/>
              <w:ind w:right="781"/>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4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40" w:type="dxa"/>
            <w:vAlign w:val="bottom"/>
          </w:tcPr>
          <w:p>
            <w:pPr>
              <w:spacing w:after="0"/>
              <w:rPr>
                <w:sz w:val="19"/>
                <w:szCs w:val="19"/>
                <w:color w:val="auto"/>
              </w:rPr>
            </w:pPr>
          </w:p>
        </w:tc>
        <w:tc>
          <w:tcPr>
            <w:tcW w:w="2300" w:type="dxa"/>
            <w:vAlign w:val="bottom"/>
            <w:gridSpan w:val="5"/>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Greater than 12 months</w:t>
            </w:r>
          </w:p>
        </w:tc>
        <w:tc>
          <w:tcPr>
            <w:tcW w:w="18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87"/>
        </w:trPr>
        <w:tc>
          <w:tcPr>
            <w:tcW w:w="39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16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020" w:type="dxa"/>
            <w:vAlign w:val="bottom"/>
            <w:tcBorders>
              <w:top w:val="single" w:sz="8" w:color="auto"/>
            </w:tcBorders>
            <w:gridSpan w:val="2"/>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000" w:type="dxa"/>
            <w:vAlign w:val="bottom"/>
            <w:tcBorders>
              <w:top w:val="single" w:sz="8" w:color="auto"/>
            </w:tcBorders>
            <w:gridSpan w:val="2"/>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20" w:type="dxa"/>
            <w:vAlign w:val="bottom"/>
            <w:tcBorders>
              <w:top w:val="single" w:sz="8" w:color="auto"/>
            </w:tcBorders>
            <w:gridSpan w:val="2"/>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80" w:type="dxa"/>
            <w:vAlign w:val="bottom"/>
          </w:tcPr>
          <w:p>
            <w:pPr>
              <w:spacing w:after="0"/>
              <w:rPr>
                <w:sz w:val="16"/>
                <w:szCs w:val="16"/>
                <w:color w:val="auto"/>
              </w:rPr>
            </w:pPr>
          </w:p>
        </w:tc>
      </w:tr>
      <w:tr>
        <w:trPr>
          <w:trHeight w:val="238"/>
        </w:trPr>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80" w:type="dxa"/>
            <w:vAlign w:val="bottom"/>
          </w:tcPr>
          <w:p>
            <w:pPr>
              <w:spacing w:after="0"/>
              <w:rPr>
                <w:sz w:val="20"/>
                <w:szCs w:val="20"/>
                <w:color w:val="auto"/>
              </w:rPr>
            </w:pPr>
          </w:p>
        </w:tc>
        <w:tc>
          <w:tcPr>
            <w:tcW w:w="108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40" w:type="dxa"/>
            <w:vAlign w:val="bottom"/>
          </w:tcPr>
          <w:p>
            <w:pPr>
              <w:spacing w:after="0"/>
              <w:rPr>
                <w:sz w:val="20"/>
                <w:szCs w:val="20"/>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80" w:type="dxa"/>
            <w:vAlign w:val="bottom"/>
          </w:tcPr>
          <w:p>
            <w:pPr>
              <w:spacing w:after="0"/>
              <w:rPr>
                <w:sz w:val="20"/>
                <w:szCs w:val="20"/>
                <w:color w:val="auto"/>
              </w:rPr>
            </w:pPr>
          </w:p>
        </w:tc>
        <w:tc>
          <w:tcPr>
            <w:tcW w:w="104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80" w:type="dxa"/>
            <w:vAlign w:val="bottom"/>
          </w:tcPr>
          <w:p>
            <w:pPr>
              <w:spacing w:after="0"/>
              <w:rPr>
                <w:sz w:val="20"/>
                <w:szCs w:val="20"/>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60" w:type="dxa"/>
            <w:vAlign w:val="bottom"/>
          </w:tcPr>
          <w:p>
            <w:pPr>
              <w:spacing w:after="0"/>
              <w:rPr>
                <w:sz w:val="20"/>
                <w:szCs w:val="20"/>
                <w:color w:val="auto"/>
              </w:rPr>
            </w:pPr>
          </w:p>
        </w:tc>
        <w:tc>
          <w:tcPr>
            <w:tcW w:w="94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Losses</w:t>
            </w:r>
          </w:p>
        </w:tc>
      </w:tr>
      <w:tr>
        <w:trPr>
          <w:trHeight w:val="210"/>
        </w:trPr>
        <w:tc>
          <w:tcPr>
            <w:tcW w:w="3940" w:type="dxa"/>
            <w:vAlign w:val="bottom"/>
            <w:tcBorders>
              <w:top w:val="single" w:sz="8" w:color="CCEEFF"/>
            </w:tcBorders>
            <w:shd w:val="clear" w:color="auto" w:fill="CCEEFF"/>
          </w:tcPr>
          <w:p>
            <w:pPr>
              <w:jc w:val="right"/>
              <w:ind w:right="2090"/>
              <w:spacing w:after="0"/>
              <w:rPr>
                <w:sz w:val="20"/>
                <w:szCs w:val="20"/>
                <w:color w:val="auto"/>
              </w:rPr>
            </w:pPr>
            <w:r>
              <w:rPr>
                <w:rFonts w:ascii="Times New Roman" w:cs="Times New Roman" w:eastAsia="Times New Roman" w:hAnsi="Times New Roman"/>
                <w:sz w:val="18"/>
                <w:szCs w:val="18"/>
                <w:color w:val="auto"/>
                <w:w w:val="98"/>
              </w:rPr>
              <w:t>Fixed income securities:</w:t>
            </w: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jc w:val="right"/>
              <w:ind w:right="2090"/>
              <w:spacing w:after="0"/>
              <w:rPr>
                <w:sz w:val="20"/>
                <w:szCs w:val="20"/>
                <w:color w:val="auto"/>
              </w:rPr>
            </w:pPr>
            <w:r>
              <w:rPr>
                <w:rFonts w:ascii="Times New Roman" w:cs="Times New Roman" w:eastAsia="Times New Roman" w:hAnsi="Times New Roman"/>
                <w:sz w:val="18"/>
                <w:szCs w:val="18"/>
                <w:color w:val="auto"/>
              </w:rPr>
              <w:t>Continuing operations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43,898</w:t>
            </w: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(586)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211,860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(26,170)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255,758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(26,756)</w:t>
            </w:r>
          </w:p>
        </w:tc>
      </w:tr>
      <w:tr>
        <w:trPr>
          <w:trHeight w:val="229"/>
        </w:trPr>
        <w:tc>
          <w:tcPr>
            <w:tcW w:w="3940" w:type="dxa"/>
            <w:vAlign w:val="bottom"/>
            <w:shd w:val="clear" w:color="auto" w:fill="CCEEFF"/>
          </w:tcPr>
          <w:p>
            <w:pPr>
              <w:jc w:val="right"/>
              <w:ind w:right="1930"/>
              <w:spacing w:after="0"/>
              <w:rPr>
                <w:sz w:val="20"/>
                <w:szCs w:val="20"/>
                <w:color w:val="auto"/>
              </w:rPr>
            </w:pPr>
            <w:r>
              <w:rPr>
                <w:rFonts w:ascii="Times New Roman" w:cs="Times New Roman" w:eastAsia="Times New Roman" w:hAnsi="Times New Roman"/>
                <w:sz w:val="18"/>
                <w:szCs w:val="18"/>
                <w:color w:val="auto"/>
              </w:rPr>
              <w:t>Discontinued operations</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94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43,898</w:t>
            </w: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211,860</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(26,170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255,758</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(26,756</w:t>
            </w:r>
          </w:p>
        </w:tc>
        <w:tc>
          <w:tcPr>
            <w:tcW w:w="80" w:type="dxa"/>
            <w:vAlign w:val="bottom"/>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r>
      <w:tr>
        <w:trPr>
          <w:trHeight w:val="439"/>
        </w:trPr>
        <w:tc>
          <w:tcPr>
            <w:tcW w:w="39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right"/>
              <w:ind w:right="581"/>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4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40" w:type="dxa"/>
            <w:vAlign w:val="bottom"/>
          </w:tcPr>
          <w:p>
            <w:pPr>
              <w:spacing w:after="0"/>
              <w:rPr>
                <w:sz w:val="19"/>
                <w:szCs w:val="19"/>
                <w:color w:val="auto"/>
              </w:rPr>
            </w:pPr>
          </w:p>
        </w:tc>
        <w:tc>
          <w:tcPr>
            <w:tcW w:w="2300" w:type="dxa"/>
            <w:vAlign w:val="bottom"/>
            <w:gridSpan w:val="5"/>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Greater than 12 months</w:t>
            </w:r>
          </w:p>
        </w:tc>
        <w:tc>
          <w:tcPr>
            <w:tcW w:w="18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87"/>
        </w:trPr>
        <w:tc>
          <w:tcPr>
            <w:tcW w:w="39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16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020" w:type="dxa"/>
            <w:vAlign w:val="bottom"/>
            <w:tcBorders>
              <w:top w:val="single" w:sz="8" w:color="auto"/>
            </w:tcBorders>
            <w:gridSpan w:val="2"/>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000" w:type="dxa"/>
            <w:vAlign w:val="bottom"/>
            <w:tcBorders>
              <w:top w:val="single" w:sz="8" w:color="auto"/>
            </w:tcBorders>
            <w:gridSpan w:val="2"/>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20" w:type="dxa"/>
            <w:vAlign w:val="bottom"/>
            <w:tcBorders>
              <w:top w:val="single" w:sz="8" w:color="auto"/>
            </w:tcBorders>
            <w:gridSpan w:val="2"/>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80" w:type="dxa"/>
            <w:vAlign w:val="bottom"/>
          </w:tcPr>
          <w:p>
            <w:pPr>
              <w:spacing w:after="0"/>
              <w:rPr>
                <w:sz w:val="16"/>
                <w:szCs w:val="16"/>
                <w:color w:val="auto"/>
              </w:rPr>
            </w:pPr>
          </w:p>
        </w:tc>
      </w:tr>
      <w:tr>
        <w:trPr>
          <w:trHeight w:val="238"/>
        </w:trPr>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80" w:type="dxa"/>
            <w:vAlign w:val="bottom"/>
          </w:tcPr>
          <w:p>
            <w:pPr>
              <w:spacing w:after="0"/>
              <w:rPr>
                <w:sz w:val="20"/>
                <w:szCs w:val="20"/>
                <w:color w:val="auto"/>
              </w:rPr>
            </w:pPr>
          </w:p>
        </w:tc>
        <w:tc>
          <w:tcPr>
            <w:tcW w:w="108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40" w:type="dxa"/>
            <w:vAlign w:val="bottom"/>
          </w:tcPr>
          <w:p>
            <w:pPr>
              <w:spacing w:after="0"/>
              <w:rPr>
                <w:sz w:val="20"/>
                <w:szCs w:val="20"/>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80" w:type="dxa"/>
            <w:vAlign w:val="bottom"/>
          </w:tcPr>
          <w:p>
            <w:pPr>
              <w:spacing w:after="0"/>
              <w:rPr>
                <w:sz w:val="20"/>
                <w:szCs w:val="20"/>
                <w:color w:val="auto"/>
              </w:rPr>
            </w:pPr>
          </w:p>
        </w:tc>
        <w:tc>
          <w:tcPr>
            <w:tcW w:w="104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80" w:type="dxa"/>
            <w:vAlign w:val="bottom"/>
          </w:tcPr>
          <w:p>
            <w:pPr>
              <w:spacing w:after="0"/>
              <w:rPr>
                <w:sz w:val="20"/>
                <w:szCs w:val="20"/>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60" w:type="dxa"/>
            <w:vAlign w:val="bottom"/>
          </w:tcPr>
          <w:p>
            <w:pPr>
              <w:spacing w:after="0"/>
              <w:rPr>
                <w:sz w:val="20"/>
                <w:szCs w:val="20"/>
                <w:color w:val="auto"/>
              </w:rPr>
            </w:pPr>
          </w:p>
        </w:tc>
        <w:tc>
          <w:tcPr>
            <w:tcW w:w="94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Losses</w:t>
            </w:r>
          </w:p>
        </w:tc>
      </w:tr>
      <w:tr>
        <w:trPr>
          <w:trHeight w:val="209"/>
        </w:trPr>
        <w:tc>
          <w:tcPr>
            <w:tcW w:w="3940" w:type="dxa"/>
            <w:vAlign w:val="bottom"/>
            <w:tcBorders>
              <w:top w:val="single" w:sz="8" w:color="CCEEFF"/>
            </w:tcBorders>
            <w:shd w:val="clear" w:color="auto" w:fill="CCEEFF"/>
          </w:tcPr>
          <w:p>
            <w:pPr>
              <w:jc w:val="right"/>
              <w:ind w:right="2090"/>
              <w:spacing w:after="0"/>
              <w:rPr>
                <w:sz w:val="20"/>
                <w:szCs w:val="20"/>
                <w:color w:val="auto"/>
              </w:rPr>
            </w:pPr>
            <w:r>
              <w:rPr>
                <w:rFonts w:ascii="Times New Roman" w:cs="Times New Roman" w:eastAsia="Times New Roman" w:hAnsi="Times New Roman"/>
                <w:sz w:val="18"/>
                <w:szCs w:val="18"/>
                <w:color w:val="auto"/>
                <w:w w:val="98"/>
              </w:rPr>
              <w:t>Fixed income securities:</w:t>
            </w: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jc w:val="right"/>
              <w:ind w:right="2090"/>
              <w:spacing w:after="0"/>
              <w:rPr>
                <w:sz w:val="20"/>
                <w:szCs w:val="20"/>
                <w:color w:val="auto"/>
              </w:rPr>
            </w:pPr>
            <w:r>
              <w:rPr>
                <w:rFonts w:ascii="Times New Roman" w:cs="Times New Roman" w:eastAsia="Times New Roman" w:hAnsi="Times New Roman"/>
                <w:sz w:val="18"/>
                <w:szCs w:val="18"/>
                <w:color w:val="auto"/>
              </w:rPr>
              <w:t>Continuing operations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24,049</w:t>
            </w: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(509)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211,367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(24,390)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235,416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(24,899)</w:t>
            </w:r>
          </w:p>
        </w:tc>
      </w:tr>
      <w:tr>
        <w:trPr>
          <w:trHeight w:val="229"/>
        </w:trPr>
        <w:tc>
          <w:tcPr>
            <w:tcW w:w="3940" w:type="dxa"/>
            <w:vAlign w:val="bottom"/>
            <w:shd w:val="clear" w:color="auto" w:fill="CCEEFF"/>
          </w:tcPr>
          <w:p>
            <w:pPr>
              <w:jc w:val="right"/>
              <w:ind w:right="1930"/>
              <w:spacing w:after="0"/>
              <w:rPr>
                <w:sz w:val="20"/>
                <w:szCs w:val="20"/>
                <w:color w:val="auto"/>
              </w:rPr>
            </w:pPr>
            <w:r>
              <w:rPr>
                <w:rFonts w:ascii="Times New Roman" w:cs="Times New Roman" w:eastAsia="Times New Roman" w:hAnsi="Times New Roman"/>
                <w:sz w:val="18"/>
                <w:szCs w:val="18"/>
                <w:color w:val="auto"/>
              </w:rPr>
              <w:t>Discontinued operations</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8,403</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35,377</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(5,350)</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43,780</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(5,420)</w:t>
            </w:r>
          </w:p>
        </w:tc>
      </w:tr>
      <w:tr>
        <w:trPr>
          <w:trHeight w:val="210"/>
        </w:trPr>
        <w:tc>
          <w:tcPr>
            <w:tcW w:w="394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32,452</w:t>
            </w:r>
          </w:p>
        </w:tc>
        <w:tc>
          <w:tcPr>
            <w:tcW w:w="240" w:type="dxa"/>
            <w:vAlign w:val="bottom"/>
          </w:tcPr>
          <w:p>
            <w:pPr>
              <w:spacing w:after="0"/>
              <w:rPr>
                <w:sz w:val="18"/>
                <w:szCs w:val="18"/>
                <w:color w:val="auto"/>
              </w:rPr>
            </w:pPr>
          </w:p>
        </w:tc>
        <w:tc>
          <w:tcPr>
            <w:tcW w:w="1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246,744</w:t>
            </w:r>
          </w:p>
        </w:tc>
        <w:tc>
          <w:tcPr>
            <w:tcW w:w="2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(29,740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279,196</w:t>
            </w:r>
          </w:p>
        </w:tc>
        <w:tc>
          <w:tcPr>
            <w:tcW w:w="2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(30,319</w:t>
            </w:r>
          </w:p>
        </w:tc>
        <w:tc>
          <w:tcPr>
            <w:tcW w:w="80" w:type="dxa"/>
            <w:vAlign w:val="bottom"/>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39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We, along with our investment advisor, frequently review our investment portfolio for declines in fair value that could be indicative of credit losses. Beginning on December 31, 2022, credit losses are recognized through an allowance account. We consider a number of factors when determining if an allowance for credit losses is necessary, including payment and default history, credit spreads, credit ratings and rating actions, and probability of default. We determine the credit loss component of fixed income investments by utilizing discounted cash flow modeling to determine the present value of the security and comparing the present value with the amortized cost of the security. We did not recognize any credit losses for fixed income securities at the time of adoption of the new credit loss accounting standard and have not recognized any credit losses for fixed income securities since adoption of the credit loss standard. Therefore, there were no beginning or ending balances of credit losses as of the six months ended June 30, 2024 or the year ended December 31, 2023. See Item II, Part 8, Note 3 “Summary of Significant Accounting Policies” section of the 2023 Annual Report for additional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investment income for continuing and discontinued operations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4380" w:type="dxa"/>
            <w:vAlign w:val="bottom"/>
            <w:gridSpan w:val="7"/>
          </w:tcPr>
          <w:p>
            <w:pPr>
              <w:ind w:left="18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32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CCEEFF"/>
            </w:tcBorders>
          </w:tcPr>
          <w:p>
            <w:pPr>
              <w:spacing w:after="0"/>
              <w:rPr>
                <w:sz w:val="19"/>
                <w:szCs w:val="19"/>
                <w:color w:val="auto"/>
              </w:rPr>
            </w:pPr>
          </w:p>
        </w:tc>
        <w:tc>
          <w:tcPr>
            <w:tcW w:w="18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Continuing operations:</w:t>
            </w:r>
          </w:p>
        </w:tc>
        <w:tc>
          <w:tcPr>
            <w:tcW w:w="1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Fixed income securities</w:t>
            </w:r>
          </w:p>
        </w:tc>
        <w:tc>
          <w:tcPr>
            <w:tcW w:w="210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2,624</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2,283</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5,496</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4,466</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securities</w:t>
            </w:r>
          </w:p>
        </w:tc>
        <w:tc>
          <w:tcPr>
            <w:tcW w:w="1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423</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 estate</w:t>
            </w: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432</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869</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0"/>
        </w:trPr>
        <w:tc>
          <w:tcPr>
            <w:tcW w:w="4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gross investment income</w:t>
            </w:r>
          </w:p>
        </w:tc>
        <w:tc>
          <w:tcPr>
            <w:tcW w:w="18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3,330</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6,977</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expenses</w:t>
            </w:r>
          </w:p>
        </w:tc>
        <w:tc>
          <w:tcPr>
            <w:tcW w:w="1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807</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731</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1,699</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1,594</w:t>
            </w:r>
          </w:p>
        </w:tc>
        <w:tc>
          <w:tcPr>
            <w:tcW w:w="0" w:type="dxa"/>
            <w:vAlign w:val="bottom"/>
          </w:tcPr>
          <w:p>
            <w:pPr>
              <w:spacing w:after="0"/>
              <w:rPr>
                <w:sz w:val="1"/>
                <w:szCs w:val="1"/>
                <w:color w:val="auto"/>
              </w:rPr>
            </w:pPr>
          </w:p>
        </w:tc>
      </w:tr>
      <w:tr>
        <w:trPr>
          <w:trHeight w:val="210"/>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 – continuing operations</w:t>
            </w:r>
          </w:p>
        </w:tc>
        <w:tc>
          <w:tcPr>
            <w:tcW w:w="18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5,278</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 – discontinued operations</w:t>
            </w:r>
          </w:p>
        </w:tc>
        <w:tc>
          <w:tcPr>
            <w:tcW w:w="1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621</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582</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1,419</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1,130</w:t>
            </w: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8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6,697</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88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45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Net investment gains (losses) for continuing and discontinued operations consisted of the following:</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5700" w:type="dxa"/>
            <w:vAlign w:val="bottom"/>
          </w:tcPr>
          <w:p>
            <w:pPr>
              <w:spacing w:after="0"/>
              <w:rPr>
                <w:sz w:val="24"/>
                <w:szCs w:val="24"/>
                <w:color w:val="auto"/>
              </w:rPr>
            </w:pPr>
          </w:p>
        </w:tc>
        <w:tc>
          <w:tcPr>
            <w:tcW w:w="3220" w:type="dxa"/>
            <w:vAlign w:val="bottom"/>
            <w:gridSpan w:val="7"/>
          </w:tcPr>
          <w:p>
            <w:pPr>
              <w:ind w:left="7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320" w:type="dxa"/>
            <w:vAlign w:val="bottom"/>
            <w:gridSpan w:val="6"/>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70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09"/>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Continuing operations:</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realized gains: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Fixed income securities</w:t>
            </w:r>
          </w:p>
        </w:tc>
        <w:tc>
          <w:tcPr>
            <w:tcW w:w="9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Equity securities</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191</w:t>
            </w:r>
          </w:p>
        </w:tc>
        <w:tc>
          <w:tcPr>
            <w:tcW w:w="200" w:type="dxa"/>
            <w:vAlign w:val="bottom"/>
          </w:tcPr>
          <w:p>
            <w:pPr>
              <w:spacing w:after="0"/>
              <w:rPr>
                <w:sz w:val="19"/>
                <w:szCs w:val="19"/>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344</w:t>
            </w:r>
          </w:p>
        </w:tc>
        <w:tc>
          <w:tcPr>
            <w:tcW w:w="200" w:type="dxa"/>
            <w:vAlign w:val="bottom"/>
          </w:tcPr>
          <w:p>
            <w:pPr>
              <w:spacing w:after="0"/>
              <w:rPr>
                <w:sz w:val="19"/>
                <w:szCs w:val="19"/>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381</w:t>
            </w:r>
          </w:p>
        </w:tc>
        <w:tc>
          <w:tcPr>
            <w:tcW w:w="200" w:type="dxa"/>
            <w:vAlign w:val="bottom"/>
          </w:tcPr>
          <w:p>
            <w:pPr>
              <w:spacing w:after="0"/>
              <w:rPr>
                <w:sz w:val="19"/>
                <w:szCs w:val="19"/>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13,018</w:t>
            </w:r>
          </w:p>
        </w:tc>
      </w:tr>
      <w:tr>
        <w:trPr>
          <w:trHeight w:val="209"/>
        </w:trPr>
        <w:tc>
          <w:tcPr>
            <w:tcW w:w="570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gross realized gains</w:t>
            </w:r>
          </w:p>
        </w:tc>
        <w:tc>
          <w:tcPr>
            <w:tcW w:w="7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realized losses, excluding credit impairment losses:</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Fixed income securities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(185)</w:t>
            </w:r>
          </w:p>
        </w:tc>
        <w:tc>
          <w:tcPr>
            <w:tcW w:w="20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29"/>
        </w:trPr>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 securities</w:t>
            </w: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(182)</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(257)</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(457)</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r>
      <w:tr>
        <w:trPr>
          <w:trHeight w:val="209"/>
        </w:trPr>
        <w:tc>
          <w:tcPr>
            <w:tcW w:w="57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Total gross realized losses, excluding credit impairment losses</w:t>
            </w:r>
          </w:p>
        </w:tc>
        <w:tc>
          <w:tcPr>
            <w:tcW w:w="7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5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realized gains (losses)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(98)</w:t>
            </w:r>
          </w:p>
        </w:tc>
        <w:tc>
          <w:tcPr>
            <w:tcW w:w="20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11,537</w:t>
            </w:r>
          </w:p>
        </w:tc>
      </w:tr>
      <w:tr>
        <w:trPr>
          <w:trHeight w:val="216"/>
        </w:trPr>
        <w:tc>
          <w:tcPr>
            <w:tcW w:w="5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net unrealized gains on equity securities</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(589)</w:t>
            </w:r>
          </w:p>
        </w:tc>
        <w:tc>
          <w:tcPr>
            <w:tcW w:w="200" w:type="dxa"/>
            <w:vAlign w:val="bottom"/>
          </w:tcPr>
          <w:p>
            <w:pPr>
              <w:spacing w:after="0"/>
              <w:rPr>
                <w:sz w:val="19"/>
                <w:szCs w:val="19"/>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Pr>
          <w:p>
            <w:pPr>
              <w:spacing w:after="0"/>
              <w:rPr>
                <w:sz w:val="19"/>
                <w:szCs w:val="19"/>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958</w:t>
            </w: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(10,307)</w:t>
            </w:r>
          </w:p>
        </w:tc>
      </w:tr>
      <w:tr>
        <w:trPr>
          <w:trHeight w:val="209"/>
        </w:trPr>
        <w:tc>
          <w:tcPr>
            <w:tcW w:w="5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gains (losses) – continuing operations</w:t>
            </w:r>
          </w:p>
        </w:tc>
        <w:tc>
          <w:tcPr>
            <w:tcW w:w="7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gains (losses) – discontinued operations</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(256)</w:t>
            </w:r>
          </w:p>
        </w:tc>
        <w:tc>
          <w:tcPr>
            <w:tcW w:w="200" w:type="dxa"/>
            <w:vAlign w:val="bottom"/>
          </w:tcPr>
          <w:p>
            <w:pPr>
              <w:spacing w:after="0"/>
              <w:rPr>
                <w:sz w:val="19"/>
                <w:szCs w:val="19"/>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116</w:t>
            </w:r>
          </w:p>
        </w:tc>
        <w:tc>
          <w:tcPr>
            <w:tcW w:w="200" w:type="dxa"/>
            <w:vAlign w:val="bottom"/>
          </w:tcPr>
          <w:p>
            <w:pPr>
              <w:spacing w:after="0"/>
              <w:rPr>
                <w:sz w:val="19"/>
                <w:szCs w:val="19"/>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5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gains (losses)</w:t>
            </w:r>
          </w:p>
        </w:tc>
        <w:tc>
          <w:tcPr>
            <w:tcW w:w="7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left="20" w:right="80"/>
        <w:spacing w:after="0" w:line="258" w:lineRule="auto"/>
        <w:rPr>
          <w:sz w:val="20"/>
          <w:szCs w:val="20"/>
          <w:color w:val="auto"/>
        </w:rPr>
      </w:pPr>
      <w:r>
        <w:rPr>
          <w:rFonts w:ascii="Times New Roman" w:cs="Times New Roman" w:eastAsia="Times New Roman" w:hAnsi="Times New Roman"/>
          <w:sz w:val="18"/>
          <w:szCs w:val="18"/>
          <w:color w:val="auto"/>
        </w:rPr>
        <w:t>The Company uses fair value measurements to record fair value adjustments to certain assets to determine fair value disclosures. Investment securities available for sale are recorded at fair value on a recurring basis. Additionally, from time to time, we may be required to record other assets or liabilities at fair value on a nonrecurring basis. These nonrecurring fair value adjustments typically involve application of lower-of-cost-or-market accounting or write-downs of individual assets. Accounting guidance on fair value measurements and disclosures establishes a fair value hierarchy that prioritizes the inputs to valuation methods used to measure fair value. The three levels of the fair value hierarchy are as follows:</w:t>
      </w:r>
    </w:p>
    <w:p>
      <w:pPr>
        <w:spacing w:after="0" w:line="181" w:lineRule="exact"/>
        <w:rPr>
          <w:sz w:val="20"/>
          <w:szCs w:val="20"/>
          <w:color w:val="auto"/>
        </w:rPr>
      </w:pPr>
    </w:p>
    <w:p>
      <w:pPr>
        <w:ind w:left="1960" w:right="520" w:hanging="1295"/>
        <w:spacing w:after="0" w:line="282" w:lineRule="auto"/>
        <w:tabs>
          <w:tab w:leader="none" w:pos="1940" w:val="left"/>
        </w:tabs>
        <w:rPr>
          <w:sz w:val="20"/>
          <w:szCs w:val="20"/>
          <w:color w:val="auto"/>
        </w:rPr>
      </w:pPr>
      <w:r>
        <w:rPr>
          <w:rFonts w:ascii="Times New Roman" w:cs="Times New Roman" w:eastAsia="Times New Roman" w:hAnsi="Times New Roman"/>
          <w:sz w:val="18"/>
          <w:szCs w:val="18"/>
          <w:i w:val="1"/>
          <w:iCs w:val="1"/>
          <w:color w:val="auto"/>
        </w:rPr>
        <w:t>Level 1:</w:t>
      </w:r>
      <w:r>
        <w:rPr>
          <w:sz w:val="20"/>
          <w:szCs w:val="20"/>
          <w:color w:val="auto"/>
        </w:rPr>
        <w:tab/>
      </w:r>
      <w:r>
        <w:rPr>
          <w:rFonts w:ascii="Times New Roman" w:cs="Times New Roman" w:eastAsia="Times New Roman" w:hAnsi="Times New Roman"/>
          <w:sz w:val="18"/>
          <w:szCs w:val="18"/>
          <w:color w:val="auto"/>
        </w:rPr>
        <w:t>Unadjusted quoted prices in active markets that are accessible at the measurement date for identical, unrestricted assets or liabilities.</w:t>
      </w:r>
    </w:p>
    <w:p>
      <w:pPr>
        <w:spacing w:after="0" w:line="121" w:lineRule="exact"/>
        <w:rPr>
          <w:sz w:val="20"/>
          <w:szCs w:val="20"/>
          <w:color w:val="auto"/>
        </w:rPr>
      </w:pPr>
    </w:p>
    <w:p>
      <w:pPr>
        <w:ind w:left="1960" w:right="60" w:hanging="1295"/>
        <w:spacing w:after="0" w:line="258" w:lineRule="auto"/>
        <w:tabs>
          <w:tab w:leader="none" w:pos="1940" w:val="left"/>
        </w:tabs>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Quoted prices in markets that are not active, or inputs that are observable either directly or indirectly, for substantially the full term of the asset or liability. Level 2 includes fixed income securities with quoted prices that are traded less frequently than exchange traded instruments. Valuation techniques include matrix pricing which is a mathematical technique used widely in the industry to value fixed income securities without relying exclusively on quoted market prices for the specific securities but rather by relying on the securities’ relationship to other benchmark quoted prices.</w:t>
      </w:r>
    </w:p>
    <w:p>
      <w:pPr>
        <w:spacing w:after="0" w:line="143" w:lineRule="exact"/>
        <w:rPr>
          <w:sz w:val="20"/>
          <w:szCs w:val="20"/>
          <w:color w:val="auto"/>
        </w:rPr>
      </w:pPr>
    </w:p>
    <w:p>
      <w:pPr>
        <w:ind w:left="1960" w:right="160" w:hanging="1295"/>
        <w:spacing w:after="0" w:line="282" w:lineRule="auto"/>
        <w:tabs>
          <w:tab w:leader="none" w:pos="1940" w:val="left"/>
        </w:tabs>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Prices or valuation techniques that require inputs that are both significant to the fair value measurement and unobservable (i.e., supported with little or no market activity).</w:t>
      </w:r>
    </w:p>
    <w:p>
      <w:pPr>
        <w:spacing w:after="0" w:line="123" w:lineRule="exact"/>
        <w:rPr>
          <w:sz w:val="20"/>
          <w:szCs w:val="20"/>
          <w:color w:val="auto"/>
        </w:rPr>
      </w:pPr>
    </w:p>
    <w:p>
      <w:pPr>
        <w:ind w:left="20" w:right="40"/>
        <w:spacing w:after="0" w:line="253" w:lineRule="auto"/>
        <w:rPr>
          <w:sz w:val="20"/>
          <w:szCs w:val="20"/>
          <w:color w:val="auto"/>
        </w:rPr>
      </w:pPr>
      <w:r>
        <w:rPr>
          <w:rFonts w:ascii="Times New Roman" w:cs="Times New Roman" w:eastAsia="Times New Roman" w:hAnsi="Times New Roman"/>
          <w:sz w:val="18"/>
          <w:szCs w:val="18"/>
          <w:color w:val="auto"/>
        </w:rPr>
        <w:t>The Company bases its fair values on the price that would be received to sell an asset or paid to transfer a liability in an orderly transaction between market participants at the measurement date. It is our policy to maximize the use of observable inputs and minimize the use of unobservable inputs when developing fair value measurements, in accordance with the fair value hierarchy. Fair value measurements for assets where there exists limited or no observable market data and, therefore, are based primarily upon the estimates of the Company or other third-parties, are often calculated based on the characteristics of the asset, the economic and competitive environment, and other such factors. Management uses its best judgment in estimating the fair value of the Company’s financial instruments; however, there are inherent limitations in any estimation technique. Therefore, for substantially all financial instruments, the fair value estimates herein are not necessarily indicative of the amounts which could have been realized in a sale transaction on the dates indicated. The estimated fair value amounts have been measured as of their respective period-end and have not been re-evaluated or updated for purposes of our consolidated financial statements subsequent to those respective dates. As such, the estimated fair values of these financial instruments subsequent to the respective reporting dates may be different than the amounts reported at each period-end. Additionally, changes in the underlying assumptions used, including discount rates and estimates of future cash flows, could significantly affect the results of current or future valuations.</w:t>
      </w: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9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uses quoted values and other data provided by an independent pricing service in its process for determining fair values of its investments. The evaluations of such pricing services represent an exit price and a good faith opinion as to what a buyer in the marketplace would pay for a security in a current sale. This pricing service provides us with one quote per instrument. For fixed income securities that have quoted prices in active markets, market quotations are provided. For fixed income securities that do not trade on a daily basis, the independent pricing service prepares estimates of fair value using a wide array of observable inputs including relevant market information, benchmark curves, benchmarking of like securities, sector groupings, and matrix pricing. The observable market inputs that the Company’s independent pricing service utilizes may include benchmark yields, reported trades, broker-dealer quotes, issuer spreads, two-sided markets, benchmark securities, market bids/offers, and other reference data on markets, industry, and the economy. Additionally, the independent pricing service uses an option-adjusted spread model to develop prepayment and interest rate scenarios.</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Should the independent pricing service be unable to provide a fair value estimate, we would first attempt to obtain a fair value estimate from our third-party investment advisor who utilizes different independent pricing services. If unsuccessful, we would attempt to obtain a non-binding fair value estimate from a number of broker-dealers and would review this estimate in conjunction with a fair value estimate reported by an independent business news service or other sources. In instances where only one broker-dealer provides a fair value for a fixed income security, we would use that estimate. In instances where the Company would be able to obtain fair value estimates from more than one broker-dealer, we would review the range of estimates and select the most appropriate value based on the facts and circumstances. Should neither the independent pricing service nor a broker-dealer provide a fair value estimate, we would develop a fair value estimate based on cash flow analyses and other valuation techniques that utilize certain unobservable inputs. Accordingly, the Company classifies such a security as a Level 3 investment.</w:t>
      </w:r>
    </w:p>
    <w:p>
      <w:pPr>
        <w:spacing w:after="0" w:line="19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fair value estimates of our investments provided by the independent pricing service at each period-end were utilized, among other resources, in reaching a conclusion as to the fair value of its investments.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Management reviews the reasonableness of the pricing provided by the independent pricing service by employing various analytical procedures. We also use information from our third-party investment advisor who utilizes different independent pricing services to further validate the reasonableness of the valuation of our fixed income portfolio. If, after this review, management does not believe the pricing for any security is a reasonable estimate of fair value, then it will seek to resolve the discrepancy through discussions with the independent pricing service. In its review, management did not identify any such discrepancies and no adjustments were made to the estimates provided by the independent pricing service for the three or six months ended June 30, 2024, or the year ended December 31, 2023. The classification within the fair value hierarchy is then confirmed based on the final conclusions from the pricing review.</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valuation of money market accounts and equity securities are generally based on Level 1 inputs, which use the market-approach valuation technique. The valuation of certain cash equivalents and our fixed income securities generally incorporates significant Level 2 inputs using the market and income approach techniques. We may assign a lower level to inputs typically considered to be Level 2 based on our assessment of liquidity and relative level of uncertainty surrounding inputs. There were no assets or liabilities classified at Level 3 at June 30, 2024, or December 31, 2023.</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225" w:right="35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99" w:lineRule="exact"/>
        <w:rPr>
          <w:sz w:val="20"/>
          <w:szCs w:val="20"/>
          <w:color w:val="auto"/>
        </w:rPr>
      </w:pPr>
    </w:p>
    <w:p>
      <w:pPr>
        <w:ind w:left="20" w:right="80"/>
        <w:spacing w:after="0" w:line="282" w:lineRule="auto"/>
        <w:rPr>
          <w:sz w:val="20"/>
          <w:szCs w:val="20"/>
          <w:color w:val="auto"/>
        </w:rPr>
      </w:pPr>
      <w:r>
        <w:rPr>
          <w:rFonts w:ascii="Times New Roman" w:cs="Times New Roman" w:eastAsia="Times New Roman" w:hAnsi="Times New Roman"/>
          <w:sz w:val="18"/>
          <w:szCs w:val="18"/>
          <w:color w:val="auto"/>
        </w:rPr>
        <w:t>The following tables, presented on a consolidated basis, including both continuing and discontinued operations, set forth our assets which are measured on a recurring basis by the level within the fair value hierarchy in which fair value measurements fall:</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9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19"/>
                <w:szCs w:val="19"/>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19"/>
                <w:szCs w:val="19"/>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9"/>
                <w:szCs w:val="19"/>
                <w:color w:val="auto"/>
              </w:rPr>
            </w:pPr>
          </w:p>
        </w:tc>
      </w:tr>
      <w:tr>
        <w:trPr>
          <w:trHeight w:val="209"/>
        </w:trPr>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1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1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11,741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11,741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51,862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51,862</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116,440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116,440</w:t>
            </w:r>
          </w:p>
        </w:tc>
        <w:tc>
          <w:tcPr>
            <w:tcW w:w="140" w:type="dxa"/>
            <w:vAlign w:val="bottom"/>
          </w:tcPr>
          <w:p>
            <w:pPr>
              <w:spacing w:after="0"/>
              <w:rPr>
                <w:sz w:val="18"/>
                <w:szCs w:val="18"/>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43,903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43,903</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25,038</w:t>
            </w:r>
          </w:p>
        </w:tc>
        <w:tc>
          <w:tcPr>
            <w:tcW w:w="140" w:type="dxa"/>
            <w:vAlign w:val="bottom"/>
          </w:tcPr>
          <w:p>
            <w:pPr>
              <w:spacing w:after="0"/>
              <w:rPr>
                <w:sz w:val="18"/>
                <w:szCs w:val="18"/>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51,133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51,133</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3,298</w:t>
            </w:r>
          </w:p>
        </w:tc>
        <w:tc>
          <w:tcPr>
            <w:tcW w:w="140" w:type="dxa"/>
            <w:vAlign w:val="bottom"/>
          </w:tcPr>
          <w:p>
            <w:pPr>
              <w:spacing w:after="0"/>
              <w:rPr>
                <w:sz w:val="19"/>
                <w:szCs w:val="19"/>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9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1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303,415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303,415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49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22,973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22,973</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Non-redeemable preferred stock</w:t>
            </w:r>
          </w:p>
        </w:tc>
        <w:tc>
          <w:tcPr>
            <w:tcW w:w="1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9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equity securities</w:t>
            </w:r>
          </w:p>
        </w:tc>
        <w:tc>
          <w:tcPr>
            <w:tcW w:w="14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22,973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22,973</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tcPr>
          <w:p>
            <w:pPr>
              <w:spacing w:after="0"/>
              <w:rPr>
                <w:sz w:val="18"/>
                <w:szCs w:val="18"/>
                <w:color w:val="auto"/>
              </w:rPr>
            </w:pPr>
          </w:p>
        </w:tc>
      </w:tr>
      <w:tr>
        <w:trPr>
          <w:trHeight w:val="209"/>
        </w:trPr>
        <w:tc>
          <w:tcPr>
            <w:tcW w:w="49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accounts and cash equivalents</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18,108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18,108</w:t>
            </w: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9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4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344,496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303,415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19"/>
                <w:szCs w:val="19"/>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19"/>
                <w:szCs w:val="19"/>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19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2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10,262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10,262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51,461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51,461</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142,216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142,216</w:t>
            </w:r>
          </w:p>
        </w:tc>
        <w:tc>
          <w:tcPr>
            <w:tcW w:w="140" w:type="dxa"/>
            <w:vAlign w:val="bottom"/>
          </w:tcPr>
          <w:p>
            <w:pPr>
              <w:spacing w:after="0"/>
              <w:rPr>
                <w:sz w:val="18"/>
                <w:szCs w:val="18"/>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61,163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61,163</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29,439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29,439</w:t>
            </w:r>
          </w:p>
        </w:tc>
        <w:tc>
          <w:tcPr>
            <w:tcW w:w="140" w:type="dxa"/>
            <w:vAlign w:val="bottom"/>
          </w:tcPr>
          <w:p>
            <w:pPr>
              <w:spacing w:after="0"/>
              <w:rPr>
                <w:sz w:val="18"/>
                <w:szCs w:val="18"/>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49,029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49,029</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1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4,161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4,161</w:t>
            </w:r>
          </w:p>
        </w:tc>
        <w:tc>
          <w:tcPr>
            <w:tcW w:w="140" w:type="dxa"/>
            <w:vAlign w:val="bottom"/>
          </w:tcPr>
          <w:p>
            <w:pPr>
              <w:spacing w:after="0"/>
              <w:rPr>
                <w:sz w:val="19"/>
                <w:szCs w:val="19"/>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5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19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347,731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347,731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25,890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25,890</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Non-redeemable preferred stock</w:t>
            </w:r>
          </w:p>
        </w:tc>
        <w:tc>
          <w:tcPr>
            <w:tcW w:w="1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1,877</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5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equity securities</w:t>
            </w:r>
          </w:p>
        </w:tc>
        <w:tc>
          <w:tcPr>
            <w:tcW w:w="19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27,767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27,767</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accounts and cash equivalents</w:t>
            </w:r>
          </w:p>
        </w:tc>
        <w:tc>
          <w:tcPr>
            <w:tcW w:w="1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25,596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19,412</w:t>
            </w: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6,184</w:t>
            </w:r>
          </w:p>
        </w:tc>
        <w:tc>
          <w:tcPr>
            <w:tcW w:w="140" w:type="dxa"/>
            <w:vAlign w:val="bottom"/>
          </w:tcPr>
          <w:p>
            <w:pPr>
              <w:spacing w:after="0"/>
              <w:rPr>
                <w:sz w:val="19"/>
                <w:szCs w:val="19"/>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5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9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401,094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353,915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90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45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99" w:lineRule="exact"/>
        <w:rPr>
          <w:sz w:val="20"/>
          <w:szCs w:val="20"/>
          <w:color w:val="auto"/>
        </w:rPr>
      </w:pPr>
    </w:p>
    <w:p>
      <w:pPr>
        <w:ind w:left="20" w:right="640"/>
        <w:spacing w:after="0" w:line="282" w:lineRule="auto"/>
        <w:rPr>
          <w:sz w:val="20"/>
          <w:szCs w:val="20"/>
          <w:color w:val="auto"/>
        </w:rPr>
      </w:pPr>
      <w:r>
        <w:rPr>
          <w:rFonts w:ascii="Times New Roman" w:cs="Times New Roman" w:eastAsia="Times New Roman" w:hAnsi="Times New Roman"/>
          <w:sz w:val="18"/>
          <w:szCs w:val="18"/>
          <w:color w:val="auto"/>
        </w:rPr>
        <w:t>The following tables are a reconciliation for both continuing and discontinued operations of the presentation of our assets which are measured on a recurring basis by the level within the fair value hierarchy in which fair value measurements fall:</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19"/>
                <w:szCs w:val="19"/>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19"/>
                <w:szCs w:val="19"/>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9"/>
                <w:szCs w:val="19"/>
                <w:color w:val="auto"/>
              </w:rPr>
            </w:pP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1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303,415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303,415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1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303,415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303,415</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tcPr>
          <w:p>
            <w:pPr>
              <w:spacing w:after="0"/>
              <w:rPr>
                <w:sz w:val="18"/>
                <w:szCs w:val="18"/>
                <w:color w:val="auto"/>
              </w:rPr>
            </w:pPr>
          </w:p>
        </w:tc>
      </w:tr>
      <w:tr>
        <w:trPr>
          <w:trHeight w:val="210"/>
        </w:trPr>
        <w:tc>
          <w:tcPr>
            <w:tcW w:w="5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22,973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22,973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2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equity securities</w:t>
            </w:r>
          </w:p>
        </w:tc>
        <w:tc>
          <w:tcPr>
            <w:tcW w:w="1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5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accounts and cash equivalents</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18,108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18,108</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money market accounts and cash equivalents</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18,108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18,108</w:t>
            </w: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344,496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303,415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19"/>
                <w:szCs w:val="19"/>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19"/>
                <w:szCs w:val="19"/>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9"/>
                <w:szCs w:val="19"/>
                <w:color w:val="auto"/>
              </w:rPr>
            </w:pP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1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289,399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289,399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58,332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58,332</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1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347,731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347,731</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tcPr>
          <w:p>
            <w:pPr>
              <w:spacing w:after="0"/>
              <w:rPr>
                <w:sz w:val="18"/>
                <w:szCs w:val="18"/>
                <w:color w:val="auto"/>
              </w:rPr>
            </w:pPr>
          </w:p>
        </w:tc>
      </w:tr>
      <w:tr>
        <w:trPr>
          <w:trHeight w:val="210"/>
        </w:trPr>
        <w:tc>
          <w:tcPr>
            <w:tcW w:w="5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21,983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21,983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5,784</w:t>
            </w: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2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equity securities</w:t>
            </w:r>
          </w:p>
        </w:tc>
        <w:tc>
          <w:tcPr>
            <w:tcW w:w="1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accounts and cash equivalents</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16,239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16,239</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9,357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6,184</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money market accounts and cash equivalents</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25,596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19,412</w:t>
            </w: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6,184</w:t>
            </w:r>
          </w:p>
        </w:tc>
        <w:tc>
          <w:tcPr>
            <w:tcW w:w="140" w:type="dxa"/>
            <w:vAlign w:val="bottom"/>
          </w:tcPr>
          <w:p>
            <w:pPr>
              <w:spacing w:after="0"/>
              <w:rPr>
                <w:sz w:val="19"/>
                <w:szCs w:val="19"/>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401,094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353,915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liabilities measured at fair value on a recurring basis at June 30, 2024, or December 31, 2023.</w:t>
      </w:r>
    </w:p>
    <w:p>
      <w:pPr>
        <w:spacing w:after="0" w:line="200" w:lineRule="exact"/>
        <w:rPr>
          <w:sz w:val="20"/>
          <w:szCs w:val="20"/>
          <w:color w:val="auto"/>
        </w:rPr>
      </w:pPr>
    </w:p>
    <w:p>
      <w:pPr>
        <w:spacing w:after="0" w:line="237"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Reinsurance</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External Reinsurance</w:t>
      </w:r>
    </w:p>
    <w:p>
      <w:pPr>
        <w:spacing w:after="0" w:line="22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The Company’s consolidated financial statements reflect the effects of assumed and ceded reinsurance transactions. Assumed reinsurance refers to the acceptance of certain insurance risks that other insurance companies have underwritten. Ceded reinsurance involves transferring certain insurance risks (along with the related written and earned premiums) the Company has underwritten to other insurance companies who agree to share these risks. The Company reinsures a portion of the risks it underwrites, through these ceded reinsurance agreements, in order to control its exposure to losses. Our ceded reinsurance is placed either on an automatic basis under general reinsurance contracts known as treaties or through facultative contracts placed on substantial individual risks. These contracts do not relieve the Company from its obligations to policyholders.</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9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During the six-month period ended June 30, 2024, the Company maintained property catastrophe reinsurance protection covering $133,000 in excess of a $20,000 retention. With the exception of Westminster, per risk excess of loss treaties provided coverage of $4,000 in excess of $1,000 for property risks and $11,000 in excess of $1,000 for casualty risks. For Westminster, per risk excess of loss treaties provided coverage of $3,000 in excess of $2,000 for property risks and $10,000 in excess of $2,000 for casualty risks. Additionally, facultative contracts are in place to provide coverage up to $20,000 in excess of $5,000 per property. Aggregate stop loss reinsurance agreements were placed for both crop hail and multi-peril crop coverage. The crop hail aggregate attached at a 100% net loss ratio providing 50 points of cover. The multi-peril crop aggregate attached at a 105% net loss ratio providing 45 points of cover. In addition to the aggregate covers, underlying multi-peril crop reinsurance was provided through the Federal Crop Insurance Corporation (“FCIC”).</w:t>
      </w:r>
    </w:p>
    <w:p>
      <w:pPr>
        <w:spacing w:after="0" w:line="19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Effective July 1, 2024, the Company’s reinsurance contracts were modified to exclude any Westminster losses occurring on or after that date, while maintaining all other existing limits, retentions, and attachment points.</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2023, the Company’s catastrophe retention and retention limit were consistent with those for the six-month period ended June 30, 2024. In addition, limits, retentions, and attachment points in our other reinsurance contracts were also consistent with those for the six-month period ended June 30, 2024 (with the exception of Westminster for which per risk excess of loss treaties provided coverage of $4,000 in excess of $1,000 for property risks and $11,000 in excess of $1,000 for casualty risks).</w:t>
      </w:r>
    </w:p>
    <w:p>
      <w:pPr>
        <w:spacing w:after="0" w:line="18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Company actively monitors and evaluates the financial condition of the reinsurers and develops estimates of the uncollectible amounts due from reinsurers. Beginning on December 31, 2022, credit losses are recognized through an allowance account developed using a new credit loss model (current expected credit losses or “CECL”). See the Part II, Item 8, Note 2 “Recent Accounting Pronouncements” section of the 2023 Annual Report for additional information. Credit loss estimates are made based on periodic evaluation of balances due from reinsurers, changes in reinsurer credit standing, judgments regarding reinsurers’ solvency, known disputes, reporting characteristics of the underlying reinsured business, historical experience, current economic conditions, and the state of reinsurer relations in general. Collection risk is mitigated by entering into reinsurance arrangements only with reinsurers that have strong credit ratings and statutory surplus above certain levels. At June 30, 2024, and December 31, 2023, management has concluded that it is not necessary to record an allowance for expected credit losses related to reinsurance recoverables. All of our significant reinsurance partners are rated “A-” (Excellent) or better by AM Best, and there is no history of write-offs.</w:t>
      </w:r>
    </w:p>
    <w:p>
      <w:pPr>
        <w:spacing w:after="0" w:line="188"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A reconciliation of direct to net premiums on both a written and an earned basis, presented on a consolidated basis, including both continuing and discontinued operations,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4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c>
          <w:tcPr>
            <w:tcW w:w="120" w:type="dxa"/>
            <w:vAlign w:val="bottom"/>
          </w:tcPr>
          <w:p>
            <w:pPr>
              <w:spacing w:after="0"/>
              <w:rPr>
                <w:sz w:val="20"/>
                <w:szCs w:val="20"/>
                <w:color w:val="auto"/>
              </w:rPr>
            </w:pPr>
          </w:p>
        </w:tc>
        <w:tc>
          <w:tcPr>
            <w:tcW w:w="3020" w:type="dxa"/>
            <w:vAlign w:val="bottom"/>
            <w:gridSpan w:val="7"/>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Three Months Ended June 30, 2023</w:t>
            </w:r>
          </w:p>
        </w:tc>
      </w:tr>
      <w:tr>
        <w:trPr>
          <w:trHeight w:val="223"/>
        </w:trPr>
        <w:tc>
          <w:tcPr>
            <w:tcW w:w="4840" w:type="dxa"/>
            <w:vAlign w:val="bottom"/>
          </w:tcPr>
          <w:p>
            <w:pPr>
              <w:spacing w:after="0"/>
              <w:rPr>
                <w:sz w:val="19"/>
                <w:szCs w:val="19"/>
                <w:color w:val="auto"/>
              </w:rPr>
            </w:pPr>
          </w:p>
        </w:tc>
        <w:tc>
          <w:tcPr>
            <w:tcW w:w="16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Premiums Written</w:t>
            </w:r>
          </w:p>
        </w:tc>
        <w:tc>
          <w:tcPr>
            <w:tcW w:w="14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Premiums Earned</w:t>
            </w:r>
          </w:p>
        </w:tc>
        <w:tc>
          <w:tcPr>
            <w:tcW w:w="220" w:type="dxa"/>
            <w:vAlign w:val="bottom"/>
          </w:tcPr>
          <w:p>
            <w:pPr>
              <w:spacing w:after="0"/>
              <w:rPr>
                <w:sz w:val="19"/>
                <w:szCs w:val="19"/>
                <w:color w:val="auto"/>
              </w:rPr>
            </w:pPr>
          </w:p>
        </w:tc>
        <w:tc>
          <w:tcPr>
            <w:tcW w:w="16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Premiums Written</w:t>
            </w:r>
          </w:p>
        </w:tc>
        <w:tc>
          <w:tcPr>
            <w:tcW w:w="14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8"/>
              </w:rPr>
              <w:t>Premiums Earned</w:t>
            </w:r>
          </w:p>
        </w:tc>
        <w:tc>
          <w:tcPr>
            <w:tcW w:w="100" w:type="dxa"/>
            <w:vAlign w:val="bottom"/>
            <w:gridSpan w:val="2"/>
          </w:tcPr>
          <w:p>
            <w:pPr>
              <w:spacing w:after="0"/>
              <w:rPr>
                <w:sz w:val="19"/>
                <w:szCs w:val="19"/>
                <w:color w:val="auto"/>
              </w:rPr>
            </w:pPr>
          </w:p>
        </w:tc>
      </w:tr>
      <w:tr>
        <w:trPr>
          <w:trHeight w:val="209"/>
        </w:trPr>
        <w:tc>
          <w:tcPr>
            <w:tcW w:w="4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premium</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140,488</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111,082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144,250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106,162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Assumed premium</w:t>
            </w:r>
          </w:p>
        </w:tc>
        <w:tc>
          <w:tcPr>
            <w:tcW w:w="12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2,340</w:t>
            </w:r>
          </w:p>
        </w:tc>
        <w:tc>
          <w:tcPr>
            <w:tcW w:w="4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653</w:t>
            </w:r>
          </w:p>
        </w:tc>
        <w:tc>
          <w:tcPr>
            <w:tcW w:w="12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2,440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827</w:t>
            </w:r>
          </w:p>
        </w:tc>
        <w:tc>
          <w:tcPr>
            <w:tcW w:w="80" w:type="dxa"/>
            <w:vAlign w:val="bottom"/>
          </w:tcPr>
          <w:p>
            <w:pPr>
              <w:spacing w:after="0"/>
              <w:rPr>
                <w:sz w:val="18"/>
                <w:szCs w:val="18"/>
                <w:color w:val="auto"/>
              </w:rPr>
            </w:pPr>
          </w:p>
        </w:tc>
      </w:tr>
      <w:tr>
        <w:trPr>
          <w:trHeight w:val="229"/>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Ceded premium</w:t>
            </w: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(16,265)</w:t>
            </w:r>
          </w:p>
        </w:tc>
        <w:tc>
          <w:tcPr>
            <w:tcW w:w="4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(11,183)</w:t>
            </w: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(20,439)</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(12,843)</w:t>
            </w:r>
          </w:p>
        </w:tc>
      </w:tr>
      <w:tr>
        <w:trPr>
          <w:trHeight w:val="223"/>
        </w:trPr>
        <w:tc>
          <w:tcPr>
            <w:tcW w:w="4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premiums</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126,563</w:t>
            </w:r>
          </w:p>
        </w:tc>
        <w:tc>
          <w:tcPr>
            <w:tcW w:w="2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100,552</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126,251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94,146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180" w:type="dxa"/>
            <w:vAlign w:val="bottom"/>
          </w:tcPr>
          <w:p>
            <w:pPr>
              <w:spacing w:after="0"/>
              <w:rPr>
                <w:sz w:val="20"/>
                <w:szCs w:val="20"/>
                <w:color w:val="auto"/>
              </w:rPr>
            </w:pPr>
          </w:p>
        </w:tc>
        <w:tc>
          <w:tcPr>
            <w:tcW w:w="2960" w:type="dxa"/>
            <w:vAlign w:val="bottom"/>
            <w:gridSpan w:val="6"/>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Six Months Ended June 30, 2023</w:t>
            </w:r>
          </w:p>
        </w:tc>
      </w:tr>
      <w:tr>
        <w:trPr>
          <w:trHeight w:val="223"/>
        </w:trPr>
        <w:tc>
          <w:tcPr>
            <w:tcW w:w="4840" w:type="dxa"/>
            <w:vAlign w:val="bottom"/>
          </w:tcPr>
          <w:p>
            <w:pPr>
              <w:spacing w:after="0"/>
              <w:rPr>
                <w:sz w:val="19"/>
                <w:szCs w:val="19"/>
                <w:color w:val="auto"/>
              </w:rPr>
            </w:pPr>
          </w:p>
        </w:tc>
        <w:tc>
          <w:tcPr>
            <w:tcW w:w="16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Premiums Written</w:t>
            </w:r>
          </w:p>
        </w:tc>
        <w:tc>
          <w:tcPr>
            <w:tcW w:w="14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Premiums Earned</w:t>
            </w:r>
          </w:p>
        </w:tc>
        <w:tc>
          <w:tcPr>
            <w:tcW w:w="220" w:type="dxa"/>
            <w:vAlign w:val="bottom"/>
          </w:tcPr>
          <w:p>
            <w:pPr>
              <w:spacing w:after="0"/>
              <w:rPr>
                <w:sz w:val="19"/>
                <w:szCs w:val="19"/>
                <w:color w:val="auto"/>
              </w:rPr>
            </w:pPr>
          </w:p>
        </w:tc>
        <w:tc>
          <w:tcPr>
            <w:tcW w:w="15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Premiums Written</w:t>
            </w:r>
          </w:p>
        </w:tc>
        <w:tc>
          <w:tcPr>
            <w:tcW w:w="148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w w:val="98"/>
              </w:rPr>
              <w:t>Premiums Earned</w:t>
            </w:r>
          </w:p>
        </w:tc>
        <w:tc>
          <w:tcPr>
            <w:tcW w:w="100" w:type="dxa"/>
            <w:vAlign w:val="bottom"/>
          </w:tcPr>
          <w:p>
            <w:pPr>
              <w:spacing w:after="0"/>
              <w:rPr>
                <w:sz w:val="19"/>
                <w:szCs w:val="19"/>
                <w:color w:val="auto"/>
              </w:rPr>
            </w:pPr>
          </w:p>
        </w:tc>
      </w:tr>
      <w:tr>
        <w:trPr>
          <w:trHeight w:val="210"/>
        </w:trPr>
        <w:tc>
          <w:tcPr>
            <w:tcW w:w="4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premium</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243,145</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205,982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234,806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Assumed premium</w:t>
            </w:r>
          </w:p>
        </w:tc>
        <w:tc>
          <w:tcPr>
            <w:tcW w:w="1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2,477</w:t>
            </w:r>
          </w:p>
        </w:tc>
        <w:tc>
          <w:tcPr>
            <w:tcW w:w="4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804</w:t>
            </w:r>
          </w:p>
        </w:tc>
        <w:tc>
          <w:tcPr>
            <w:tcW w:w="18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2,839</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1,403</w:t>
            </w:r>
          </w:p>
        </w:tc>
      </w:tr>
      <w:tr>
        <w:trPr>
          <w:trHeight w:val="23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Ceded premium</w:t>
            </w: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(26,072)</w:t>
            </w:r>
          </w:p>
        </w:tc>
        <w:tc>
          <w:tcPr>
            <w:tcW w:w="4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(20,677)</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(28,898)</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(21,266)</w:t>
            </w:r>
          </w:p>
        </w:tc>
      </w:tr>
      <w:tr>
        <w:trPr>
          <w:trHeight w:val="223"/>
        </w:trPr>
        <w:tc>
          <w:tcPr>
            <w:tcW w:w="4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premiums</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219,550</w:t>
            </w:r>
          </w:p>
        </w:tc>
        <w:tc>
          <w:tcPr>
            <w:tcW w:w="2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186,109</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208,747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171,773</w:t>
            </w:r>
          </w:p>
        </w:tc>
        <w:tc>
          <w:tcPr>
            <w:tcW w:w="100" w:type="dxa"/>
            <w:vAlign w:val="bottom"/>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1"/>
        </w:trPr>
        <w:tc>
          <w:tcPr>
            <w:tcW w:w="4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5"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99" w:lineRule="exact"/>
        <w:rPr>
          <w:sz w:val="20"/>
          <w:szCs w:val="20"/>
          <w:color w:val="auto"/>
        </w:rPr>
      </w:pPr>
    </w:p>
    <w:p>
      <w:pPr>
        <w:ind w:left="20" w:right="160"/>
        <w:spacing w:after="0" w:line="282" w:lineRule="auto"/>
        <w:rPr>
          <w:sz w:val="20"/>
          <w:szCs w:val="20"/>
          <w:color w:val="auto"/>
        </w:rPr>
      </w:pPr>
      <w:r>
        <w:rPr>
          <w:rFonts w:ascii="Times New Roman" w:cs="Times New Roman" w:eastAsia="Times New Roman" w:hAnsi="Times New Roman"/>
          <w:sz w:val="18"/>
          <w:szCs w:val="18"/>
          <w:color w:val="auto"/>
        </w:rPr>
        <w:t>The reconciliations for current quarter continuing and discontinued operations by duration of the Company’s direct to net premiums on both a written and an earned basis are shown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6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gridSpan w:val="6"/>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Three Months Ended June 30, 2023</w:t>
            </w:r>
          </w:p>
        </w:tc>
      </w:tr>
      <w:tr>
        <w:trPr>
          <w:trHeight w:val="223"/>
        </w:trPr>
        <w:tc>
          <w:tcPr>
            <w:tcW w:w="4840" w:type="dxa"/>
            <w:vAlign w:val="bottom"/>
          </w:tcPr>
          <w:p>
            <w:pPr>
              <w:spacing w:after="0"/>
              <w:rPr>
                <w:sz w:val="19"/>
                <w:szCs w:val="19"/>
                <w:color w:val="auto"/>
              </w:rPr>
            </w:pPr>
          </w:p>
        </w:tc>
        <w:tc>
          <w:tcPr>
            <w:tcW w:w="16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Premiums Written</w:t>
            </w:r>
          </w:p>
        </w:tc>
        <w:tc>
          <w:tcPr>
            <w:tcW w:w="14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Premiums Earned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Premiums Written</w:t>
            </w:r>
          </w:p>
        </w:tc>
        <w:tc>
          <w:tcPr>
            <w:tcW w:w="148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w w:val="98"/>
              </w:rPr>
              <w:t>Premiums Earned</w:t>
            </w:r>
          </w:p>
        </w:tc>
        <w:tc>
          <w:tcPr>
            <w:tcW w:w="100" w:type="dxa"/>
            <w:vAlign w:val="bottom"/>
          </w:tcPr>
          <w:p>
            <w:pPr>
              <w:spacing w:after="0"/>
              <w:rPr>
                <w:sz w:val="19"/>
                <w:szCs w:val="19"/>
                <w:color w:val="auto"/>
              </w:rPr>
            </w:pPr>
          </w:p>
        </w:tc>
      </w:tr>
      <w:tr>
        <w:trPr>
          <w:trHeight w:val="209"/>
        </w:trPr>
        <w:tc>
          <w:tcPr>
            <w:tcW w:w="4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Continuing operations:</w:t>
            </w: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 premium</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118,472</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91,500</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121,576</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86,622</w:t>
            </w:r>
          </w:p>
        </w:tc>
      </w:tr>
      <w:tr>
        <w:trPr>
          <w:trHeight w:val="216"/>
        </w:trPr>
        <w:tc>
          <w:tcPr>
            <w:tcW w:w="4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Assumed premium</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2,340</w:t>
            </w: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2,440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827</w:t>
            </w:r>
          </w:p>
        </w:tc>
      </w:tr>
      <w:tr>
        <w:trPr>
          <w:trHeight w:val="229"/>
        </w:trPr>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Ceded premium</w:t>
            </w:r>
          </w:p>
        </w:tc>
        <w:tc>
          <w:tcPr>
            <w:tcW w:w="12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(11,663)</w:t>
            </w:r>
          </w:p>
        </w:tc>
        <w:tc>
          <w:tcPr>
            <w:tcW w:w="5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(6,984)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(15,984)</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(8,614)</w:t>
            </w:r>
          </w:p>
        </w:tc>
      </w:tr>
      <w:tr>
        <w:trPr>
          <w:trHeight w:val="223"/>
        </w:trPr>
        <w:tc>
          <w:tcPr>
            <w:tcW w:w="484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premiums</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109,149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85,169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108,032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6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gridSpan w:val="6"/>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Three Months Ended June 30, 2023</w:t>
            </w:r>
          </w:p>
        </w:tc>
      </w:tr>
      <w:tr>
        <w:trPr>
          <w:trHeight w:val="223"/>
        </w:trPr>
        <w:tc>
          <w:tcPr>
            <w:tcW w:w="4840" w:type="dxa"/>
            <w:vAlign w:val="bottom"/>
          </w:tcPr>
          <w:p>
            <w:pPr>
              <w:spacing w:after="0"/>
              <w:rPr>
                <w:sz w:val="19"/>
                <w:szCs w:val="19"/>
                <w:color w:val="auto"/>
              </w:rPr>
            </w:pPr>
          </w:p>
        </w:tc>
        <w:tc>
          <w:tcPr>
            <w:tcW w:w="16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Premiums Written</w:t>
            </w:r>
          </w:p>
        </w:tc>
        <w:tc>
          <w:tcPr>
            <w:tcW w:w="14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Premiums Earned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Premiums Written</w:t>
            </w:r>
          </w:p>
        </w:tc>
        <w:tc>
          <w:tcPr>
            <w:tcW w:w="148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w w:val="98"/>
              </w:rPr>
              <w:t>Premiums Earned</w:t>
            </w:r>
          </w:p>
        </w:tc>
        <w:tc>
          <w:tcPr>
            <w:tcW w:w="100" w:type="dxa"/>
            <w:vAlign w:val="bottom"/>
          </w:tcPr>
          <w:p>
            <w:pPr>
              <w:spacing w:after="0"/>
              <w:rPr>
                <w:sz w:val="19"/>
                <w:szCs w:val="19"/>
                <w:color w:val="auto"/>
              </w:rPr>
            </w:pPr>
          </w:p>
        </w:tc>
      </w:tr>
      <w:tr>
        <w:trPr>
          <w:trHeight w:val="210"/>
        </w:trPr>
        <w:tc>
          <w:tcPr>
            <w:tcW w:w="4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 premium</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22,016</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19,582</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22,674</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19,540</w:t>
            </w:r>
          </w:p>
        </w:tc>
      </w:tr>
      <w:tr>
        <w:trPr>
          <w:trHeight w:val="216"/>
        </w:trPr>
        <w:tc>
          <w:tcPr>
            <w:tcW w:w="4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Assumed premium</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Ceded premium</w:t>
            </w:r>
          </w:p>
        </w:tc>
        <w:tc>
          <w:tcPr>
            <w:tcW w:w="12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(4,602)</w:t>
            </w:r>
          </w:p>
        </w:tc>
        <w:tc>
          <w:tcPr>
            <w:tcW w:w="5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(4,199)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(4,455)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(4,229)</w:t>
            </w:r>
          </w:p>
        </w:tc>
      </w:tr>
      <w:tr>
        <w:trPr>
          <w:trHeight w:val="223"/>
        </w:trPr>
        <w:tc>
          <w:tcPr>
            <w:tcW w:w="484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premiums</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reconciliations for year-to-date continuing and discontinued operations by duration of the Company’s direct to net premiums on both a written and an earned basis are shown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Six Months Ended June 30, 2023</w:t>
            </w:r>
          </w:p>
        </w:tc>
      </w:tr>
      <w:tr>
        <w:trPr>
          <w:trHeight w:val="223"/>
        </w:trPr>
        <w:tc>
          <w:tcPr>
            <w:tcW w:w="4840" w:type="dxa"/>
            <w:vAlign w:val="bottom"/>
          </w:tcPr>
          <w:p>
            <w:pPr>
              <w:spacing w:after="0"/>
              <w:rPr>
                <w:sz w:val="19"/>
                <w:szCs w:val="19"/>
                <w:color w:val="auto"/>
              </w:rPr>
            </w:pPr>
          </w:p>
        </w:tc>
        <w:tc>
          <w:tcPr>
            <w:tcW w:w="16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Premiums Written</w:t>
            </w:r>
          </w:p>
        </w:tc>
        <w:tc>
          <w:tcPr>
            <w:tcW w:w="14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Premiums Earned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Premiums Written</w:t>
            </w:r>
          </w:p>
        </w:tc>
        <w:tc>
          <w:tcPr>
            <w:tcW w:w="148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w w:val="98"/>
              </w:rPr>
              <w:t>Premiums Earned</w:t>
            </w:r>
          </w:p>
        </w:tc>
        <w:tc>
          <w:tcPr>
            <w:tcW w:w="100" w:type="dxa"/>
            <w:vAlign w:val="bottom"/>
          </w:tcPr>
          <w:p>
            <w:pPr>
              <w:spacing w:after="0"/>
              <w:rPr>
                <w:sz w:val="19"/>
                <w:szCs w:val="19"/>
                <w:color w:val="auto"/>
              </w:rPr>
            </w:pPr>
          </w:p>
        </w:tc>
      </w:tr>
      <w:tr>
        <w:trPr>
          <w:trHeight w:val="210"/>
        </w:trPr>
        <w:tc>
          <w:tcPr>
            <w:tcW w:w="4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Continuing operations:</w:t>
            </w: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 premium</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201,513</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166,899</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193,948</w:t>
            </w: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153,292</w:t>
            </w:r>
          </w:p>
        </w:tc>
      </w:tr>
      <w:tr>
        <w:trPr>
          <w:trHeight w:val="216"/>
        </w:trPr>
        <w:tc>
          <w:tcPr>
            <w:tcW w:w="4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Assumed premium</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2,477</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2,839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1,403</w:t>
            </w:r>
          </w:p>
        </w:tc>
      </w:tr>
      <w:tr>
        <w:trPr>
          <w:trHeight w:val="230"/>
        </w:trPr>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Ceded premium</w:t>
            </w:r>
          </w:p>
        </w:tc>
        <w:tc>
          <w:tcPr>
            <w:tcW w:w="18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(17,329)</w:t>
            </w:r>
          </w:p>
        </w:tc>
        <w:tc>
          <w:tcPr>
            <w:tcW w:w="4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(12,650)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(20,359)</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(12,989)</w:t>
            </w:r>
          </w:p>
        </w:tc>
      </w:tr>
      <w:tr>
        <w:trPr>
          <w:trHeight w:val="223"/>
        </w:trPr>
        <w:tc>
          <w:tcPr>
            <w:tcW w:w="484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premiums</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186,661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155,053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176,428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Six Months Ended June 30, 2023</w:t>
            </w:r>
          </w:p>
        </w:tc>
      </w:tr>
      <w:tr>
        <w:trPr>
          <w:trHeight w:val="223"/>
        </w:trPr>
        <w:tc>
          <w:tcPr>
            <w:tcW w:w="4840" w:type="dxa"/>
            <w:vAlign w:val="bottom"/>
          </w:tcPr>
          <w:p>
            <w:pPr>
              <w:spacing w:after="0"/>
              <w:rPr>
                <w:sz w:val="19"/>
                <w:szCs w:val="19"/>
                <w:color w:val="auto"/>
              </w:rPr>
            </w:pPr>
          </w:p>
        </w:tc>
        <w:tc>
          <w:tcPr>
            <w:tcW w:w="16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Premiums Written</w:t>
            </w:r>
          </w:p>
        </w:tc>
        <w:tc>
          <w:tcPr>
            <w:tcW w:w="14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Premiums Earned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Premiums Written</w:t>
            </w:r>
          </w:p>
        </w:tc>
        <w:tc>
          <w:tcPr>
            <w:tcW w:w="148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w w:val="98"/>
              </w:rPr>
              <w:t>Premiums Earned</w:t>
            </w:r>
          </w:p>
        </w:tc>
        <w:tc>
          <w:tcPr>
            <w:tcW w:w="100" w:type="dxa"/>
            <w:vAlign w:val="bottom"/>
          </w:tcPr>
          <w:p>
            <w:pPr>
              <w:spacing w:after="0"/>
              <w:rPr>
                <w:sz w:val="19"/>
                <w:szCs w:val="19"/>
                <w:color w:val="auto"/>
              </w:rPr>
            </w:pPr>
          </w:p>
        </w:tc>
      </w:tr>
      <w:tr>
        <w:trPr>
          <w:trHeight w:val="209"/>
        </w:trPr>
        <w:tc>
          <w:tcPr>
            <w:tcW w:w="4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 premium</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41,632</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39,083</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40,858</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38,344</w:t>
            </w:r>
          </w:p>
        </w:tc>
      </w:tr>
      <w:tr>
        <w:trPr>
          <w:trHeight w:val="216"/>
        </w:trPr>
        <w:tc>
          <w:tcPr>
            <w:tcW w:w="4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Assumed premium</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Ceded premium</w:t>
            </w:r>
          </w:p>
        </w:tc>
        <w:tc>
          <w:tcPr>
            <w:tcW w:w="18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(8,743)</w:t>
            </w:r>
          </w:p>
        </w:tc>
        <w:tc>
          <w:tcPr>
            <w:tcW w:w="5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(8,027)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(8,539)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(8,277)</w:t>
            </w:r>
          </w:p>
        </w:tc>
      </w:tr>
      <w:tr>
        <w:trPr>
          <w:trHeight w:val="223"/>
        </w:trPr>
        <w:tc>
          <w:tcPr>
            <w:tcW w:w="484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premiums</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 reconciliation of direct to net losses and loss adjustment expenses, presented on a consolidated basis, including both continuing and discontinued operations, is as follows: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 losses and loss adjustment expenses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Assumed losses and loss adjustment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Ceded losses and loss adjustment expenses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losses and loss adjustment expenses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8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80" w:type="dxa"/>
            <w:vAlign w:val="bottom"/>
          </w:tcPr>
          <w:p>
            <w:pPr>
              <w:spacing w:after="0"/>
              <w:rPr>
                <w:sz w:val="20"/>
                <w:szCs w:val="20"/>
                <w:color w:val="auto"/>
              </w:rPr>
            </w:pPr>
          </w:p>
        </w:tc>
        <w:tc>
          <w:tcPr>
            <w:tcW w:w="2560" w:type="dxa"/>
            <w:vAlign w:val="bottom"/>
            <w:gridSpan w:val="7"/>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1"/>
        </w:trPr>
        <w:tc>
          <w:tcPr>
            <w:tcW w:w="2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88,568</w:t>
            </w:r>
          </w:p>
        </w:tc>
        <w:tc>
          <w:tcPr>
            <w:tcW w:w="240" w:type="dxa"/>
            <w:vAlign w:val="bottom"/>
          </w:tcPr>
          <w:p>
            <w:pPr>
              <w:spacing w:after="0"/>
              <w:rPr>
                <w:sz w:val="16"/>
                <w:szCs w:val="16"/>
                <w:color w:val="auto"/>
              </w:rPr>
            </w:pPr>
          </w:p>
        </w:tc>
        <w:tc>
          <w:tcPr>
            <w:tcW w:w="260" w:type="dxa"/>
            <w:vAlign w:val="bottom"/>
          </w:tcPr>
          <w:p>
            <w:pPr>
              <w:jc w:val="right"/>
              <w:ind w:right="9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95,149</w:t>
            </w:r>
          </w:p>
        </w:tc>
        <w:tc>
          <w:tcPr>
            <w:tcW w:w="220" w:type="dxa"/>
            <w:vAlign w:val="bottom"/>
          </w:tcPr>
          <w:p>
            <w:pPr>
              <w:spacing w:after="0"/>
              <w:rPr>
                <w:sz w:val="16"/>
                <w:szCs w:val="16"/>
                <w:color w:val="auto"/>
              </w:rPr>
            </w:pPr>
          </w:p>
        </w:tc>
        <w:tc>
          <w:tcPr>
            <w:tcW w:w="180" w:type="dxa"/>
            <w:vAlign w:val="bottom"/>
          </w:tcPr>
          <w:p>
            <w:pPr>
              <w:jc w:val="right"/>
              <w:ind w:right="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143,222</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jc w:val="right"/>
              <w:ind w:right="7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166,010</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224</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157</w:t>
            </w:r>
          </w:p>
        </w:tc>
      </w:tr>
      <w:tr>
        <w:trPr>
          <w:trHeight w:val="248"/>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(7,993)</w:t>
            </w:r>
          </w:p>
        </w:tc>
        <w:tc>
          <w:tcPr>
            <w:tcW w:w="2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(17,710)</w:t>
            </w:r>
          </w:p>
        </w:tc>
        <w:tc>
          <w:tcPr>
            <w:tcW w:w="1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(10,483)</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(29,836)</w:t>
            </w:r>
          </w:p>
        </w:tc>
      </w:tr>
      <w:tr>
        <w:trPr>
          <w:trHeight w:val="223"/>
        </w:trPr>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80,799</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77,506</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133,008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136,331</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-607695</wp:posOffset>
            </wp:positionV>
            <wp:extent cx="71323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-325120</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00" w:space="720"/>
            <w:col w:w="5720"/>
          </w:cols>
          <w:pgMar w:left="320" w:top="225" w:right="339" w:bottom="1440" w:gutter="0" w:footer="0" w:header="0"/>
          <w:type w:val="continuous"/>
        </w:sectPr>
      </w:pPr>
    </w:p>
    <w:p>
      <w:pPr>
        <w:spacing w:after="0" w:line="1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reconciliations for current and prior year continuing and discontinued operations of direct to net losses and loss adjustment expenses is as follows: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Continuing operations:</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Direct losses and loss adjustment expenses</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Assumed losses and loss adjustment expenses</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Ceded losses and loss adjustment expenses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losses and loss adjustment expenses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Discontinued operations:</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Direct losses and loss adjustment expenses</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Assumed losses and loss adjustment expenses</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Ceded losses and loss adjustment expenses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losses and loss adjustment expenses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80" w:type="dxa"/>
            <w:vAlign w:val="bottom"/>
            <w:gridSpan w:val="6"/>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80" w:type="dxa"/>
            <w:vAlign w:val="bottom"/>
          </w:tcPr>
          <w:p>
            <w:pPr>
              <w:spacing w:after="0"/>
              <w:rPr>
                <w:sz w:val="20"/>
                <w:szCs w:val="20"/>
                <w:color w:val="auto"/>
              </w:rPr>
            </w:pPr>
          </w:p>
        </w:tc>
        <w:tc>
          <w:tcPr>
            <w:tcW w:w="2560" w:type="dxa"/>
            <w:vAlign w:val="bottom"/>
            <w:gridSpan w:val="6"/>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9"/>
                <w:szCs w:val="19"/>
                <w:color w:val="auto"/>
              </w:rPr>
            </w:pPr>
          </w:p>
        </w:tc>
      </w:tr>
      <w:tr>
        <w:trPr>
          <w:trHeight w:val="407"/>
        </w:trPr>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73,350</w:t>
            </w:r>
          </w:p>
        </w:tc>
        <w:tc>
          <w:tcPr>
            <w:tcW w:w="3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66,211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114,869</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108,164</w:t>
            </w:r>
          </w:p>
        </w:tc>
        <w:tc>
          <w:tcPr>
            <w:tcW w:w="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157</w:t>
            </w:r>
          </w:p>
        </w:tc>
      </w:tr>
      <w:tr>
        <w:trPr>
          <w:trHeight w:val="248"/>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(6,201)</w:t>
            </w:r>
          </w:p>
        </w:tc>
        <w:tc>
          <w:tcPr>
            <w:tcW w:w="1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(5,636)</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(7,119)</w:t>
            </w:r>
          </w:p>
        </w:tc>
      </w:tr>
      <w:tr>
        <w:trPr>
          <w:trHeight w:val="223"/>
        </w:trPr>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69,358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60,077</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109,502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101,202</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-744855</wp:posOffset>
            </wp:positionV>
            <wp:extent cx="713232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-462280</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-179070</wp:posOffset>
            </wp:positionV>
            <wp:extent cx="713232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80" w:type="dxa"/>
            <w:vAlign w:val="bottom"/>
            <w:gridSpan w:val="6"/>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80" w:type="dxa"/>
            <w:vAlign w:val="bottom"/>
          </w:tcPr>
          <w:p>
            <w:pPr>
              <w:spacing w:after="0"/>
              <w:rPr>
                <w:sz w:val="20"/>
                <w:szCs w:val="20"/>
                <w:color w:val="auto"/>
              </w:rPr>
            </w:pPr>
          </w:p>
        </w:tc>
        <w:tc>
          <w:tcPr>
            <w:tcW w:w="2560" w:type="dxa"/>
            <w:vAlign w:val="bottom"/>
            <w:gridSpan w:val="6"/>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9"/>
                <w:szCs w:val="19"/>
                <w:color w:val="auto"/>
              </w:rPr>
            </w:pPr>
          </w:p>
        </w:tc>
      </w:tr>
      <w:tr>
        <w:trPr>
          <w:trHeight w:val="407"/>
        </w:trPr>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15,218</w:t>
            </w:r>
          </w:p>
        </w:tc>
        <w:tc>
          <w:tcPr>
            <w:tcW w:w="3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28,938</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28,353</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57,846</w:t>
            </w:r>
          </w:p>
        </w:tc>
        <w:tc>
          <w:tcPr>
            <w:tcW w:w="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(11,509)</w:t>
            </w:r>
          </w:p>
        </w:tc>
        <w:tc>
          <w:tcPr>
            <w:tcW w:w="1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(4,847)</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(22,717)</w:t>
            </w:r>
          </w:p>
        </w:tc>
      </w:tr>
      <w:tr>
        <w:trPr>
          <w:trHeight w:val="223"/>
        </w:trPr>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17,429</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23,506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35,129</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-745490</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-462280</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-179705</wp:posOffset>
            </wp:positionV>
            <wp:extent cx="713232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800" w:space="720"/>
            <w:col w:w="5720"/>
          </w:cols>
          <w:pgMar w:left="320" w:top="225" w:right="339" w:bottom="1440" w:gutter="0" w:footer="0" w:header="0"/>
          <w:type w:val="continuous"/>
        </w:sect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If 100% of our ceded reinsurance was cancelled as of June 30, 2024, or December 31, 2023, no ceded commissions would need to be returned to the reinsurers. Reinsurance contracts are typically effective from January 1 through December 31 each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Intercompany Reinsurance Pooling Arrangement</w:t>
      </w:r>
    </w:p>
    <w:p>
      <w:pPr>
        <w:spacing w:after="0" w:line="229"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Effective January 1, 2020, all of our insurance subsidiary and affiliate companies entered into an intercompany reinsurance pooling agreement. Nodak Insurance is the lead company of the pool, and assumes the net premiums, net losses, and underwriting expenses from each of the other five companies. Nodak Insurance then retrocedes balances back to each company, while retaining its own share of the pool’s net underwriting results, based on individual pool percentages established in the respective pooling agreement. This arrangement allows each insurance company to rely upon the capacity of the pool’s total statutory capital and surplus. As a result, they are evaluated by AM Best on a group basis and hold a single combined financial strength rating, long-term issuer credit rating, and financial size category. Subsequent to the June 30, 2024, date of sale, Westminster will cease to be a member of the pool.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June 30, 2024, and the year ended December 31, 2023, the pooling share percentages by insurance company were: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6920" w:type="dxa"/>
            <w:vAlign w:val="bottom"/>
            <w:gridSpan w:val="3"/>
          </w:tcPr>
          <w:p>
            <w:pPr>
              <w:ind w:left="5580"/>
              <w:spacing w:after="0"/>
              <w:rPr>
                <w:sz w:val="20"/>
                <w:szCs w:val="20"/>
                <w:color w:val="auto"/>
              </w:rPr>
            </w:pPr>
            <w:r>
              <w:rPr>
                <w:rFonts w:ascii="Times New Roman" w:cs="Times New Roman" w:eastAsia="Times New Roman" w:hAnsi="Times New Roman"/>
                <w:sz w:val="18"/>
                <w:szCs w:val="18"/>
                <w:b w:val="1"/>
                <w:bCs w:val="1"/>
                <w:color w:val="auto"/>
              </w:rPr>
              <w:t>Pool Percentage</w:t>
            </w: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Nodak Insurance Company</w:t>
            </w:r>
          </w:p>
        </w:tc>
        <w:tc>
          <w:tcPr>
            <w:tcW w:w="55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American West Insurance Company</w:t>
            </w:r>
          </w:p>
        </w:tc>
        <w:tc>
          <w:tcPr>
            <w:tcW w:w="6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Primero Insurance Company</w:t>
            </w:r>
          </w:p>
        </w:tc>
        <w:tc>
          <w:tcPr>
            <w:tcW w:w="6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Battle Creek Insurance Company</w:t>
            </w:r>
          </w:p>
        </w:tc>
        <w:tc>
          <w:tcPr>
            <w:tcW w:w="6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Auto Insurance Company</w:t>
            </w:r>
          </w:p>
        </w:tc>
        <w:tc>
          <w:tcPr>
            <w:tcW w:w="6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Westminster American Insurance Company</w:t>
            </w:r>
          </w:p>
        </w:tc>
        <w:tc>
          <w:tcPr>
            <w:tcW w:w="6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3"/>
        </w:trPr>
        <w:tc>
          <w:tcPr>
            <w:tcW w:w="43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558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5580" w:type="dxa"/>
            <w:vAlign w:val="bottom"/>
            <w:vMerge w:val="restart"/>
          </w:tcPr>
          <w:p>
            <w:pPr>
              <w:jc w:val="right"/>
              <w:ind w:right="4110"/>
              <w:spacing w:after="0"/>
              <w:rPr>
                <w:sz w:val="20"/>
                <w:szCs w:val="20"/>
                <w:color w:val="auto"/>
              </w:rPr>
            </w:pPr>
            <w:r>
              <w:rPr>
                <w:rFonts w:ascii="Times New Roman" w:cs="Times New Roman" w:eastAsia="Times New Roman" w:hAnsi="Times New Roman"/>
                <w:sz w:val="18"/>
                <w:szCs w:val="18"/>
                <w:color w:val="auto"/>
              </w:rPr>
              <w:t>21</w:t>
            </w: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432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vMerge w:val="continue"/>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type w:val="continuous"/>
        </w:sectPr>
      </w:pPr>
    </w:p>
    <w:bookmarkStart w:id="24" w:name="page25"/>
    <w:bookmarkEnd w:id="2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95"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Deferred Policy Acquisition Costs</w:t>
      </w:r>
    </w:p>
    <w:p>
      <w:pPr>
        <w:spacing w:after="0" w:line="229" w:lineRule="exact"/>
        <w:rPr>
          <w:sz w:val="20"/>
          <w:szCs w:val="20"/>
          <w:color w:val="auto"/>
        </w:rPr>
      </w:pPr>
    </w:p>
    <w:p>
      <w:pPr>
        <w:ind w:left="20" w:right="20"/>
        <w:spacing w:after="0" w:line="261" w:lineRule="auto"/>
        <w:rPr>
          <w:sz w:val="20"/>
          <w:szCs w:val="20"/>
          <w:color w:val="auto"/>
        </w:rPr>
      </w:pPr>
      <w:r>
        <w:rPr>
          <w:rFonts w:ascii="Times New Roman" w:cs="Times New Roman" w:eastAsia="Times New Roman" w:hAnsi="Times New Roman"/>
          <w:sz w:val="18"/>
          <w:szCs w:val="18"/>
          <w:color w:val="auto"/>
        </w:rPr>
        <w:t>Expenses directly related to successfully acquired insurance policies, primarily commissions, premium taxes and underwriting costs, are deferred and amortized over the terms of the policies. We update our acquisition cost assumptions periodically to reflect actual experience, and we evaluate the costs for recoverability. The table below, presented on a consolidated basis, including both continuing and discontinued operations, shows the deferred policy acquisition costs and asset reconciliation:</w:t>
      </w:r>
    </w:p>
    <w:p>
      <w:pPr>
        <w:sectPr>
          <w:pgSz w:w="11900" w:h="16838" w:orient="portrait"/>
          <w:cols w:equalWidth="0" w:num="1">
            <w:col w:w="11200"/>
          </w:cols>
          <w:pgMar w:left="320" w:top="2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beginning of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Deferral of policy acquisition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Westminster balance disposed in sale</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Balance, end of period</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8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80" w:type="dxa"/>
            <w:vAlign w:val="bottom"/>
          </w:tcPr>
          <w:p>
            <w:pPr>
              <w:spacing w:after="0"/>
              <w:rPr>
                <w:sz w:val="20"/>
                <w:szCs w:val="20"/>
                <w:color w:val="auto"/>
              </w:rPr>
            </w:pPr>
          </w:p>
        </w:tc>
        <w:tc>
          <w:tcPr>
            <w:tcW w:w="2560" w:type="dxa"/>
            <w:vAlign w:val="bottom"/>
            <w:gridSpan w:val="8"/>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1"/>
        </w:trPr>
        <w:tc>
          <w:tcPr>
            <w:tcW w:w="2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36,565</w:t>
            </w:r>
          </w:p>
        </w:tc>
        <w:tc>
          <w:tcPr>
            <w:tcW w:w="240" w:type="dxa"/>
            <w:vAlign w:val="bottom"/>
          </w:tcPr>
          <w:p>
            <w:pPr>
              <w:spacing w:after="0"/>
              <w:rPr>
                <w:sz w:val="16"/>
                <w:szCs w:val="16"/>
                <w:color w:val="auto"/>
              </w:rPr>
            </w:pPr>
          </w:p>
        </w:tc>
        <w:tc>
          <w:tcPr>
            <w:tcW w:w="260" w:type="dxa"/>
            <w:vAlign w:val="bottom"/>
          </w:tcPr>
          <w:p>
            <w:pPr>
              <w:jc w:val="right"/>
              <w:ind w:right="9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31,350</w:t>
            </w:r>
          </w:p>
        </w:tc>
        <w:tc>
          <w:tcPr>
            <w:tcW w:w="220" w:type="dxa"/>
            <w:vAlign w:val="bottom"/>
          </w:tcPr>
          <w:p>
            <w:pPr>
              <w:spacing w:after="0"/>
              <w:rPr>
                <w:sz w:val="16"/>
                <w:szCs w:val="16"/>
                <w:color w:val="auto"/>
              </w:rPr>
            </w:pPr>
          </w:p>
        </w:tc>
        <w:tc>
          <w:tcPr>
            <w:tcW w:w="180" w:type="dxa"/>
            <w:vAlign w:val="bottom"/>
          </w:tcPr>
          <w:p>
            <w:pPr>
              <w:jc w:val="right"/>
              <w:ind w:right="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34,120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jc w:val="right"/>
              <w:ind w:right="7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29,768</w:t>
            </w: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25,962</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23,353</w:t>
            </w: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49,070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43,523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(23,372)</w:t>
            </w: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(20,579)</w:t>
            </w:r>
          </w:p>
        </w:tc>
        <w:tc>
          <w:tcPr>
            <w:tcW w:w="1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(44,035)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(39,167)</w:t>
            </w:r>
          </w:p>
        </w:tc>
      </w:tr>
      <w:tr>
        <w:trPr>
          <w:trHeight w:val="248"/>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(7,998)</w:t>
            </w:r>
          </w:p>
        </w:tc>
        <w:tc>
          <w:tcPr>
            <w:tcW w:w="2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(7,998)</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31,157</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34,124</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31,157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34,124</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-744855</wp:posOffset>
            </wp:positionV>
            <wp:extent cx="713232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-462280</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-179070</wp:posOffset>
            </wp:positionV>
            <wp:extent cx="713232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800" w:space="720"/>
            <w:col w:w="5680"/>
          </w:cols>
          <w:pgMar w:left="320" w:top="225" w:right="379" w:bottom="1440" w:gutter="0" w:footer="0" w:header="0"/>
          <w:type w:val="continuous"/>
        </w:sectPr>
      </w:pPr>
    </w:p>
    <w:p>
      <w:pPr>
        <w:ind w:left="20" w:right="320"/>
        <w:spacing w:after="0" w:line="282" w:lineRule="auto"/>
        <w:rPr>
          <w:sz w:val="20"/>
          <w:szCs w:val="20"/>
          <w:color w:val="auto"/>
        </w:rPr>
      </w:pPr>
      <w:r>
        <w:rPr>
          <w:rFonts w:ascii="Times New Roman" w:cs="Times New Roman" w:eastAsia="Times New Roman" w:hAnsi="Times New Roman"/>
          <w:sz w:val="18"/>
          <w:szCs w:val="18"/>
          <w:color w:val="auto"/>
        </w:rPr>
        <w:t>The tables for current and prior year continuing and discontinued operations showing the deferred policy acquisition costs and assets reconciliation are shown below:</w:t>
      </w:r>
    </w:p>
    <w:p>
      <w:pPr>
        <w:sectPr>
          <w:pgSz w:w="11900" w:h="16838" w:orient="portrait"/>
          <w:cols w:equalWidth="0" w:num="1">
            <w:col w:w="11200"/>
          </w:cols>
          <w:pgMar w:left="320" w:top="225"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Continuing operations: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Balance, beginning of period</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Deferral of policy acquisition costs</w:t>
      </w:r>
    </w:p>
    <w:p>
      <w:pPr>
        <w:spacing w:after="0" w:line="9" w:lineRule="exact"/>
        <w:rPr>
          <w:sz w:val="20"/>
          <w:szCs w:val="20"/>
          <w:color w:val="auto"/>
        </w:rPr>
      </w:pPr>
    </w:p>
    <w:p>
      <w:pPr>
        <w:ind w:left="360" w:right="1080" w:hanging="179"/>
        <w:spacing w:after="0" w:line="276" w:lineRule="auto"/>
        <w:rPr>
          <w:sz w:val="20"/>
          <w:szCs w:val="20"/>
          <w:color w:val="auto"/>
        </w:rPr>
      </w:pPr>
      <w:r>
        <w:rPr>
          <w:rFonts w:ascii="Times New Roman" w:cs="Times New Roman" w:eastAsia="Times New Roman" w:hAnsi="Times New Roman"/>
          <w:sz w:val="18"/>
          <w:szCs w:val="18"/>
          <w:color w:val="auto"/>
        </w:rPr>
        <w:t>Amortization of deferred policy acquisition costs Balance, end of period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Discontinued operations: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Balance, beginning of period</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Deferral of policy acquisition costs</w:t>
      </w:r>
    </w:p>
    <w:p>
      <w:pPr>
        <w:spacing w:after="0" w:line="9" w:lineRule="exact"/>
        <w:rPr>
          <w:sz w:val="20"/>
          <w:szCs w:val="20"/>
          <w:color w:val="auto"/>
        </w:rPr>
      </w:pPr>
    </w:p>
    <w:p>
      <w:pPr>
        <w:ind w:left="360" w:right="1080" w:hanging="179"/>
        <w:spacing w:after="0" w:line="276" w:lineRule="auto"/>
        <w:rPr>
          <w:sz w:val="20"/>
          <w:szCs w:val="20"/>
          <w:color w:val="auto"/>
        </w:rPr>
      </w:pPr>
      <w:r>
        <w:rPr>
          <w:rFonts w:ascii="Times New Roman" w:cs="Times New Roman" w:eastAsia="Times New Roman" w:hAnsi="Times New Roman"/>
          <w:sz w:val="18"/>
          <w:szCs w:val="18"/>
          <w:color w:val="auto"/>
        </w:rPr>
        <w:t>Amortization of deferred policy acquisition costs Balance, end of period</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80" w:type="dxa"/>
            <w:vAlign w:val="bottom"/>
            <w:gridSpan w:val="6"/>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80" w:type="dxa"/>
            <w:vAlign w:val="bottom"/>
          </w:tcPr>
          <w:p>
            <w:pPr>
              <w:spacing w:after="0"/>
              <w:rPr>
                <w:sz w:val="20"/>
                <w:szCs w:val="20"/>
                <w:color w:val="auto"/>
              </w:rPr>
            </w:pPr>
          </w:p>
        </w:tc>
        <w:tc>
          <w:tcPr>
            <w:tcW w:w="2560" w:type="dxa"/>
            <w:vAlign w:val="bottom"/>
            <w:gridSpan w:val="6"/>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9"/>
                <w:szCs w:val="19"/>
                <w:color w:val="auto"/>
              </w:rPr>
            </w:pPr>
          </w:p>
        </w:tc>
      </w:tr>
      <w:tr>
        <w:trPr>
          <w:trHeight w:val="407"/>
        </w:trPr>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28,948</w:t>
            </w:r>
          </w:p>
        </w:tc>
        <w:tc>
          <w:tcPr>
            <w:tcW w:w="3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24,210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26,790</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22,675</w:t>
            </w:r>
          </w:p>
        </w:tc>
        <w:tc>
          <w:tcPr>
            <w:tcW w:w="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21,499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19,046</w:t>
            </w: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40,474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35,585</w:t>
            </w:r>
          </w:p>
        </w:tc>
        <w:tc>
          <w:tcPr>
            <w:tcW w:w="60" w:type="dxa"/>
            <w:vAlign w:val="bottom"/>
          </w:tcPr>
          <w:p>
            <w:pPr>
              <w:spacing w:after="0"/>
              <w:rPr>
                <w:sz w:val="18"/>
                <w:szCs w:val="18"/>
                <w:color w:val="auto"/>
              </w:rPr>
            </w:pPr>
          </w:p>
        </w:tc>
      </w:tr>
      <w:tr>
        <w:trPr>
          <w:trHeight w:val="248"/>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(19,290)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(16,784)</w:t>
            </w:r>
          </w:p>
        </w:tc>
        <w:tc>
          <w:tcPr>
            <w:tcW w:w="1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(36,107)</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(31,788)</w:t>
            </w:r>
          </w:p>
        </w:tc>
      </w:tr>
      <w:tr>
        <w:trPr>
          <w:trHeight w:val="223"/>
        </w:trPr>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31,157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26,472</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31,157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26,472</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-744855</wp:posOffset>
            </wp:positionV>
            <wp:extent cx="713232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-462280</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-179070</wp:posOffset>
            </wp:positionV>
            <wp:extent cx="7132320" cy="162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80" w:type="dxa"/>
            <w:vAlign w:val="bottom"/>
            <w:gridSpan w:val="6"/>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80" w:type="dxa"/>
            <w:vAlign w:val="bottom"/>
          </w:tcPr>
          <w:p>
            <w:pPr>
              <w:spacing w:after="0"/>
              <w:rPr>
                <w:sz w:val="20"/>
                <w:szCs w:val="20"/>
                <w:color w:val="auto"/>
              </w:rPr>
            </w:pPr>
          </w:p>
        </w:tc>
        <w:tc>
          <w:tcPr>
            <w:tcW w:w="2560" w:type="dxa"/>
            <w:vAlign w:val="bottom"/>
            <w:gridSpan w:val="6"/>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9"/>
                <w:szCs w:val="19"/>
                <w:color w:val="auto"/>
              </w:rPr>
            </w:pPr>
          </w:p>
        </w:tc>
      </w:tr>
      <w:tr>
        <w:trPr>
          <w:trHeight w:val="407"/>
        </w:trPr>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7,617</w:t>
            </w:r>
          </w:p>
        </w:tc>
        <w:tc>
          <w:tcPr>
            <w:tcW w:w="3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7,140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7,330</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7,093</w:t>
            </w:r>
          </w:p>
        </w:tc>
        <w:tc>
          <w:tcPr>
            <w:tcW w:w="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4,464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4,307</w:t>
            </w: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8,596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7,938</w:t>
            </w:r>
          </w:p>
        </w:tc>
        <w:tc>
          <w:tcPr>
            <w:tcW w:w="60" w:type="dxa"/>
            <w:vAlign w:val="bottom"/>
          </w:tcPr>
          <w:p>
            <w:pPr>
              <w:spacing w:after="0"/>
              <w:rPr>
                <w:sz w:val="18"/>
                <w:szCs w:val="18"/>
                <w:color w:val="auto"/>
              </w:rPr>
            </w:pPr>
          </w:p>
        </w:tc>
      </w:tr>
      <w:tr>
        <w:trPr>
          <w:trHeight w:val="248"/>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(3,795)</w:t>
            </w:r>
          </w:p>
        </w:tc>
        <w:tc>
          <w:tcPr>
            <w:tcW w:w="1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(7,928)</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(7,379)</w:t>
            </w:r>
          </w:p>
        </w:tc>
      </w:tr>
      <w:tr>
        <w:trPr>
          <w:trHeight w:val="223"/>
        </w:trPr>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7,652</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7,652</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-745490</wp:posOffset>
            </wp:positionV>
            <wp:extent cx="71323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-462280</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-179070</wp:posOffset>
            </wp:positionV>
            <wp:extent cx="7132320" cy="162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00" w:space="720"/>
            <w:col w:w="5680"/>
          </w:cols>
          <w:pgMar w:left="320" w:top="225" w:right="379" w:bottom="1440" w:gutter="0" w:footer="0" w:header="0"/>
          <w:type w:val="continuous"/>
        </w:sectPr>
      </w:pP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type w:val="continuous"/>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311" w:lineRule="exact"/>
        <w:rPr>
          <w:sz w:val="20"/>
          <w:szCs w:val="20"/>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Unpaid Losses and Loss Adjustment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the liability for unpaid losses and loss adjustment expenses is summarized as follows for both continuing and discontinued operations:</w:t>
      </w:r>
    </w:p>
    <w:p>
      <w:pPr>
        <w:spacing w:after="0" w:line="235" w:lineRule="exact"/>
        <w:rPr>
          <w:sz w:val="20"/>
          <w:szCs w:val="20"/>
          <w:color w:val="auto"/>
        </w:rPr>
      </w:pPr>
    </w:p>
    <w:p>
      <w:pPr>
        <w:jc w:val="center"/>
        <w:ind w:left="8320"/>
        <w:spacing w:after="0"/>
        <w:rPr>
          <w:sz w:val="20"/>
          <w:szCs w:val="20"/>
          <w:color w:val="auto"/>
        </w:rPr>
      </w:pPr>
      <w:r>
        <w:rPr>
          <w:rFonts w:ascii="Times New Roman" w:cs="Times New Roman" w:eastAsia="Times New Roman" w:hAnsi="Times New Roman"/>
          <w:sz w:val="17"/>
          <w:szCs w:val="17"/>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27305</wp:posOffset>
            </wp:positionV>
            <wp:extent cx="17056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28" w:lineRule="exact"/>
        <w:rPr>
          <w:sz w:val="20"/>
          <w:szCs w:val="20"/>
          <w:color w:val="auto"/>
        </w:rPr>
      </w:pPr>
    </w:p>
    <w:p>
      <w:pPr>
        <w:ind w:left="8880"/>
        <w:spacing w:after="0"/>
        <w:tabs>
          <w:tab w:leader="none" w:pos="1032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beginning of period:</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Liability for unpaid losses and loss adjustment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Reinsurance recoverables on losses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balance,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Incurred related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Current year</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Prior years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Total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217,119</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190,459</w:t>
            </w:r>
          </w:p>
        </w:tc>
      </w:tr>
      <w:tr>
        <w:trPr>
          <w:trHeight w:val="234"/>
        </w:trPr>
        <w:tc>
          <w:tcPr>
            <w:tcW w:w="3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48,969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37,575</w:t>
            </w:r>
          </w:p>
        </w:tc>
      </w:tr>
      <w:tr>
        <w:trPr>
          <w:trHeight w:val="210"/>
        </w:trPr>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152,884</w:t>
            </w:r>
          </w:p>
        </w:tc>
      </w:tr>
      <w:tr>
        <w:trPr>
          <w:trHeight w:val="637"/>
        </w:trPr>
        <w:tc>
          <w:tcPr>
            <w:tcW w:w="38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125,235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126,854</w:t>
            </w:r>
          </w:p>
        </w:tc>
      </w:tr>
      <w:tr>
        <w:trPr>
          <w:trHeight w:val="234"/>
        </w:trPr>
        <w:tc>
          <w:tcPr>
            <w:tcW w:w="3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7,773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9,477</w:t>
            </w:r>
          </w:p>
        </w:tc>
      </w:tr>
      <w:tr>
        <w:trPr>
          <w:trHeight w:val="209"/>
        </w:trPr>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136,331</w:t>
            </w:r>
          </w:p>
        </w:tc>
      </w:tr>
    </w:tbl>
    <w:p>
      <w:pPr>
        <w:spacing w:after="0" w:line="198" w:lineRule="exact"/>
        <w:rPr>
          <w:sz w:val="20"/>
          <w:szCs w:val="20"/>
          <w:color w:val="auto"/>
        </w:rPr>
      </w:pPr>
    </w:p>
    <w:p>
      <w:pPr>
        <w:sectPr>
          <w:pgSz w:w="11900" w:h="16838" w:orient="portrait"/>
          <w:cols w:equalWidth="0" w:num="2">
            <w:col w:w="7720" w:space="720"/>
            <w:col w:w="2780"/>
          </w:cols>
          <w:pgMar w:left="320" w:top="225"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Paid related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Prior years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Total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Westminster balances disposed in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Liability for unpaid losses and loss adjustment expenses</w:t>
      </w:r>
    </w:p>
    <w:p>
      <w:pPr>
        <w:spacing w:after="0" w:line="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Reinsurance recoverables on losses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balance,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Liability for unpaid losses and loss adjustment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Reinsurance recoverables on losses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balance, end of period</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both"/>
        <w:ind w:left="760"/>
        <w:spacing w:after="0"/>
        <w:tabs>
          <w:tab w:leader="none" w:pos="2180" w:val="left"/>
        </w:tabs>
        <w:rPr>
          <w:sz w:val="20"/>
          <w:szCs w:val="20"/>
          <w:color w:val="auto"/>
        </w:rPr>
      </w:pPr>
      <w:r>
        <w:rPr>
          <w:rFonts w:ascii="Times New Roman" w:cs="Times New Roman" w:eastAsia="Times New Roman" w:hAnsi="Times New Roman"/>
          <w:sz w:val="18"/>
          <w:szCs w:val="18"/>
          <w:color w:val="auto"/>
        </w:rPr>
        <w:t>45,494</w:t>
      </w:r>
      <w:r>
        <w:rPr>
          <w:sz w:val="20"/>
          <w:szCs w:val="20"/>
          <w:color w:val="auto"/>
        </w:rPr>
        <w:tab/>
      </w:r>
      <w:r>
        <w:rPr>
          <w:rFonts w:ascii="Times New Roman" w:cs="Times New Roman" w:eastAsia="Times New Roman" w:hAnsi="Times New Roman"/>
          <w:sz w:val="18"/>
          <w:szCs w:val="18"/>
          <w:color w:val="auto"/>
        </w:rPr>
        <w:t>50,010</w:t>
      </w:r>
    </w:p>
    <w:p>
      <w:pPr>
        <w:spacing w:after="0" w:line="27" w:lineRule="exact"/>
        <w:rPr>
          <w:sz w:val="20"/>
          <w:szCs w:val="20"/>
          <w:color w:val="auto"/>
        </w:rPr>
      </w:pPr>
    </w:p>
    <w:p>
      <w:pPr>
        <w:jc w:val="both"/>
        <w:ind w:left="760"/>
        <w:spacing w:after="0"/>
        <w:tabs>
          <w:tab w:leader="none" w:pos="2180" w:val="left"/>
        </w:tabs>
        <w:rPr>
          <w:sz w:val="20"/>
          <w:szCs w:val="20"/>
          <w:color w:val="auto"/>
        </w:rPr>
      </w:pPr>
      <w:r>
        <w:rPr>
          <w:rFonts w:ascii="Times New Roman" w:cs="Times New Roman" w:eastAsia="Times New Roman" w:hAnsi="Times New Roman"/>
          <w:sz w:val="18"/>
          <w:szCs w:val="18"/>
          <w:color w:val="auto"/>
        </w:rPr>
        <w:t>54,372</w:t>
      </w:r>
      <w:r>
        <w:rPr>
          <w:sz w:val="20"/>
          <w:szCs w:val="20"/>
          <w:color w:val="auto"/>
        </w:rPr>
        <w:tab/>
      </w:r>
      <w:r>
        <w:rPr>
          <w:rFonts w:ascii="Times New Roman" w:cs="Times New Roman" w:eastAsia="Times New Roman" w:hAnsi="Times New Roman"/>
          <w:sz w:val="18"/>
          <w:szCs w:val="18"/>
          <w:color w:val="auto"/>
        </w:rPr>
        <w:t>60,675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70561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spacing w:after="0" w:line="3" w:lineRule="exact"/>
        <w:rPr>
          <w:sz w:val="20"/>
          <w:szCs w:val="20"/>
          <w:color w:val="auto"/>
        </w:rPr>
      </w:pPr>
    </w:p>
    <w:p>
      <w:pPr>
        <w:jc w:val="both"/>
        <w:ind w:left="760"/>
        <w:spacing w:after="0"/>
        <w:tabs>
          <w:tab w:leader="none" w:pos="2100" w:val="left"/>
        </w:tabs>
        <w:rPr>
          <w:sz w:val="20"/>
          <w:szCs w:val="20"/>
          <w:color w:val="auto"/>
        </w:rPr>
      </w:pPr>
      <w:r>
        <w:rPr>
          <w:rFonts w:ascii="Times New Roman" w:cs="Times New Roman" w:eastAsia="Times New Roman" w:hAnsi="Times New Roman"/>
          <w:sz w:val="18"/>
          <w:szCs w:val="18"/>
          <w:color w:val="auto"/>
        </w:rPr>
        <w:t>99,866</w:t>
      </w:r>
      <w:r>
        <w:rPr>
          <w:sz w:val="20"/>
          <w:szCs w:val="20"/>
          <w:color w:val="auto"/>
        </w:rPr>
        <w:tab/>
      </w:r>
      <w:r>
        <w:rPr>
          <w:rFonts w:ascii="Times New Roman" w:cs="Times New Roman" w:eastAsia="Times New Roman" w:hAnsi="Times New Roman"/>
          <w:sz w:val="18"/>
          <w:szCs w:val="18"/>
          <w:color w:val="auto"/>
        </w:rPr>
        <w:t>110,685</w:t>
      </w:r>
    </w:p>
    <w:p>
      <w:pPr>
        <w:spacing w:after="0" w:line="200" w:lineRule="exact"/>
        <w:rPr>
          <w:sz w:val="20"/>
          <w:szCs w:val="20"/>
          <w:color w:val="auto"/>
        </w:rPr>
      </w:pPr>
    </w:p>
    <w:p>
      <w:pPr>
        <w:spacing w:after="0" w:line="250" w:lineRule="exact"/>
        <w:rPr>
          <w:sz w:val="20"/>
          <w:szCs w:val="20"/>
          <w:color w:val="auto"/>
        </w:rPr>
      </w:pPr>
    </w:p>
    <w:p>
      <w:pPr>
        <w:ind w:left="660"/>
        <w:spacing w:after="0"/>
        <w:tabs>
          <w:tab w:leader="none" w:pos="2500" w:val="left"/>
        </w:tabs>
        <w:rPr>
          <w:sz w:val="20"/>
          <w:szCs w:val="20"/>
          <w:color w:val="auto"/>
        </w:rPr>
      </w:pPr>
      <w:r>
        <w:rPr>
          <w:rFonts w:ascii="Times New Roman" w:cs="Times New Roman" w:eastAsia="Times New Roman" w:hAnsi="Times New Roman"/>
          <w:sz w:val="18"/>
          <w:szCs w:val="18"/>
          <w:color w:val="auto"/>
        </w:rPr>
        <w:t>107,508</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760"/>
        <w:spacing w:after="0"/>
        <w:tabs>
          <w:tab w:leader="none" w:pos="2500" w:val="left"/>
        </w:tabs>
        <w:rPr>
          <w:sz w:val="20"/>
          <w:szCs w:val="20"/>
          <w:color w:val="auto"/>
        </w:rPr>
      </w:pPr>
      <w:r>
        <w:rPr>
          <w:rFonts w:ascii="Times New Roman" w:cs="Times New Roman" w:eastAsia="Times New Roman" w:hAnsi="Times New Roman"/>
          <w:sz w:val="18"/>
          <w:szCs w:val="18"/>
          <w:color w:val="auto"/>
        </w:rPr>
        <w:t>45,320</w:t>
      </w:r>
      <w:r>
        <w:rPr>
          <w:sz w:val="20"/>
          <w:szCs w:val="20"/>
          <w:color w:val="auto"/>
        </w:rPr>
        <w:tab/>
      </w: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760"/>
        <w:spacing w:after="0"/>
        <w:tabs>
          <w:tab w:leader="none" w:pos="2500" w:val="left"/>
        </w:tabs>
        <w:rPr>
          <w:sz w:val="20"/>
          <w:szCs w:val="20"/>
          <w:color w:val="auto"/>
        </w:rPr>
      </w:pPr>
      <w:r>
        <w:rPr>
          <w:rFonts w:ascii="Times New Roman" w:cs="Times New Roman" w:eastAsia="Times New Roman" w:hAnsi="Times New Roman"/>
          <w:sz w:val="18"/>
          <w:szCs w:val="18"/>
          <w:color w:val="auto"/>
        </w:rPr>
        <w:t>62,188</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7056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color w:val="auto"/>
        </w:rPr>
        <w:t>148,527</w:t>
      </w:r>
      <w:r>
        <w:rPr>
          <w:sz w:val="20"/>
          <w:szCs w:val="20"/>
          <w:color w:val="auto"/>
        </w:rPr>
        <w:tab/>
      </w:r>
      <w:r>
        <w:rPr>
          <w:rFonts w:ascii="Times New Roman" w:cs="Times New Roman" w:eastAsia="Times New Roman" w:hAnsi="Times New Roman"/>
          <w:sz w:val="18"/>
          <w:szCs w:val="18"/>
          <w:color w:val="auto"/>
        </w:rPr>
        <w:t>232,038</w:t>
      </w:r>
    </w:p>
    <w:p>
      <w:pPr>
        <w:spacing w:after="0" w:line="27" w:lineRule="exact"/>
        <w:rPr>
          <w:sz w:val="20"/>
          <w:szCs w:val="20"/>
          <w:color w:val="auto"/>
        </w:rPr>
      </w:pPr>
    </w:p>
    <w:p>
      <w:pPr>
        <w:jc w:val="both"/>
        <w:ind w:left="840"/>
        <w:spacing w:after="0"/>
        <w:tabs>
          <w:tab w:leader="none" w:pos="2180" w:val="left"/>
        </w:tabs>
        <w:rPr>
          <w:sz w:val="20"/>
          <w:szCs w:val="20"/>
          <w:color w:val="auto"/>
        </w:rPr>
      </w:pPr>
      <w:r>
        <w:rPr>
          <w:rFonts w:ascii="Times New Roman" w:cs="Times New Roman" w:eastAsia="Times New Roman" w:hAnsi="Times New Roman"/>
          <w:sz w:val="18"/>
          <w:szCs w:val="18"/>
          <w:color w:val="auto"/>
        </w:rPr>
        <w:t>9,423</w:t>
      </w:r>
      <w:r>
        <w:rPr>
          <w:sz w:val="20"/>
          <w:szCs w:val="20"/>
          <w:color w:val="auto"/>
        </w:rPr>
        <w:tab/>
      </w:r>
      <w:r>
        <w:rPr>
          <w:rFonts w:ascii="Times New Roman" w:cs="Times New Roman" w:eastAsia="Times New Roman" w:hAnsi="Times New Roman"/>
          <w:sz w:val="18"/>
          <w:szCs w:val="18"/>
          <w:color w:val="auto"/>
        </w:rPr>
        <w:t>53,508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7056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11" w:lineRule="exact"/>
        <w:rPr>
          <w:sz w:val="20"/>
          <w:szCs w:val="20"/>
          <w:color w:val="auto"/>
        </w:rPr>
      </w:pPr>
    </w:p>
    <w:p>
      <w:pPr>
        <w:spacing w:after="0"/>
        <w:tabs>
          <w:tab w:leader="none" w:pos="640" w:val="left"/>
          <w:tab w:leader="none" w:pos="1440" w:val="left"/>
          <w:tab w:leader="none" w:pos="20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139,104</w:t>
        <w:tab/>
        <w:t>$</w:t>
      </w:r>
      <w:r>
        <w:rPr>
          <w:sz w:val="20"/>
          <w:szCs w:val="20"/>
          <w:color w:val="auto"/>
        </w:rPr>
        <w:tab/>
      </w:r>
      <w:r>
        <w:rPr>
          <w:rFonts w:ascii="Times New Roman" w:cs="Times New Roman" w:eastAsia="Times New Roman" w:hAnsi="Times New Roman"/>
          <w:sz w:val="18"/>
          <w:szCs w:val="18"/>
          <w:color w:val="auto"/>
        </w:rPr>
        <w:t>178,530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170561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05610" cy="254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720" w:space="720"/>
            <w:col w:w="2780"/>
          </w:cols>
          <w:pgMar w:left="320" w:top="225" w:right="359" w:bottom="1440" w:gutter="0" w:footer="0" w:header="0"/>
          <w:type w:val="continuous"/>
        </w:sectPr>
      </w:pPr>
    </w:p>
    <w:p>
      <w:pPr>
        <w:spacing w:after="0" w:line="66" w:lineRule="exact"/>
        <w:rPr>
          <w:sz w:val="20"/>
          <w:szCs w:val="20"/>
          <w:color w:val="auto"/>
        </w:rPr>
      </w:pPr>
    </w:p>
    <w:p>
      <w:pPr>
        <w:ind w:left="20" w:right="200"/>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2024, the Company’s incurred reported losses and loss adjustment expenses included $7,773 of net unfavorable development on prior accident years, primarily attributable to Direct Auto. During the six months ended June 30, 2023, the Company’s incurred reported losses and loss adjustment expenses included $9,477 of net unfavorable development on prior accident years, primarily attributable to Direct Auto and Westminster.</w:t>
      </w:r>
    </w:p>
    <w:p>
      <w:pPr>
        <w:spacing w:after="0" w:line="180"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Changes in unpaid losses and loss adjustment expense reserves are generally the result of ongoing analysis of recent loss development trends. As additional information becomes known regarding individual claims, original estimates are increased or decreased accordingly.</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type w:val="continuous"/>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99" w:lineRule="exact"/>
        <w:rPr>
          <w:sz w:val="20"/>
          <w:szCs w:val="20"/>
          <w:color w:val="auto"/>
        </w:rPr>
      </w:pPr>
    </w:p>
    <w:p>
      <w:pPr>
        <w:ind w:left="20" w:right="80"/>
        <w:spacing w:after="0" w:line="282" w:lineRule="auto"/>
        <w:rPr>
          <w:sz w:val="20"/>
          <w:szCs w:val="20"/>
          <w:color w:val="auto"/>
        </w:rPr>
      </w:pPr>
      <w:r>
        <w:rPr>
          <w:rFonts w:ascii="Times New Roman" w:cs="Times New Roman" w:eastAsia="Times New Roman" w:hAnsi="Times New Roman"/>
          <w:sz w:val="18"/>
          <w:szCs w:val="18"/>
          <w:color w:val="auto"/>
        </w:rPr>
        <w:t>The tables for current and prior year continuing and discontinued operations showing the liability for unpaid losses and loss adjustment expense are shown below:</w:t>
      </w:r>
    </w:p>
    <w:p>
      <w:pPr>
        <w:spacing w:after="0" w:line="171" w:lineRule="exact"/>
        <w:rPr>
          <w:sz w:val="20"/>
          <w:szCs w:val="20"/>
          <w:color w:val="auto"/>
        </w:rPr>
      </w:pPr>
    </w:p>
    <w:p>
      <w:pPr>
        <w:jc w:val="center"/>
        <w:ind w:left="83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19685</wp:posOffset>
            </wp:positionV>
            <wp:extent cx="17056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16" w:lineRule="exact"/>
        <w:rPr>
          <w:sz w:val="20"/>
          <w:szCs w:val="20"/>
          <w:color w:val="auto"/>
        </w:rPr>
      </w:pPr>
    </w:p>
    <w:p>
      <w:pPr>
        <w:ind w:left="8880"/>
        <w:spacing w:after="0"/>
        <w:tabs>
          <w:tab w:leader="none" w:pos="1032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Continuing operations: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7"/>
          <w:szCs w:val="17"/>
          <w:color w:val="auto"/>
        </w:rPr>
        <w:t>Liability for unpaid losses and loss adjustment expenses</w:t>
      </w:r>
    </w:p>
    <w:p>
      <w:pPr>
        <w:spacing w:after="0" w:line="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Reinsurance recoverables on losses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balance,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119,185</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114,296</w:t>
            </w:r>
          </w:p>
        </w:tc>
      </w:tr>
      <w:tr>
        <w:trPr>
          <w:trHeight w:val="234"/>
        </w:trPr>
        <w:tc>
          <w:tcPr>
            <w:tcW w:w="3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6,460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8,586</w:t>
            </w:r>
          </w:p>
        </w:tc>
      </w:tr>
      <w:tr>
        <w:trPr>
          <w:trHeight w:val="210"/>
        </w:trPr>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105,710</w:t>
            </w:r>
          </w:p>
        </w:tc>
      </w:tr>
    </w:tbl>
    <w:p>
      <w:pPr>
        <w:spacing w:after="0" w:line="200" w:lineRule="exact"/>
        <w:rPr>
          <w:sz w:val="20"/>
          <w:szCs w:val="20"/>
          <w:color w:val="auto"/>
        </w:rPr>
      </w:pPr>
    </w:p>
    <w:p>
      <w:pPr>
        <w:sectPr>
          <w:pgSz w:w="11900" w:h="16838" w:orient="portrait"/>
          <w:cols w:equalWidth="0" w:num="2">
            <w:col w:w="7720" w:space="720"/>
            <w:col w:w="2800"/>
          </w:cols>
          <w:pgMar w:left="320" w:top="225"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Incurred related to:</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year</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101,120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100,574</w:t>
            </w: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Prior years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8,382</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628</w:t>
            </w:r>
          </w:p>
        </w:tc>
      </w:tr>
      <w:tr>
        <w:trPr>
          <w:trHeight w:val="209"/>
        </w:trPr>
        <w:tc>
          <w:tcPr>
            <w:tcW w:w="84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incurred</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109,502</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101,202</w:t>
            </w:r>
          </w:p>
        </w:tc>
        <w:tc>
          <w:tcPr>
            <w:tcW w:w="100" w:type="dxa"/>
            <w:vAlign w:val="bottom"/>
            <w:tcBorders>
              <w:bottom w:val="single" w:sz="8" w:color="CCEEFF"/>
            </w:tcBorders>
          </w:tcPr>
          <w:p>
            <w:pPr>
              <w:spacing w:after="0"/>
              <w:rPr>
                <w:sz w:val="18"/>
                <w:szCs w:val="18"/>
                <w:color w:val="auto"/>
              </w:rPr>
            </w:pPr>
          </w:p>
        </w:tc>
      </w:tr>
      <w:tr>
        <w:trPr>
          <w:trHeight w:val="209"/>
        </w:trPr>
        <w:tc>
          <w:tcPr>
            <w:tcW w:w="8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Paid related to:</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year</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39,930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41,857</w:t>
            </w: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Prior years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43,193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38,468</w:t>
            </w:r>
          </w:p>
        </w:tc>
      </w:tr>
      <w:tr>
        <w:trPr>
          <w:trHeight w:val="210"/>
        </w:trPr>
        <w:tc>
          <w:tcPr>
            <w:tcW w:w="844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paid</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83,123</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80,325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ectPr>
          <w:pgSz w:w="11900" w:h="16838" w:orient="portrait"/>
          <w:cols w:equalWidth="0" w:num="1">
            <w:col w:w="11240"/>
          </w:cols>
          <w:pgMar w:left="320" w:top="22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Balance,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Liability for unpaid losses and loss adjustment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Reinsurance recoverables on losses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balance, end of period</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color w:val="auto"/>
        </w:rPr>
        <w:t>148,527</w:t>
      </w:r>
      <w:r>
        <w:rPr>
          <w:sz w:val="20"/>
          <w:szCs w:val="20"/>
          <w:color w:val="auto"/>
        </w:rPr>
        <w:tab/>
      </w:r>
      <w:r>
        <w:rPr>
          <w:rFonts w:ascii="Times New Roman" w:cs="Times New Roman" w:eastAsia="Times New Roman" w:hAnsi="Times New Roman"/>
          <w:sz w:val="18"/>
          <w:szCs w:val="18"/>
          <w:color w:val="auto"/>
        </w:rPr>
        <w:t>137,535</w:t>
      </w:r>
    </w:p>
    <w:p>
      <w:pPr>
        <w:spacing w:after="0" w:line="27" w:lineRule="exact"/>
        <w:rPr>
          <w:sz w:val="20"/>
          <w:szCs w:val="20"/>
          <w:color w:val="auto"/>
        </w:rPr>
      </w:pPr>
    </w:p>
    <w:p>
      <w:pPr>
        <w:jc w:val="both"/>
        <w:ind w:left="840"/>
        <w:spacing w:after="0"/>
        <w:tabs>
          <w:tab w:leader="none" w:pos="2180" w:val="left"/>
        </w:tabs>
        <w:rPr>
          <w:sz w:val="20"/>
          <w:szCs w:val="20"/>
          <w:color w:val="auto"/>
        </w:rPr>
      </w:pPr>
      <w:r>
        <w:rPr>
          <w:rFonts w:ascii="Times New Roman" w:cs="Times New Roman" w:eastAsia="Times New Roman" w:hAnsi="Times New Roman"/>
          <w:sz w:val="18"/>
          <w:szCs w:val="18"/>
          <w:color w:val="auto"/>
        </w:rPr>
        <w:t>9,423</w:t>
      </w:r>
      <w:r>
        <w:rPr>
          <w:sz w:val="20"/>
          <w:szCs w:val="20"/>
          <w:color w:val="auto"/>
        </w:rPr>
        <w:tab/>
      </w:r>
      <w:r>
        <w:rPr>
          <w:rFonts w:ascii="Times New Roman" w:cs="Times New Roman" w:eastAsia="Times New Roman" w:hAnsi="Times New Roman"/>
          <w:sz w:val="18"/>
          <w:szCs w:val="18"/>
          <w:color w:val="auto"/>
        </w:rPr>
        <w:t>10,948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7056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11" w:lineRule="exact"/>
        <w:rPr>
          <w:sz w:val="20"/>
          <w:szCs w:val="20"/>
          <w:color w:val="auto"/>
        </w:rPr>
      </w:pPr>
    </w:p>
    <w:p>
      <w:pPr>
        <w:spacing w:after="0"/>
        <w:tabs>
          <w:tab w:leader="none" w:pos="640" w:val="left"/>
          <w:tab w:leader="none" w:pos="1440" w:val="left"/>
          <w:tab w:leader="none" w:pos="20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139,104</w:t>
        <w:tab/>
        <w:t>$</w:t>
      </w:r>
      <w:r>
        <w:rPr>
          <w:sz w:val="20"/>
          <w:szCs w:val="20"/>
          <w:color w:val="auto"/>
        </w:rPr>
        <w:tab/>
      </w:r>
      <w:r>
        <w:rPr>
          <w:rFonts w:ascii="Times New Roman" w:cs="Times New Roman" w:eastAsia="Times New Roman" w:hAnsi="Times New Roman"/>
          <w:sz w:val="18"/>
          <w:szCs w:val="18"/>
          <w:color w:val="auto"/>
        </w:rPr>
        <w:t>126,587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170561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05610" cy="254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720" w:space="720"/>
            <w:col w:w="2800"/>
          </w:cols>
          <w:pgMar w:left="320" w:top="225" w:right="339" w:bottom="1440" w:gutter="0" w:footer="0" w:header="0"/>
          <w:type w:val="continuous"/>
        </w:sectPr>
      </w:pPr>
    </w:p>
    <w:p>
      <w:pPr>
        <w:spacing w:after="0" w:line="75" w:lineRule="exact"/>
        <w:rPr>
          <w:sz w:val="20"/>
          <w:szCs w:val="20"/>
          <w:color w:val="auto"/>
        </w:rPr>
      </w:pPr>
    </w:p>
    <w:p>
      <w:pPr>
        <w:jc w:val="center"/>
        <w:ind w:left="8320"/>
        <w:spacing w:after="0"/>
        <w:rPr>
          <w:sz w:val="20"/>
          <w:szCs w:val="20"/>
          <w:color w:val="auto"/>
        </w:rPr>
      </w:pPr>
      <w:r>
        <w:rPr>
          <w:rFonts w:ascii="Times New Roman" w:cs="Times New Roman" w:eastAsia="Times New Roman" w:hAnsi="Times New Roman"/>
          <w:sz w:val="17"/>
          <w:szCs w:val="17"/>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27305</wp:posOffset>
            </wp:positionV>
            <wp:extent cx="170561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28" w:lineRule="exact"/>
        <w:rPr>
          <w:sz w:val="20"/>
          <w:szCs w:val="20"/>
          <w:color w:val="auto"/>
        </w:rPr>
      </w:pPr>
    </w:p>
    <w:p>
      <w:pPr>
        <w:ind w:left="8880"/>
        <w:spacing w:after="0"/>
        <w:tabs>
          <w:tab w:leader="none" w:pos="1032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Discontinued operations: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7"/>
          <w:szCs w:val="17"/>
          <w:color w:val="auto"/>
        </w:rPr>
        <w:t>Liability for unpaid losses and loss adjustment expenses</w:t>
      </w:r>
    </w:p>
    <w:p>
      <w:pPr>
        <w:spacing w:after="0" w:line="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Reinsurance recoverables on losses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balance,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97,934</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76,163</w:t>
            </w:r>
          </w:p>
        </w:tc>
      </w:tr>
      <w:tr>
        <w:trPr>
          <w:trHeight w:val="234"/>
        </w:trPr>
        <w:tc>
          <w:tcPr>
            <w:tcW w:w="420" w:type="dxa"/>
            <w:vAlign w:val="bottom"/>
          </w:tcPr>
          <w:p>
            <w:pPr>
              <w:spacing w:after="0"/>
              <w:rPr>
                <w:sz w:val="20"/>
                <w:szCs w:val="20"/>
                <w:color w:val="auto"/>
              </w:rPr>
            </w:pPr>
          </w:p>
        </w:tc>
        <w:tc>
          <w:tcPr>
            <w:tcW w:w="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42,509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28,989</w:t>
            </w:r>
          </w:p>
        </w:tc>
      </w:tr>
      <w:tr>
        <w:trPr>
          <w:trHeight w:val="210"/>
        </w:trPr>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92"/>
              </w:rPr>
              <w:t>55,425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47,174</w:t>
            </w:r>
          </w:p>
        </w:tc>
      </w:tr>
    </w:tbl>
    <w:p>
      <w:pPr>
        <w:spacing w:after="0" w:line="200" w:lineRule="exact"/>
        <w:rPr>
          <w:sz w:val="20"/>
          <w:szCs w:val="20"/>
          <w:color w:val="auto"/>
        </w:rPr>
      </w:pPr>
    </w:p>
    <w:p>
      <w:pPr>
        <w:sectPr>
          <w:pgSz w:w="11900" w:h="16838" w:orient="portrait"/>
          <w:cols w:equalWidth="0" w:num="2">
            <w:col w:w="7720" w:space="720"/>
            <w:col w:w="2800"/>
          </w:cols>
          <w:pgMar w:left="320" w:top="225"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Incurred related to:</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year</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24,115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26,280</w:t>
            </w:r>
          </w:p>
        </w:tc>
      </w:tr>
      <w:tr>
        <w:trPr>
          <w:trHeight w:val="22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Prior years</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8,849</w:t>
            </w:r>
          </w:p>
        </w:tc>
      </w:tr>
      <w:tr>
        <w:trPr>
          <w:trHeight w:val="210"/>
        </w:trPr>
        <w:tc>
          <w:tcPr>
            <w:tcW w:w="84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incurred</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23,506</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35,129</w:t>
            </w:r>
          </w:p>
        </w:tc>
        <w:tc>
          <w:tcPr>
            <w:tcW w:w="100" w:type="dxa"/>
            <w:vAlign w:val="bottom"/>
            <w:tcBorders>
              <w:bottom w:val="single" w:sz="8" w:color="CCEEFF"/>
            </w:tcBorders>
          </w:tcPr>
          <w:p>
            <w:pPr>
              <w:spacing w:after="0"/>
              <w:rPr>
                <w:sz w:val="18"/>
                <w:szCs w:val="18"/>
                <w:color w:val="auto"/>
              </w:rPr>
            </w:pPr>
          </w:p>
        </w:tc>
      </w:tr>
      <w:tr>
        <w:trPr>
          <w:trHeight w:val="210"/>
        </w:trPr>
        <w:tc>
          <w:tcPr>
            <w:tcW w:w="8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Paid related to:</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year</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5,564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8,153</w:t>
            </w: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Prior years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11,179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22,207</w:t>
            </w:r>
          </w:p>
        </w:tc>
      </w:tr>
      <w:tr>
        <w:trPr>
          <w:trHeight w:val="210"/>
        </w:trPr>
        <w:tc>
          <w:tcPr>
            <w:tcW w:w="844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paid</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16,743</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ectPr>
          <w:pgSz w:w="11900" w:h="16838" w:orient="portrait"/>
          <w:cols w:equalWidth="0" w:num="1">
            <w:col w:w="11240"/>
          </w:cols>
          <w:pgMar w:left="320" w:top="22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Balance,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Liability for unpaid losses and loss adjustment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45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Reinsurance recoverables on losses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balance, end of period</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both"/>
        <w:ind w:left="660"/>
        <w:spacing w:after="0"/>
        <w:tabs>
          <w:tab w:leader="none" w:pos="2180" w:val="left"/>
        </w:tabs>
        <w:rPr>
          <w:sz w:val="20"/>
          <w:szCs w:val="20"/>
          <w:color w:val="auto"/>
        </w:rPr>
      </w:pPr>
      <w:r>
        <w:rPr>
          <w:rFonts w:ascii="Times New Roman" w:cs="Times New Roman" w:eastAsia="Times New Roman" w:hAnsi="Times New Roman"/>
          <w:sz w:val="18"/>
          <w:szCs w:val="18"/>
          <w:color w:val="auto"/>
        </w:rPr>
        <w:t>107,508</w:t>
      </w:r>
      <w:r>
        <w:rPr>
          <w:sz w:val="20"/>
          <w:szCs w:val="20"/>
          <w:color w:val="auto"/>
        </w:rPr>
        <w:tab/>
      </w:r>
      <w:r>
        <w:rPr>
          <w:rFonts w:ascii="Times New Roman" w:cs="Times New Roman" w:eastAsia="Times New Roman" w:hAnsi="Times New Roman"/>
          <w:sz w:val="18"/>
          <w:szCs w:val="18"/>
          <w:color w:val="auto"/>
        </w:rPr>
        <w:t>94,503</w:t>
      </w:r>
    </w:p>
    <w:p>
      <w:pPr>
        <w:spacing w:after="0" w:line="27" w:lineRule="exact"/>
        <w:rPr>
          <w:sz w:val="20"/>
          <w:szCs w:val="20"/>
          <w:color w:val="auto"/>
        </w:rPr>
      </w:pPr>
    </w:p>
    <w:p>
      <w:pPr>
        <w:jc w:val="both"/>
        <w:ind w:left="760"/>
        <w:spacing w:after="0"/>
        <w:tabs>
          <w:tab w:leader="none" w:pos="2180" w:val="left"/>
        </w:tabs>
        <w:rPr>
          <w:sz w:val="20"/>
          <w:szCs w:val="20"/>
          <w:color w:val="auto"/>
        </w:rPr>
      </w:pPr>
      <w:r>
        <w:rPr>
          <w:rFonts w:ascii="Times New Roman" w:cs="Times New Roman" w:eastAsia="Times New Roman" w:hAnsi="Times New Roman"/>
          <w:sz w:val="18"/>
          <w:szCs w:val="18"/>
          <w:color w:val="auto"/>
        </w:rPr>
        <w:t>45,320</w:t>
      </w:r>
      <w:r>
        <w:rPr>
          <w:sz w:val="20"/>
          <w:szCs w:val="20"/>
          <w:color w:val="auto"/>
        </w:rPr>
        <w:tab/>
      </w:r>
      <w:r>
        <w:rPr>
          <w:rFonts w:ascii="Times New Roman" w:cs="Times New Roman" w:eastAsia="Times New Roman" w:hAnsi="Times New Roman"/>
          <w:sz w:val="18"/>
          <w:szCs w:val="18"/>
          <w:color w:val="auto"/>
        </w:rPr>
        <w:t>42,560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70561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spacing w:after="0" w:line="11" w:lineRule="exact"/>
        <w:rPr>
          <w:sz w:val="20"/>
          <w:szCs w:val="20"/>
          <w:color w:val="auto"/>
        </w:rPr>
      </w:pPr>
    </w:p>
    <w:p>
      <w:pPr>
        <w:spacing w:after="0"/>
        <w:tabs>
          <w:tab w:leader="none" w:pos="740" w:val="left"/>
          <w:tab w:leader="none" w:pos="1440" w:val="left"/>
          <w:tab w:leader="none" w:pos="21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62,188</w:t>
        <w:tab/>
        <w:t>$</w:t>
      </w:r>
      <w:r>
        <w:rPr>
          <w:sz w:val="20"/>
          <w:szCs w:val="20"/>
          <w:color w:val="auto"/>
        </w:rPr>
        <w:tab/>
      </w:r>
      <w:r>
        <w:rPr>
          <w:rFonts w:ascii="Times New Roman" w:cs="Times New Roman" w:eastAsia="Times New Roman" w:hAnsi="Times New Roman"/>
          <w:sz w:val="18"/>
          <w:szCs w:val="18"/>
          <w:color w:val="auto"/>
        </w:rPr>
        <w:t>51,943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170561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05610" cy="254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720" w:space="720"/>
            <w:col w:w="2800"/>
          </w:cols>
          <w:pgMar w:left="320" w:top="225" w:right="339" w:bottom="1440" w:gutter="0" w:footer="0" w:header="0"/>
          <w:type w:val="continuous"/>
        </w:sectPr>
      </w:pP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95" w:lineRule="exact"/>
        <w:rPr>
          <w:sz w:val="20"/>
          <w:szCs w:val="20"/>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presented on a consolidated basis, including both continuing and discontinued operations,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33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December 31, 2023  Estimated Useful Life</w:t>
            </w:r>
          </w:p>
        </w:tc>
      </w:tr>
      <w:tr>
        <w:trPr>
          <w:trHeight w:val="209"/>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18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16"/>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Land</w:t>
            </w:r>
          </w:p>
        </w:tc>
        <w:tc>
          <w:tcPr>
            <w:tcW w:w="2180" w:type="dxa"/>
            <w:vAlign w:val="bottom"/>
            <w:gridSpan w:val="2"/>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1,249</w:t>
            </w:r>
          </w:p>
        </w:tc>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200" w:type="dxa"/>
            <w:vAlign w:val="bottom"/>
          </w:tcPr>
          <w:p>
            <w:pPr>
              <w:spacing w:after="0"/>
              <w:rPr>
                <w:sz w:val="18"/>
                <w:szCs w:val="18"/>
                <w:color w:val="auto"/>
              </w:rPr>
            </w:pPr>
          </w:p>
        </w:tc>
        <w:tc>
          <w:tcPr>
            <w:tcW w:w="16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indefinite</w:t>
            </w:r>
          </w:p>
        </w:tc>
      </w:tr>
      <w:tr>
        <w:trPr>
          <w:trHeight w:val="216"/>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1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12,259</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14,538</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43 years</w:t>
            </w:r>
          </w:p>
        </w:tc>
      </w:tr>
      <w:tr>
        <w:trPr>
          <w:trHeight w:val="216"/>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Electronic data processing equipment</w:t>
            </w:r>
          </w:p>
        </w:tc>
        <w:tc>
          <w:tcPr>
            <w:tcW w:w="1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1,441</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 years</w:t>
            </w:r>
          </w:p>
        </w:tc>
      </w:tr>
      <w:tr>
        <w:trPr>
          <w:trHeight w:val="216"/>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Furniture and fixtures</w:t>
            </w:r>
          </w:p>
        </w:tc>
        <w:tc>
          <w:tcPr>
            <w:tcW w:w="1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2,733</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 years</w:t>
            </w:r>
          </w:p>
        </w:tc>
      </w:tr>
      <w:tr>
        <w:trPr>
          <w:trHeight w:val="229"/>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Automobiles</w:t>
            </w:r>
          </w:p>
        </w:tc>
        <w:tc>
          <w:tcPr>
            <w:tcW w:w="1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1,265</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3 years</w:t>
            </w:r>
          </w:p>
        </w:tc>
      </w:tr>
      <w:tr>
        <w:trPr>
          <w:trHeight w:val="210"/>
        </w:trPr>
        <w:tc>
          <w:tcPr>
            <w:tcW w:w="4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cost</w:t>
            </w:r>
          </w:p>
        </w:tc>
        <w:tc>
          <w:tcPr>
            <w:tcW w:w="18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21,654</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r>
      <w:tr>
        <w:trPr>
          <w:trHeight w:val="216"/>
        </w:trPr>
        <w:tc>
          <w:tcPr>
            <w:tcW w:w="46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(11,361)</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(11,757)</w:t>
            </w: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3"/>
        </w:trPr>
        <w:tc>
          <w:tcPr>
            <w:tcW w:w="4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8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9,897</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Depreciation expense was $187 and $188 for the three months ended June 30, 2024 and 2023, respectively, and $430 and $370 for the six months ended June 30, 2024 and 2023, respectively. Depreciation expense for continuing operations was $187 and $156 for the three months ended June 30, 2024 and 2023, respectively, and $341 and $309 for the six months ended June 30, 2024 and 2023, respectively. The depreciation expense for discontinued operations for the three months ended June 30, 2024, was $0 due to the impact of an asset transfer from Westminster to Nodak Insurance during the quarter.</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for current and prior year continuing and discontinued operations consisted of the following:</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9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10"/>
        </w:trPr>
        <w:tc>
          <w:tcPr>
            <w:tcW w:w="9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6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18,947</w:t>
            </w:r>
          </w:p>
        </w:tc>
      </w:tr>
      <w:tr>
        <w:trPr>
          <w:trHeight w:val="230"/>
        </w:trPr>
        <w:tc>
          <w:tcPr>
            <w:tcW w:w="9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cost</w:t>
            </w:r>
          </w:p>
        </w:tc>
        <w:tc>
          <w:tcPr>
            <w:tcW w:w="6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18,947</w:t>
            </w:r>
          </w:p>
        </w:tc>
        <w:tc>
          <w:tcPr>
            <w:tcW w:w="100" w:type="dxa"/>
            <w:vAlign w:val="bottom"/>
          </w:tcPr>
          <w:p>
            <w:pPr>
              <w:spacing w:after="0"/>
              <w:rPr>
                <w:sz w:val="18"/>
                <w:szCs w:val="18"/>
                <w:color w:val="auto"/>
              </w:rPr>
            </w:pPr>
          </w:p>
        </w:tc>
      </w:tr>
      <w:tr>
        <w:trPr>
          <w:trHeight w:val="216"/>
        </w:trPr>
        <w:tc>
          <w:tcPr>
            <w:tcW w:w="9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(11,361)</w:t>
            </w:r>
          </w:p>
        </w:tc>
      </w:tr>
      <w:tr>
        <w:trPr>
          <w:trHeight w:val="230"/>
        </w:trPr>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90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accumulated depreciation</w:t>
            </w:r>
          </w:p>
        </w:tc>
        <w:tc>
          <w:tcPr>
            <w:tcW w:w="6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9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7,586</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40" w:type="dxa"/>
            <w:vAlign w:val="bottom"/>
          </w:tcPr>
          <w:p>
            <w:pPr>
              <w:spacing w:after="0"/>
              <w:rPr>
                <w:sz w:val="20"/>
                <w:szCs w:val="20"/>
                <w:color w:val="auto"/>
              </w:rPr>
            </w:pPr>
          </w:p>
        </w:tc>
        <w:tc>
          <w:tcPr>
            <w:tcW w:w="5000" w:type="dxa"/>
            <w:vAlign w:val="bottom"/>
            <w:gridSpan w:val="4"/>
          </w:tcPr>
          <w:p>
            <w:pPr>
              <w:ind w:left="344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0"/>
        </w:trPr>
        <w:tc>
          <w:tcPr>
            <w:tcW w:w="6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3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3940" w:type="dxa"/>
            <w:vAlign w:val="bottom"/>
            <w:gridSpan w:val="2"/>
          </w:tcPr>
          <w:p>
            <w:pPr>
              <w:ind w:left="34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18,756</w:t>
            </w:r>
          </w:p>
        </w:tc>
      </w:tr>
      <w:tr>
        <w:trPr>
          <w:trHeight w:val="229"/>
        </w:trPr>
        <w:tc>
          <w:tcPr>
            <w:tcW w:w="6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34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2,898</w:t>
            </w:r>
          </w:p>
        </w:tc>
      </w:tr>
      <w:tr>
        <w:trPr>
          <w:trHeight w:val="210"/>
        </w:trPr>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cost</w:t>
            </w:r>
          </w:p>
        </w:tc>
        <w:tc>
          <w:tcPr>
            <w:tcW w:w="344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21,654</w:t>
            </w:r>
          </w:p>
        </w:tc>
        <w:tc>
          <w:tcPr>
            <w:tcW w:w="10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3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3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(11,304)</w:t>
            </w:r>
          </w:p>
        </w:tc>
      </w:tr>
      <w:tr>
        <w:trPr>
          <w:trHeight w:val="230"/>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3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(453)</w:t>
            </w:r>
          </w:p>
        </w:tc>
      </w:tr>
      <w:tr>
        <w:trPr>
          <w:trHeight w:val="210"/>
        </w:trPr>
        <w:tc>
          <w:tcPr>
            <w:tcW w:w="62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accumulated depreciation</w:t>
            </w:r>
          </w:p>
        </w:tc>
        <w:tc>
          <w:tcPr>
            <w:tcW w:w="3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940" w:type="dxa"/>
            <w:vAlign w:val="bottom"/>
            <w:gridSpan w:val="2"/>
            <w:shd w:val="clear" w:color="auto" w:fill="CCEEFF"/>
          </w:tcPr>
          <w:p>
            <w:pPr>
              <w:ind w:left="34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9,897</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95" w:lineRule="exact"/>
        <w:rPr>
          <w:sz w:val="20"/>
          <w:szCs w:val="20"/>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following table presents, on a consolidated basis, including both continuing and discontinued operations, the carrying amount of the Company’s goodwill and related impairment by segment: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00" w:type="dxa"/>
            <w:vAlign w:val="bottom"/>
            <w:gridSpan w:val="10"/>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220" w:type="dxa"/>
            <w:vAlign w:val="bottom"/>
          </w:tcPr>
          <w:p>
            <w:pPr>
              <w:spacing w:after="0"/>
              <w:rPr>
                <w:sz w:val="20"/>
                <w:szCs w:val="20"/>
                <w:color w:val="auto"/>
              </w:rPr>
            </w:pPr>
          </w:p>
        </w:tc>
        <w:tc>
          <w:tcPr>
            <w:tcW w:w="3400" w:type="dxa"/>
            <w:vAlign w:val="bottom"/>
            <w:gridSpan w:val="10"/>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r>
      <w:tr>
        <w:trPr>
          <w:trHeight w:val="187"/>
        </w:trPr>
        <w:tc>
          <w:tcPr>
            <w:tcW w:w="3740" w:type="dxa"/>
            <w:vAlign w:val="bottom"/>
          </w:tcPr>
          <w:p>
            <w:pPr>
              <w:spacing w:after="0"/>
              <w:rPr>
                <w:sz w:val="16"/>
                <w:szCs w:val="16"/>
                <w:color w:val="auto"/>
              </w:rPr>
            </w:pPr>
          </w:p>
        </w:tc>
        <w:tc>
          <w:tcPr>
            <w:tcW w:w="1200" w:type="dxa"/>
            <w:vAlign w:val="bottom"/>
            <w:tcBorders>
              <w:top w:val="single" w:sz="8" w:color="auto"/>
            </w:tcBorders>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Non-Standard</w:t>
            </w: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Borders>
              <w:top w:val="single" w:sz="8" w:color="auto"/>
            </w:tcBorders>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Non-Standard</w:t>
            </w: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38"/>
        </w:trPr>
        <w:tc>
          <w:tcPr>
            <w:tcW w:w="3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Auto</w:t>
            </w:r>
          </w:p>
        </w:tc>
        <w:tc>
          <w:tcPr>
            <w:tcW w:w="100" w:type="dxa"/>
            <w:vAlign w:val="bottom"/>
          </w:tcPr>
          <w:p>
            <w:pPr>
              <w:spacing w:after="0"/>
              <w:rPr>
                <w:sz w:val="20"/>
                <w:szCs w:val="20"/>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Auto</w:t>
            </w:r>
          </w:p>
        </w:tc>
        <w:tc>
          <w:tcPr>
            <w:tcW w:w="100" w:type="dxa"/>
            <w:vAlign w:val="bottom"/>
          </w:tcPr>
          <w:p>
            <w:pPr>
              <w:spacing w:after="0"/>
              <w:rPr>
                <w:sz w:val="20"/>
                <w:szCs w:val="20"/>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original recorded value</w:t>
            </w: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9,384</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9,384</w:t>
            </w:r>
          </w:p>
        </w:tc>
        <w:tc>
          <w:tcPr>
            <w:tcW w:w="120" w:type="dxa"/>
            <w:vAlign w:val="bottom"/>
            <w:tcBorders>
              <w:top w:val="single" w:sz="8" w:color="CCEEFF"/>
            </w:tcBorders>
            <w:shd w:val="clear" w:color="auto" w:fill="CCEEFF"/>
          </w:tcPr>
          <w:p>
            <w:pPr>
              <w:spacing w:after="0"/>
              <w:rPr>
                <w:sz w:val="18"/>
                <w:szCs w:val="18"/>
                <w:color w:val="auto"/>
              </w:rPr>
            </w:pPr>
          </w:p>
        </w:tc>
      </w:tr>
      <w:tr>
        <w:trPr>
          <w:trHeight w:val="198"/>
        </w:trPr>
        <w:tc>
          <w:tcPr>
            <w:tcW w:w="3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Accumulated impairment losses at the beginning</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48"/>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of the period</w:t>
            </w:r>
          </w:p>
        </w:tc>
        <w:tc>
          <w:tcPr>
            <w:tcW w:w="22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(6,756)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(6,756)</w:t>
            </w:r>
          </w:p>
        </w:tc>
        <w:tc>
          <w:tcPr>
            <w:tcW w:w="22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beginning of period</w:t>
            </w: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9,384</w:t>
            </w:r>
          </w:p>
        </w:tc>
        <w:tc>
          <w:tcPr>
            <w:tcW w:w="120" w:type="dxa"/>
            <w:vAlign w:val="bottom"/>
            <w:tcBorders>
              <w:top w:val="single" w:sz="8" w:color="CCEEFF"/>
            </w:tcBorders>
            <w:shd w:val="clear" w:color="auto" w:fill="CCEEFF"/>
          </w:tcPr>
          <w:p>
            <w:pPr>
              <w:spacing w:after="0"/>
              <w:rPr>
                <w:sz w:val="18"/>
                <w:szCs w:val="18"/>
                <w:color w:val="auto"/>
              </w:rPr>
            </w:pP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Impairment recognized during the period</w:t>
            </w:r>
          </w:p>
        </w:tc>
        <w:tc>
          <w:tcPr>
            <w:tcW w:w="2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(6,756)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(6,756)</w:t>
            </w:r>
          </w:p>
        </w:tc>
      </w:tr>
      <w:tr>
        <w:trPr>
          <w:trHeight w:val="223"/>
        </w:trPr>
        <w:tc>
          <w:tcPr>
            <w:tcW w:w="3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end of period</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180"/>
        <w:spacing w:after="0" w:line="282" w:lineRule="auto"/>
        <w:rPr>
          <w:sz w:val="20"/>
          <w:szCs w:val="20"/>
          <w:color w:val="auto"/>
        </w:rPr>
      </w:pPr>
      <w:r>
        <w:rPr>
          <w:rFonts w:ascii="Times New Roman" w:cs="Times New Roman" w:eastAsia="Times New Roman" w:hAnsi="Times New Roman"/>
          <w:sz w:val="18"/>
          <w:szCs w:val="18"/>
          <w:color w:val="auto"/>
        </w:rPr>
        <w:t>Based on the qualitative analyses performed for the goodwill related to our Non-Standard Auto segment, we concluded that goodwill was not impaired as of June 30, 2024, or December 31, 2023.</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During the fourth quarter of 2023, we performed a quantitative assessment of the goodwill related to the Westminster acquisition, which was allocated to our Commercial segment, and concluded that the goodwill was fully impaired as of December 31, 2023, resulting in a non-cash impairment charge of $6,756. See the Part II, Item 8, Note 10 “Goodwill and Other Intangibles” section of the 2023 Annual Report for additional information.</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presents on a consolidated basis, including both continuing and discontinued operations, the carrying amount of the Company’s other intangible assets: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Gross Carrying</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Amortization</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10"/>
        </w:trPr>
        <w:tc>
          <w:tcPr>
            <w:tcW w:w="6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Subject to amortization:</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names</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248</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 network</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subject to amortization</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subject to amortization: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 insurance licenses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68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Gross Carrying</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Amortization</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10"/>
        </w:trPr>
        <w:tc>
          <w:tcPr>
            <w:tcW w:w="3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Subject to amortization:</w:t>
            </w:r>
          </w:p>
        </w:tc>
        <w:tc>
          <w:tcPr>
            <w:tcW w:w="2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names</w:t>
            </w:r>
          </w:p>
        </w:tc>
        <w:tc>
          <w:tcPr>
            <w:tcW w:w="3220" w:type="dxa"/>
            <w:vAlign w:val="bottom"/>
            <w:gridSpan w:val="3"/>
          </w:tcPr>
          <w:p>
            <w:pPr>
              <w:ind w:left="30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448</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 network</w:t>
            </w:r>
          </w:p>
        </w:tc>
        <w:tc>
          <w:tcPr>
            <w:tcW w:w="2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6,700</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5,211</w:t>
            </w:r>
          </w:p>
        </w:tc>
        <w:tc>
          <w:tcPr>
            <w:tcW w:w="0" w:type="dxa"/>
            <w:vAlign w:val="bottom"/>
          </w:tcPr>
          <w:p>
            <w:pPr>
              <w:spacing w:after="0"/>
              <w:rPr>
                <w:sz w:val="1"/>
                <w:szCs w:val="1"/>
                <w:color w:val="auto"/>
              </w:rPr>
            </w:pPr>
          </w:p>
        </w:tc>
      </w:tr>
      <w:tr>
        <w:trPr>
          <w:trHeight w:val="210"/>
        </w:trPr>
        <w:tc>
          <w:tcPr>
            <w:tcW w:w="3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subject to amortization</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7,448</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subject to amortization:</w:t>
            </w: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 insurance licenses</w:t>
            </w:r>
          </w:p>
        </w:tc>
        <w:tc>
          <w:tcPr>
            <w:tcW w:w="2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1,900</w:t>
            </w:r>
          </w:p>
        </w:tc>
        <w:tc>
          <w:tcPr>
            <w:tcW w:w="0" w:type="dxa"/>
            <w:vAlign w:val="bottom"/>
          </w:tcPr>
          <w:p>
            <w:pPr>
              <w:spacing w:after="0"/>
              <w:rPr>
                <w:sz w:val="1"/>
                <w:szCs w:val="1"/>
                <w:color w:val="auto"/>
              </w:rPr>
            </w:pPr>
          </w:p>
        </w:tc>
      </w:tr>
      <w:tr>
        <w:trPr>
          <w:trHeight w:val="223"/>
        </w:trPr>
        <w:tc>
          <w:tcPr>
            <w:tcW w:w="39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9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900" w:type="dxa"/>
            <w:vAlign w:val="bottom"/>
            <w:vMerge w:val="restart"/>
          </w:tcPr>
          <w:p>
            <w:pPr>
              <w:jc w:val="right"/>
              <w:ind w:right="107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39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 presents the current and prior year continuing and discontinued carrying amounts of the Company’s other intangible assets: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Gross Carrying</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Amortization</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10"/>
        </w:trPr>
        <w:tc>
          <w:tcPr>
            <w:tcW w:w="6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Subject to amortization:</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248</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subject to amortization</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Not subject to amortization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8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Gross Carrying</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Amortization</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10"/>
        </w:trPr>
        <w:tc>
          <w:tcPr>
            <w:tcW w:w="6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Subject to amortization:</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248</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7,200</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5,511</w:t>
            </w:r>
          </w:p>
        </w:tc>
      </w:tr>
      <w:tr>
        <w:trPr>
          <w:trHeight w:val="210"/>
        </w:trPr>
        <w:tc>
          <w:tcPr>
            <w:tcW w:w="6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subject to amortization</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7,448</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5,511</w:t>
            </w: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Not subject to amortization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1,800</w:t>
            </w:r>
          </w:p>
        </w:tc>
      </w:tr>
      <w:tr>
        <w:trPr>
          <w:trHeight w:val="223"/>
        </w:trPr>
        <w:tc>
          <w:tcPr>
            <w:tcW w:w="68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 w:right="200"/>
        <w:spacing w:after="0" w:line="282" w:lineRule="auto"/>
        <w:rPr>
          <w:sz w:val="20"/>
          <w:szCs w:val="20"/>
          <w:color w:val="auto"/>
        </w:rPr>
      </w:pPr>
      <w:r>
        <w:rPr>
          <w:rFonts w:ascii="Times New Roman" w:cs="Times New Roman" w:eastAsia="Times New Roman" w:hAnsi="Times New Roman"/>
          <w:sz w:val="18"/>
          <w:szCs w:val="18"/>
          <w:color w:val="auto"/>
        </w:rPr>
        <w:t>We determined during our reviews that other indefinite-lived intangible assets and finite-lived intangible assets were not impaired as of June 30, 2024, or December 31, 2023.</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Amortization expense was $105 and $118 for the three months ended June 30, 2024 and 2023, respectively, and $211 and $236 for the six months ended June 30, 2024 and 2023, respectively. Amortization expense for continuing operations was $0 and $12 for the three months ended June 30, 2024 and 2023, respectively, and $0 and $25 for the six months ended June 30, 2024 and 2023, respectively.</w:t>
      </w:r>
    </w:p>
    <w:p>
      <w:pPr>
        <w:spacing w:after="0" w:line="200" w:lineRule="exact"/>
        <w:rPr>
          <w:sz w:val="20"/>
          <w:szCs w:val="20"/>
          <w:color w:val="auto"/>
        </w:rPr>
      </w:pP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95" w:lineRule="exact"/>
        <w:rPr>
          <w:sz w:val="20"/>
          <w:szCs w:val="20"/>
          <w:color w:val="auto"/>
        </w:rPr>
      </w:pPr>
    </w:p>
    <w:p>
      <w:pPr>
        <w:ind w:left="540" w:hanging="532"/>
        <w:spacing w:after="0"/>
        <w:tabs>
          <w:tab w:leader="none" w:pos="5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Royalties, Dividends, and Affiliations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North Dakota Farm Bureau</w:t>
      </w:r>
    </w:p>
    <w:p>
      <w:pPr>
        <w:spacing w:after="0" w:line="229" w:lineRule="exact"/>
        <w:rPr>
          <w:sz w:val="20"/>
          <w:szCs w:val="20"/>
          <w:color w:val="auto"/>
        </w:rPr>
      </w:pPr>
    </w:p>
    <w:p>
      <w:pPr>
        <w:ind w:left="20" w:right="20"/>
        <w:spacing w:after="0" w:line="258" w:lineRule="auto"/>
        <w:rPr>
          <w:sz w:val="20"/>
          <w:szCs w:val="20"/>
          <w:color w:val="auto"/>
        </w:rPr>
      </w:pPr>
      <w:r>
        <w:rPr>
          <w:rFonts w:ascii="Times New Roman" w:cs="Times New Roman" w:eastAsia="Times New Roman" w:hAnsi="Times New Roman"/>
          <w:sz w:val="18"/>
          <w:szCs w:val="18"/>
          <w:color w:val="auto"/>
        </w:rPr>
        <w:t>Nodak Insurance was organized by the North Dakota Farm Bureau (“NDFB”) to provide insurance protection for its members. We have a royalty agreement with the NDFB that recognizes the use of their trademark and provides royalties to the NDFB based on the premiums written on Nodak Insurance’s policies. Royalties paid to the NDFB were $480 and $442 during the three months ended June 30, 2024 and 2023, respectively, and $883 and $799 for the six months ended June 30, 2024 and 2023, respectively. Royalty amounts payable of $175 and $131 were accrued as a liability to the NDFB at June 30, 2024, and December 31, 2023,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left="20" w:right="20"/>
        <w:spacing w:after="0" w:line="256" w:lineRule="auto"/>
        <w:rPr>
          <w:sz w:val="20"/>
          <w:szCs w:val="20"/>
          <w:color w:val="auto"/>
        </w:rPr>
      </w:pPr>
      <w:r>
        <w:rPr>
          <w:rFonts w:ascii="Times New Roman" w:cs="Times New Roman" w:eastAsia="Times New Roman" w:hAnsi="Times New Roman"/>
          <w:sz w:val="18"/>
          <w:szCs w:val="18"/>
          <w:color w:val="auto"/>
        </w:rPr>
        <w:t>State insurance laws require our insurance subsidiaries to maintain certain minimum capital and surplus amounts on a statutory basis. Our insurance subsidiaries are subject to regulations that restrict the payment of dividends from statutory surplus and may require prior approval from their domiciliary insurance regulatory authorities. Our insurance subsidiaries are also subject to risk-based capital requirements that may further affect their ability to pay dividends. Our insurance subsidiaries statutory capital and surplus at December 31, 2023, exceeded the amount of statutory capital and surplus necessary to satisfy risk-based capital requirements by a significant margin. For information regarding the availability of subsidiaries to pay dividends to NI Holdings during 2024, see Item II, Part 8, Note 12 “Related Party Transactions” section of the 2023 Annual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Battle Creek</w:t>
      </w:r>
    </w:p>
    <w:p>
      <w:pPr>
        <w:spacing w:after="0" w:line="229" w:lineRule="exact"/>
        <w:rPr>
          <w:sz w:val="20"/>
          <w:szCs w:val="20"/>
          <w:color w:val="auto"/>
        </w:rPr>
      </w:pPr>
    </w:p>
    <w:p>
      <w:pPr>
        <w:ind w:left="20" w:right="120"/>
        <w:spacing w:after="0" w:line="261" w:lineRule="auto"/>
        <w:rPr>
          <w:sz w:val="20"/>
          <w:szCs w:val="20"/>
          <w:color w:val="auto"/>
        </w:rPr>
      </w:pPr>
      <w:r>
        <w:rPr>
          <w:rFonts w:ascii="Times New Roman" w:cs="Times New Roman" w:eastAsia="Times New Roman" w:hAnsi="Times New Roman"/>
          <w:sz w:val="18"/>
          <w:szCs w:val="18"/>
          <w:color w:val="auto"/>
        </w:rPr>
        <w:t>Prior to January 2, 2024, we consolidated the financial statements of Battle Creek, and Battle Creek’s policyholders’ interest in Battle Creek was reflected as a non-controlling interest in shareholders’ equity in our Consolidated Balance Sheets. Subsequent to January 2, 2024, Battle Creek is fully consolidated in our Consolidated Balance Sheets. The following table discloses the standalone balance sheet of Battle Creek, prior to intercompany eliminations, to illustrate the impact of including Battle Creek in our December 31, 2023, Consolidated Balance Sheet prior to demutualization: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40" w:type="dxa"/>
            <w:vAlign w:val="bottom"/>
          </w:tcPr>
          <w:p>
            <w:pPr>
              <w:spacing w:after="0"/>
              <w:rPr>
                <w:sz w:val="20"/>
                <w:szCs w:val="20"/>
                <w:color w:val="auto"/>
              </w:rPr>
            </w:pPr>
          </w:p>
        </w:tc>
        <w:tc>
          <w:tcPr>
            <w:tcW w:w="4800" w:type="dxa"/>
            <w:vAlign w:val="bottom"/>
            <w:gridSpan w:val="4"/>
          </w:tcPr>
          <w:p>
            <w:pPr>
              <w:ind w:left="324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9"/>
        </w:trPr>
        <w:tc>
          <w:tcPr>
            <w:tcW w:w="6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32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760" w:type="dxa"/>
            <w:vAlign w:val="bottom"/>
            <w:gridSpan w:val="2"/>
          </w:tcPr>
          <w:p>
            <w:pPr>
              <w:ind w:left="3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2,621</w:t>
            </w:r>
          </w:p>
        </w:tc>
      </w:tr>
      <w:tr>
        <w:trPr>
          <w:trHeight w:val="216"/>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3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15,394</w:t>
            </w:r>
          </w:p>
        </w:tc>
      </w:tr>
      <w:tr>
        <w:trPr>
          <w:trHeight w:val="216"/>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Premiums and agents’ balances receivable</w:t>
            </w:r>
          </w:p>
        </w:tc>
        <w:tc>
          <w:tcPr>
            <w:tcW w:w="3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5,953</w:t>
            </w:r>
          </w:p>
        </w:tc>
      </w:tr>
      <w:tr>
        <w:trPr>
          <w:trHeight w:val="216"/>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3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682</w:t>
            </w:r>
          </w:p>
        </w:tc>
      </w:tr>
      <w:tr>
        <w:trPr>
          <w:trHeight w:val="256"/>
        </w:trPr>
        <w:tc>
          <w:tcPr>
            <w:tcW w:w="6440" w:type="dxa"/>
            <w:vAlign w:val="bottom"/>
          </w:tcPr>
          <w:p>
            <w:pPr>
              <w:ind w:left="140"/>
              <w:spacing w:after="0" w:line="256" w:lineRule="exact"/>
              <w:rPr>
                <w:sz w:val="20"/>
                <w:szCs w:val="20"/>
                <w:color w:val="auto"/>
              </w:rPr>
            </w:pPr>
            <w:r>
              <w:rPr>
                <w:rFonts w:ascii="Times New Roman" w:cs="Times New Roman" w:eastAsia="Times New Roman" w:hAnsi="Times New Roman"/>
                <w:sz w:val="18"/>
                <w:szCs w:val="18"/>
                <w:color w:val="auto"/>
              </w:rPr>
              <w:t xml:space="preserve">Reinsurance recoverables on losses </w:t>
            </w:r>
            <w:r>
              <w:rPr>
                <w:rFonts w:ascii="Times New Roman" w:cs="Times New Roman" w:eastAsia="Times New Roman" w:hAnsi="Times New Roman"/>
                <w:sz w:val="29"/>
                <w:szCs w:val="29"/>
                <w:color w:val="auto"/>
                <w:vertAlign w:val="superscript"/>
              </w:rPr>
              <w:t>(2)</w:t>
            </w:r>
          </w:p>
        </w:tc>
        <w:tc>
          <w:tcPr>
            <w:tcW w:w="3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6,918</w:t>
            </w:r>
          </w:p>
        </w:tc>
      </w:tr>
      <w:tr>
        <w:trPr>
          <w:trHeight w:val="216"/>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3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recoverable</w:t>
            </w:r>
          </w:p>
        </w:tc>
        <w:tc>
          <w:tcPr>
            <w:tcW w:w="3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3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706</w:t>
            </w:r>
          </w:p>
        </w:tc>
      </w:tr>
      <w:tr>
        <w:trPr>
          <w:trHeight w:val="216"/>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w:t>
            </w:r>
          </w:p>
        </w:tc>
        <w:tc>
          <w:tcPr>
            <w:tcW w:w="3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w:t>
            </w:r>
          </w:p>
        </w:tc>
      </w:tr>
      <w:tr>
        <w:trPr>
          <w:trHeight w:val="230"/>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3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r>
      <w:tr>
        <w:trPr>
          <w:trHeight w:val="263"/>
        </w:trPr>
        <w:tc>
          <w:tcPr>
            <w:tcW w:w="64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3240" w:type="dxa"/>
            <w:vAlign w:val="bottom"/>
            <w:tcBorders>
              <w:bottom w:val="single" w:sz="8" w:color="CCEEFF"/>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32,987</w:t>
            </w:r>
          </w:p>
        </w:tc>
        <w:tc>
          <w:tcPr>
            <w:tcW w:w="100" w:type="dxa"/>
            <w:vAlign w:val="bottom"/>
            <w:tcBorders>
              <w:bottom w:val="single" w:sz="8" w:color="CCEEFF"/>
            </w:tcBorders>
          </w:tcPr>
          <w:p>
            <w:pPr>
              <w:spacing w:after="0"/>
              <w:rPr>
                <w:sz w:val="22"/>
                <w:szCs w:val="22"/>
                <w:color w:val="auto"/>
              </w:rPr>
            </w:pPr>
          </w:p>
        </w:tc>
      </w:tr>
      <w:tr>
        <w:trPr>
          <w:trHeight w:val="196"/>
        </w:trPr>
        <w:tc>
          <w:tcPr>
            <w:tcW w:w="6440" w:type="dxa"/>
            <w:vAlign w:val="bottom"/>
            <w:shd w:val="clear" w:color="auto" w:fill="CCEEFF"/>
          </w:tcPr>
          <w:p>
            <w:pPr>
              <w:spacing w:after="0"/>
              <w:rPr>
                <w:sz w:val="17"/>
                <w:szCs w:val="17"/>
                <w:color w:val="auto"/>
              </w:rPr>
            </w:pPr>
          </w:p>
        </w:tc>
        <w:tc>
          <w:tcPr>
            <w:tcW w:w="3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1">
            <w:col w:w="11240"/>
          </w:cols>
          <w:pgMar w:left="320" w:top="225"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7"/>
          <w:szCs w:val="17"/>
          <w:color w:val="auto"/>
        </w:rPr>
        <w:t>Unpaid losses and loss adjustment expenses</w:t>
      </w:r>
    </w:p>
    <w:p>
      <w:pPr>
        <w:spacing w:after="0" w:line="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Unearned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140"/>
        <w:spacing w:after="0" w:line="192" w:lineRule="auto"/>
        <w:rPr>
          <w:sz w:val="20"/>
          <w:szCs w:val="20"/>
          <w:color w:val="auto"/>
        </w:rPr>
      </w:pPr>
      <w:r>
        <w:rPr>
          <w:rFonts w:ascii="Times New Roman" w:cs="Times New Roman" w:eastAsia="Times New Roman" w:hAnsi="Times New Roman"/>
          <w:sz w:val="18"/>
          <w:szCs w:val="18"/>
          <w:color w:val="auto"/>
        </w:rPr>
        <w:t xml:space="preserve">Notes payable </w:t>
      </w:r>
      <w:r>
        <w:rPr>
          <w:rFonts w:ascii="Times New Roman" w:cs="Times New Roman" w:eastAsia="Times New Roman" w:hAnsi="Times New Roman"/>
          <w:sz w:val="29"/>
          <w:szCs w:val="29"/>
          <w:color w:val="auto"/>
          <w:vertAlign w:val="superscript"/>
        </w:rPr>
        <w:t>(1)</w:t>
      </w:r>
    </w:p>
    <w:p>
      <w:pPr>
        <w:ind w:left="140"/>
        <w:spacing w:after="0" w:line="184" w:lineRule="auto"/>
        <w:rPr>
          <w:sz w:val="20"/>
          <w:szCs w:val="20"/>
          <w:color w:val="auto"/>
        </w:rPr>
      </w:pPr>
      <w:r>
        <w:rPr>
          <w:rFonts w:ascii="Times New Roman" w:cs="Times New Roman" w:eastAsia="Times New Roman" w:hAnsi="Times New Roman"/>
          <w:sz w:val="18"/>
          <w:szCs w:val="18"/>
          <w:color w:val="auto"/>
        </w:rPr>
        <w:t xml:space="preserve">Pooling payable </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63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140"/>
        <w:spacing w:after="0" w:line="185" w:lineRule="auto"/>
        <w:rPr>
          <w:sz w:val="20"/>
          <w:szCs w:val="20"/>
          <w:color w:val="auto"/>
        </w:rPr>
      </w:pPr>
      <w:r>
        <w:rPr>
          <w:rFonts w:ascii="Times New Roman" w:cs="Times New Roman" w:eastAsia="Times New Roman" w:hAnsi="Times New Roman"/>
          <w:sz w:val="18"/>
          <w:szCs w:val="18"/>
          <w:color w:val="auto"/>
        </w:rPr>
        <w:t xml:space="preserve">Reinsurance losses payable </w:t>
      </w:r>
      <w:r>
        <w:rPr>
          <w:rFonts w:ascii="Times New Roman" w:cs="Times New Roman" w:eastAsia="Times New Roman" w:hAnsi="Times New Roman"/>
          <w:sz w:val="29"/>
          <w:szCs w:val="29"/>
          <w:color w:val="auto"/>
          <w:vertAlign w:val="superscript"/>
        </w:rPr>
        <w:t>(2)</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Accrued expenses and other liabilities</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Non-controlling interest</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Total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Total 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25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1040" w:hanging="1033"/>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4,276</w:t>
      </w:r>
    </w:p>
    <w:p>
      <w:pPr>
        <w:spacing w:after="0" w:line="27"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3,269</w:t>
      </w:r>
    </w:p>
    <w:p>
      <w:pPr>
        <w:spacing w:after="0" w:line="31"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w:t>
      </w:r>
    </w:p>
    <w:p>
      <w:pPr>
        <w:spacing w:after="0" w:line="49"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5,932</w:t>
      </w:r>
    </w:p>
    <w:p>
      <w:pPr>
        <w:spacing w:after="0" w:line="5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13,275</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477</w:t>
      </w:r>
    </w:p>
    <w:p>
      <w:pPr>
        <w:spacing w:after="0" w:line="2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30,229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91694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2,758</w:t>
      </w:r>
    </w:p>
    <w:p>
      <w:pPr>
        <w:spacing w:after="0" w:line="2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2,758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91694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16940" cy="8890"/>
                    </a:xfrm>
                    <a:prstGeom prst="rect">
                      <a:avLst/>
                    </a:prstGeom>
                    <a:noFill/>
                  </pic:spPr>
                </pic:pic>
              </a:graphicData>
            </a:graphic>
          </wp:anchor>
        </w:drawing>
      </w:r>
    </w:p>
    <w:p>
      <w:pPr>
        <w:spacing w:after="0" w:line="241" w:lineRule="exact"/>
        <w:rPr>
          <w:sz w:val="20"/>
          <w:szCs w:val="20"/>
          <w:color w:val="auto"/>
        </w:rPr>
      </w:pPr>
    </w:p>
    <w:p>
      <w:pPr>
        <w:ind w:left="960" w:hanging="953"/>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32,987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34290</wp:posOffset>
            </wp:positionV>
            <wp:extent cx="91694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169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960" w:space="720"/>
            <w:col w:w="1560"/>
          </w:cols>
          <w:pgMar w:left="320" w:top="225" w:right="339" w:bottom="1440" w:gutter="0" w:footer="0" w:header="0"/>
          <w:type w:val="continuous"/>
        </w:sectPr>
      </w:pPr>
    </w:p>
    <w:p>
      <w:pPr>
        <w:spacing w:after="0" w:line="66" w:lineRule="exact"/>
        <w:rPr>
          <w:sz w:val="20"/>
          <w:szCs w:val="20"/>
          <w:color w:val="auto"/>
        </w:rPr>
      </w:pPr>
    </w:p>
    <w:p>
      <w:pPr>
        <w:ind w:left="580" w:hanging="572"/>
        <w:spacing w:after="0"/>
        <w:tabs>
          <w:tab w:leader="none" w:pos="5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fully eliminated in consolidation.</w:t>
      </w:r>
    </w:p>
    <w:p>
      <w:pPr>
        <w:spacing w:after="0" w:line="27"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partly eliminated in consolidation.</w:t>
      </w:r>
    </w:p>
    <w:p>
      <w:pPr>
        <w:sectPr>
          <w:pgSz w:w="11900" w:h="16838" w:orient="portrait"/>
          <w:cols w:equalWidth="0" w:num="1">
            <w:col w:w="11240"/>
          </w:cols>
          <w:pgMar w:left="320" w:top="225" w:right="339" w:bottom="1440" w:gutter="0" w:footer="0" w:header="0"/>
          <w:type w:val="continuous"/>
        </w:sectPr>
      </w:pPr>
    </w:p>
    <w:p>
      <w:pPr>
        <w:spacing w:after="0" w:line="2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31" w:name="page32"/>
    <w:bookmarkEnd w:id="3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284" w:lineRule="exact"/>
        <w:rPr>
          <w:sz w:val="20"/>
          <w:szCs w:val="20"/>
          <w:color w:val="auto"/>
        </w:rPr>
      </w:pPr>
    </w:p>
    <w:p>
      <w:pPr>
        <w:ind w:left="540" w:hanging="532"/>
        <w:spacing w:after="0"/>
        <w:tabs>
          <w:tab w:leader="none" w:pos="5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Benefit Plans</w:t>
      </w:r>
    </w:p>
    <w:p>
      <w:pPr>
        <w:spacing w:after="0" w:line="229" w:lineRule="exact"/>
        <w:rPr>
          <w:sz w:val="20"/>
          <w:szCs w:val="20"/>
          <w:color w:val="auto"/>
        </w:rPr>
      </w:pPr>
    </w:p>
    <w:p>
      <w:pPr>
        <w:ind w:left="20"/>
        <w:spacing w:after="0" w:line="258" w:lineRule="auto"/>
        <w:rPr>
          <w:sz w:val="20"/>
          <w:szCs w:val="20"/>
          <w:color w:val="auto"/>
        </w:rPr>
      </w:pPr>
      <w:r>
        <w:rPr>
          <w:rFonts w:ascii="Times New Roman" w:cs="Times New Roman" w:eastAsia="Times New Roman" w:hAnsi="Times New Roman"/>
          <w:sz w:val="18"/>
          <w:szCs w:val="18"/>
          <w:color w:val="auto"/>
        </w:rPr>
        <w:t>Nodak Insurance sponsors a 401(k) plan with an automatic and matching contribution for eligible employees at Nodak Insurance, Primero, and Direct Auto. Nodak Insurance also contributes an additional elective amount of employee compensation as a profit-sharing contribution for eligible employees. Westminster also sponsored a separate 401(k) plan until the company was sold on June 30, 2024. American West and Battle Creek have no employees. The Company reported expenses related to these plans totaling $210 and $189 during the three months ended June 30, 2024 and 2023, respectively, and $420 and $378 during the six months ended June 30, 2024 and 2023,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fees associated with the plans are deducted from the eligible employee accounts.</w:t>
      </w:r>
    </w:p>
    <w:p>
      <w:pPr>
        <w:spacing w:after="0" w:line="225" w:lineRule="exact"/>
        <w:rPr>
          <w:sz w:val="20"/>
          <w:szCs w:val="20"/>
          <w:color w:val="auto"/>
        </w:rPr>
      </w:pPr>
    </w:p>
    <w:p>
      <w:pPr>
        <w:ind w:left="20" w:right="140"/>
        <w:spacing w:after="0" w:line="258" w:lineRule="auto"/>
        <w:rPr>
          <w:sz w:val="20"/>
          <w:szCs w:val="20"/>
          <w:color w:val="auto"/>
        </w:rPr>
      </w:pPr>
      <w:r>
        <w:rPr>
          <w:rFonts w:ascii="Times New Roman" w:cs="Times New Roman" w:eastAsia="Times New Roman" w:hAnsi="Times New Roman"/>
          <w:sz w:val="18"/>
          <w:szCs w:val="18"/>
          <w:color w:val="auto"/>
        </w:rPr>
        <w:t>The Company also offers a non-qualified deferred compensation plan to key executives of the Company (as designated by the Board of Directors). The Company’s policy is to fund the plan by amounts that represent the excess of the maximum contribution allowed by the Employee Retirement Income Security Act over the key executives’ allowable 401(k) contribution. The plan also allows employee-directed deferral of key executives’ compensation or incentive payments. The Company reported expenses related to this plan totaling $33 and $45 during the three months ended June 30, 2024 and 2023, respectively, and $231 and $212 during the six months ended June 30, 2024 and 2023, respectively.</w:t>
      </w:r>
    </w:p>
    <w:p>
      <w:pPr>
        <w:spacing w:after="0" w:line="18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connection with our initial public offering (“IPO”) in March 2017, the Company established its Employee Stock Ownership Plan (the “ESOP”) within the meaning of Internal Revenue Code Section 4975(e)(7) and invests solely in common stock of the Company.</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Upon establishment of the ESOP, Nodak Insurance loaned $2,400 to the ESOP’s related trust (the “ESOP Trust”). The ESOP loan was for a period of ten years, bearing interest at the long-term Applicable Federal Rate effective on the closing date of the offering (2.79% annually). The ESOP Trust used the proceeds of the loan to purchase shares in our IPO, which resulted in the ESOP Trust owning approximately 1.0% of the Company’s authorized shares. The ESOP has purchased the shares for investment and not for resale.</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shares purchased by the ESOP Trust in the offering are held in a suspense account as collateral for the ESOP loan. Nodak Insurance makes semi-annual cash contributions to the ESOP in amounts no smaller than the amounts required for the ESOP Trust to make its loan payments to Nodak Insurance. While the ESOP makes two loan payments per year, a pre-determined portion of the shares are released from the suspense account and allocated to participant accounts at the end of the calendar year. This release and allocation occurs on an annual basis over the ten-year term of the ESOP loan. Nodak Insurance has a lien on the shares of common stock of the Company held by the ESOP to secure repayment of the loan from the ESOP to Nodak Insurance. If the ESOP is terminated as a result of a change in control of the Company, the ESOP may be required to pay the costs of terminating the plan.</w:t>
      </w:r>
    </w:p>
    <w:p>
      <w:pPr>
        <w:spacing w:after="0" w:line="18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It is anticipated that the only assets held by the ESOP will be shares of the Company’s common stock. Participants in the ESOP cannot direct the investment of any assets allocated to their accounts. The ESOP participants are employees of Nodak Insurance. The employees of Primero, Direct Auto, and Westminster do not participate in the ESOP.</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Each employee of Nodak Insurance automatically becomes a participant in the ESOP if such employee is at least 21 years old, has completed a minimum of one thousand hours of service with Nodak Insurance, and has completed an Eligibility Computation Period. Employees are not permitted to make any contributions to the ESOP. Participants in the ESOP receive annual reports from the Company showing the number of shares of common stock of the Company allocated to the participants’ accounts and the market value of those shares. The shares are allocated to participants based on compensation as provided for in the ESOP.</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connection with the establishment of the ESOP, the Company created a contra-equity account on the Consolidated Balance Sheet equal to the ESOP’s basis in the shares. The basis of those shares was set at $10.00 per share as part of the IPO. As shares are released from the ESOP suspense account, the contra-equity account is credited, which reduces the impact of the contra-equity account on the Company’s Consolidated Balance Sheets over time. The Company records compensation expense related to the shares released, equal to the number of shares released from the suspense account multiplied by the average market value of the Company’s stock during the period.</w:t>
      </w:r>
    </w:p>
    <w:p>
      <w:pPr>
        <w:spacing w:after="0" w:line="18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recognized compensation expense related to the ESOP of $92 and $83 during the three months ended June 30, 2024 and 2023, respectively, and $176 and $164 during the six months ended June 30, 2024 and 2023, respectively.</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Through June 30, 2024, and December 31, 2023, the Company had released and allocated 170,205 ESOP shares to participants, with a remainder of 69,795 ESOP shares in suspense at June 30, 2024, and December 31, 2023. Using the Company’s quarter-end market price of $15.30 per share, the fair value of the unearned ESOP shares was $1,068 at June 30, 2024.</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32" w:name="page33"/>
    <w:bookmarkEnd w:id="3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95" w:lineRule="exact"/>
        <w:rPr>
          <w:sz w:val="20"/>
          <w:szCs w:val="20"/>
          <w:color w:val="auto"/>
        </w:rPr>
      </w:pPr>
    </w:p>
    <w:p>
      <w:pPr>
        <w:ind w:left="540" w:hanging="532"/>
        <w:spacing w:after="0"/>
        <w:tabs>
          <w:tab w:leader="none" w:pos="5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Line of Credit</w:t>
      </w:r>
    </w:p>
    <w:p>
      <w:pPr>
        <w:spacing w:after="0" w:line="229" w:lineRule="exact"/>
        <w:rPr>
          <w:sz w:val="20"/>
          <w:szCs w:val="20"/>
          <w:color w:val="auto"/>
        </w:rPr>
      </w:pPr>
    </w:p>
    <w:p>
      <w:pPr>
        <w:ind w:left="20"/>
        <w:spacing w:after="0" w:line="266" w:lineRule="auto"/>
        <w:rPr>
          <w:sz w:val="20"/>
          <w:szCs w:val="20"/>
          <w:color w:val="auto"/>
        </w:rPr>
      </w:pPr>
      <w:r>
        <w:rPr>
          <w:rFonts w:ascii="Times New Roman" w:cs="Times New Roman" w:eastAsia="Times New Roman" w:hAnsi="Times New Roman"/>
          <w:sz w:val="18"/>
          <w:szCs w:val="18"/>
          <w:color w:val="auto"/>
        </w:rPr>
        <w:t>NI Holdings has a $3,000 line of credit with Wells Fargo Bank, N.A. The terms of the line of credit include a floating interest rate of 2.50% above the daily simple secured overnight financing rate. There were no outstanding amounts during the six months ended June 30, 2024, or the year ended December 31, 2023. This line of credit is scheduled to expire on December 13, 2024.</w:t>
      </w:r>
    </w:p>
    <w:p>
      <w:pPr>
        <w:spacing w:after="0" w:line="388" w:lineRule="exact"/>
        <w:rPr>
          <w:sz w:val="20"/>
          <w:szCs w:val="20"/>
          <w:color w:val="auto"/>
        </w:rPr>
      </w:pPr>
    </w:p>
    <w:p>
      <w:pPr>
        <w:ind w:left="540" w:hanging="532"/>
        <w:spacing w:after="0"/>
        <w:tabs>
          <w:tab w:leader="none" w:pos="5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left="20" w:right="600"/>
        <w:spacing w:after="0" w:line="282" w:lineRule="auto"/>
        <w:rPr>
          <w:sz w:val="20"/>
          <w:szCs w:val="20"/>
          <w:color w:val="auto"/>
        </w:rPr>
      </w:pPr>
      <w:r>
        <w:rPr>
          <w:rFonts w:ascii="Times New Roman" w:cs="Times New Roman" w:eastAsia="Times New Roman" w:hAnsi="Times New Roman"/>
          <w:sz w:val="18"/>
          <w:szCs w:val="18"/>
          <w:color w:val="auto"/>
        </w:rPr>
        <w:t>Due to the Battle Creek demutualization, the Company established a net valuation allowance of $346 against their net operating loss carryforwards deferred income tax asset.</w:t>
      </w:r>
    </w:p>
    <w:p>
      <w:pPr>
        <w:spacing w:after="0" w:line="162" w:lineRule="exact"/>
        <w:rPr>
          <w:sz w:val="20"/>
          <w:szCs w:val="20"/>
          <w:color w:val="auto"/>
        </w:rPr>
      </w:pPr>
    </w:p>
    <w:p>
      <w:pPr>
        <w:ind w:left="20" w:right="160"/>
        <w:spacing w:after="0" w:line="282" w:lineRule="auto"/>
        <w:rPr>
          <w:sz w:val="20"/>
          <w:szCs w:val="20"/>
          <w:color w:val="auto"/>
        </w:rPr>
      </w:pPr>
      <w:r>
        <w:rPr>
          <w:rFonts w:ascii="Times New Roman" w:cs="Times New Roman" w:eastAsia="Times New Roman" w:hAnsi="Times New Roman"/>
          <w:sz w:val="18"/>
          <w:szCs w:val="18"/>
          <w:color w:val="auto"/>
        </w:rPr>
        <w:t>At June 30, 2024, and December 31, 2023, we had no unrecognized income tax benefits, no accrued interest and penalties, and no significant uncertain income tax positions. No interest and penalties were recognized during the six-month period ended June 30, 2024, or the year ended December 31, 2023.</w:t>
      </w:r>
    </w:p>
    <w:p>
      <w:pPr>
        <w:spacing w:after="0" w:line="162" w:lineRule="exact"/>
        <w:rPr>
          <w:sz w:val="20"/>
          <w:szCs w:val="20"/>
          <w:color w:val="auto"/>
        </w:rPr>
      </w:pPr>
    </w:p>
    <w:p>
      <w:pPr>
        <w:ind w:left="20" w:right="100"/>
        <w:spacing w:after="0" w:line="266" w:lineRule="auto"/>
        <w:rPr>
          <w:sz w:val="20"/>
          <w:szCs w:val="20"/>
          <w:color w:val="auto"/>
        </w:rPr>
      </w:pPr>
      <w:r>
        <w:rPr>
          <w:rFonts w:ascii="Times New Roman" w:cs="Times New Roman" w:eastAsia="Times New Roman" w:hAnsi="Times New Roman"/>
          <w:sz w:val="18"/>
          <w:szCs w:val="18"/>
          <w:color w:val="auto"/>
        </w:rPr>
        <w:t>Federal income taxes for the six months ended June 30, 2024, were allocated to continuing and discontinued operations at a 21.1% effective tax rate, with continuing operations ending with a 42.0% effective tax rate due to the sale of Westminster and the establishment of the valuation allowance for Battle Creek described above.</w:t>
      </w:r>
    </w:p>
    <w:p>
      <w:pPr>
        <w:spacing w:after="0" w:line="388" w:lineRule="exact"/>
        <w:rPr>
          <w:sz w:val="20"/>
          <w:szCs w:val="20"/>
          <w:color w:val="auto"/>
        </w:rPr>
      </w:pPr>
    </w:p>
    <w:p>
      <w:pPr>
        <w:ind w:left="540" w:hanging="532"/>
        <w:spacing w:after="0"/>
        <w:tabs>
          <w:tab w:leader="none" w:pos="5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left="20"/>
        <w:spacing w:after="0" w:line="261" w:lineRule="auto"/>
        <w:rPr>
          <w:sz w:val="20"/>
          <w:szCs w:val="20"/>
          <w:color w:val="auto"/>
        </w:rPr>
      </w:pPr>
      <w:r>
        <w:rPr>
          <w:rFonts w:ascii="Times New Roman" w:cs="Times New Roman" w:eastAsia="Times New Roman" w:hAnsi="Times New Roman"/>
          <w:sz w:val="18"/>
          <w:szCs w:val="18"/>
          <w:color w:val="auto"/>
        </w:rPr>
        <w:t>Primero leases a facility in Spearfish, South Dakota under a non-cancellable operating lease expiring in 2028, and leases a facility in Las Vegas, Nevada on a month-to-month basis. Direct Auto leases a facility in Chicago, Illinois under a non-cancellable operating lease expiring in 2029. Nodak Insurance leases a facility in Fargo, North Dakota under a non-cancellable operating lease expiring in 2029. In addition, Nodak Insurance leases server equipment under a non-cancellable finance lease expiring in 2026.</w:t>
      </w:r>
    </w:p>
    <w:p>
      <w:pPr>
        <w:spacing w:after="0" w:line="180"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Effective for the year ended December 31, 2022, the Company adopted the updated guidance for leases. See Part II, Item 8, Note 2 “Recent Accounting Pronouncements” section of the 2023 Annual Report for additional information. We determine whether a contract is or contains a lease at the inception of the contract. A contract will be deemed to be or contain a lease if the contract conveys the right to control and directs the use of identified property or equipment for a period of time in exchange for consideration. We generally must also have the right to obtain substantially all of the economic benefits from the use of the property and equipment. Lease assets and liabilities are recognized at the lease commencement date based on the present value of lease payments over the lease term. To determine the present value of lease payments not yet paid, we estimate incremental borrowing rates based on the floating interest rate on our Line of Credit with Wells Fargo Bank, N.A. at the lease commencement date, as rates are not implicitly stated in most leases. Lease liabilities are included in accrued expenses and other liabilities and right-of-use assets are included in other assets in the Consolidated Balance Sheets.</w:t>
      </w:r>
    </w:p>
    <w:p>
      <w:pPr>
        <w:spacing w:after="0" w:line="17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There were expenses of $122 and $98 related to these leases during the three months ended June 30, 2024 and 2023, respectively, and $244 and $196 during the six months ended June 30, 2024 and 2023.</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information regarding the Company’s leases are as follows: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gridSpan w:val="6"/>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As of and For the Three Months</w:t>
            </w:r>
          </w:p>
        </w:tc>
        <w:tc>
          <w:tcPr>
            <w:tcW w:w="140" w:type="dxa"/>
            <w:vAlign w:val="bottom"/>
          </w:tcPr>
          <w:p>
            <w:pPr>
              <w:spacing w:after="0"/>
              <w:rPr>
                <w:sz w:val="24"/>
                <w:szCs w:val="24"/>
                <w:color w:val="auto"/>
              </w:rPr>
            </w:pPr>
          </w:p>
        </w:tc>
        <w:tc>
          <w:tcPr>
            <w:tcW w:w="264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As of and For the Six Months</w:t>
            </w:r>
          </w:p>
        </w:tc>
      </w:tr>
      <w:tr>
        <w:trPr>
          <w:trHeight w:val="238"/>
        </w:trPr>
        <w:tc>
          <w:tcPr>
            <w:tcW w:w="5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gridSpan w:val="6"/>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Ended June 30,</w:t>
            </w:r>
          </w:p>
        </w:tc>
        <w:tc>
          <w:tcPr>
            <w:tcW w:w="140" w:type="dxa"/>
            <w:vAlign w:val="bottom"/>
          </w:tcPr>
          <w:p>
            <w:pPr>
              <w:spacing w:after="0"/>
              <w:rPr>
                <w:sz w:val="20"/>
                <w:szCs w:val="20"/>
                <w:color w:val="auto"/>
              </w:rPr>
            </w:pPr>
          </w:p>
        </w:tc>
        <w:tc>
          <w:tcPr>
            <w:tcW w:w="264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Ended June 30,</w:t>
            </w:r>
          </w:p>
        </w:tc>
      </w:tr>
      <w:tr>
        <w:trPr>
          <w:trHeight w:val="223"/>
        </w:trPr>
        <w:tc>
          <w:tcPr>
            <w:tcW w:w="54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10"/>
        </w:trPr>
        <w:tc>
          <w:tcPr>
            <w:tcW w:w="5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 expense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Finance lease cost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Finance lease cost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lease cost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w:t>
            </w:r>
          </w:p>
        </w:tc>
        <w:tc>
          <w:tcPr>
            <w:tcW w:w="3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244</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5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information on leases: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Cash payments included in operating cash flows from operating leases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w:t>
            </w:r>
          </w:p>
        </w:tc>
        <w:tc>
          <w:tcPr>
            <w:tcW w:w="3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203</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w:t>
            </w:r>
          </w:p>
        </w:tc>
      </w:tr>
      <w:tr>
        <w:trPr>
          <w:trHeight w:val="216"/>
        </w:trPr>
        <w:tc>
          <w:tcPr>
            <w:tcW w:w="5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Cash payments included in operating cash flows from finance leases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Cash payments included in financing cash flows from finance leases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460" w:type="dxa"/>
            <w:vAlign w:val="bottom"/>
          </w:tcPr>
          <w:p>
            <w:pPr>
              <w:ind w:left="320"/>
              <w:spacing w:after="0" w:line="198" w:lineRule="exact"/>
              <w:rPr>
                <w:sz w:val="20"/>
                <w:szCs w:val="20"/>
                <w:color w:val="auto"/>
              </w:rPr>
            </w:pPr>
            <w:r>
              <w:rPr>
                <w:rFonts w:ascii="Times New Roman" w:cs="Times New Roman" w:eastAsia="Times New Roman" w:hAnsi="Times New Roman"/>
                <w:sz w:val="18"/>
                <w:szCs w:val="18"/>
                <w:color w:val="auto"/>
              </w:rPr>
              <w:t>Right-of-use assets obtained in exchange for new operating lease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liabilities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w:t>
            </w:r>
          </w:p>
        </w:tc>
        <w:tc>
          <w:tcPr>
            <w:tcW w:w="14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w:t>
            </w:r>
          </w:p>
        </w:tc>
      </w:tr>
      <w:tr>
        <w:trPr>
          <w:trHeight w:val="198"/>
        </w:trPr>
        <w:tc>
          <w:tcPr>
            <w:tcW w:w="5460" w:type="dxa"/>
            <w:vAlign w:val="bottom"/>
            <w:shd w:val="clear" w:color="auto" w:fill="CCEEFF"/>
          </w:tcPr>
          <w:p>
            <w:pPr>
              <w:ind w:left="320"/>
              <w:spacing w:after="0" w:line="198" w:lineRule="exact"/>
              <w:rPr>
                <w:sz w:val="20"/>
                <w:szCs w:val="20"/>
                <w:color w:val="auto"/>
              </w:rPr>
            </w:pPr>
            <w:r>
              <w:rPr>
                <w:rFonts w:ascii="Times New Roman" w:cs="Times New Roman" w:eastAsia="Times New Roman" w:hAnsi="Times New Roman"/>
                <w:sz w:val="18"/>
                <w:szCs w:val="18"/>
                <w:color w:val="auto"/>
              </w:rPr>
              <w:t>Right-of-use assets obtained in exchange for new finance lease</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liabilities</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Weighted average discount rate – operating leases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3.95%</w:t>
            </w: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3.95%</w:t>
            </w:r>
          </w:p>
        </w:tc>
      </w:tr>
      <w:tr>
        <w:trPr>
          <w:trHeight w:val="216"/>
        </w:trPr>
        <w:tc>
          <w:tcPr>
            <w:tcW w:w="5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Weighted average discount rate – finance leases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Weighted average remaining lease term in years – operating leases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 years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 years</w:t>
            </w: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 years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5.8 years</w:t>
            </w:r>
          </w:p>
        </w:tc>
      </w:tr>
      <w:tr>
        <w:trPr>
          <w:trHeight w:val="216"/>
        </w:trPr>
        <w:tc>
          <w:tcPr>
            <w:tcW w:w="5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Weighted average remaining lease term in years – finance leases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 years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 years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contractual maturities of the Company’s operating leases for each of the five years in the period ending December 31, 2028, and thereafter, reconciled to the Company’s operating lease liability at June 30,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6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3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68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2024 (six months remaining)</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393</w:t>
            </w:r>
          </w:p>
        </w:tc>
        <w:tc>
          <w:tcPr>
            <w:tcW w:w="5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512</w:t>
            </w:r>
          </w:p>
        </w:tc>
      </w:tr>
      <w:tr>
        <w:trPr>
          <w:trHeight w:val="216"/>
        </w:trPr>
        <w:tc>
          <w:tcPr>
            <w:tcW w:w="6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396</w:t>
            </w:r>
          </w:p>
        </w:tc>
        <w:tc>
          <w:tcPr>
            <w:tcW w:w="5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497</w:t>
            </w:r>
          </w:p>
        </w:tc>
      </w:tr>
      <w:tr>
        <w:trPr>
          <w:trHeight w:val="216"/>
        </w:trPr>
        <w:tc>
          <w:tcPr>
            <w:tcW w:w="6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401</w:t>
            </w:r>
          </w:p>
        </w:tc>
        <w:tc>
          <w:tcPr>
            <w:tcW w:w="5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w:t>
            </w:r>
          </w:p>
        </w:tc>
      </w:tr>
      <w:tr>
        <w:trPr>
          <w:trHeight w:val="216"/>
        </w:trPr>
        <w:tc>
          <w:tcPr>
            <w:tcW w:w="6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376</w:t>
            </w:r>
          </w:p>
        </w:tc>
        <w:tc>
          <w:tcPr>
            <w:tcW w:w="5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376</w:t>
            </w:r>
          </w:p>
        </w:tc>
      </w:tr>
      <w:tr>
        <w:trPr>
          <w:trHeight w:val="230"/>
        </w:trPr>
        <w:tc>
          <w:tcPr>
            <w:tcW w:w="6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w:t>
            </w:r>
          </w:p>
        </w:tc>
        <w:tc>
          <w:tcPr>
            <w:tcW w:w="52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w:t>
            </w:r>
          </w:p>
        </w:tc>
      </w:tr>
      <w:tr>
        <w:trPr>
          <w:trHeight w:val="209"/>
        </w:trPr>
        <w:tc>
          <w:tcPr>
            <w:tcW w:w="68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present value adjustment</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w:t>
            </w:r>
          </w:p>
        </w:tc>
        <w:tc>
          <w:tcPr>
            <w:tcW w:w="52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w:t>
            </w:r>
          </w:p>
        </w:tc>
      </w:tr>
      <w:tr>
        <w:trPr>
          <w:trHeight w:val="223"/>
        </w:trPr>
        <w:tc>
          <w:tcPr>
            <w:tcW w:w="68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liability at June 30, 2024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540" w:hanging="532"/>
        <w:spacing w:after="0"/>
        <w:tabs>
          <w:tab w:leader="none" w:pos="5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ind w:left="20" w:right="20"/>
        <w:spacing w:after="0" w:line="282" w:lineRule="auto"/>
        <w:rPr>
          <w:sz w:val="20"/>
          <w:szCs w:val="20"/>
          <w:color w:val="auto"/>
        </w:rPr>
      </w:pPr>
      <w:r>
        <w:rPr>
          <w:rFonts w:ascii="Times New Roman" w:cs="Times New Roman" w:eastAsia="Times New Roman" w:hAnsi="Times New Roman"/>
          <w:sz w:val="18"/>
          <w:szCs w:val="18"/>
          <w:color w:val="auto"/>
        </w:rPr>
        <w:t>We have been named as a defendant in various lawsuits relating to our insurance operations. Contingent liabilities arising from litigation, income taxes, and other matters are not considered to be material to our financial position.</w:t>
      </w:r>
    </w:p>
    <w:p>
      <w:pPr>
        <w:spacing w:after="0" w:line="200" w:lineRule="exact"/>
        <w:rPr>
          <w:sz w:val="20"/>
          <w:szCs w:val="20"/>
          <w:color w:val="auto"/>
        </w:rPr>
      </w:pPr>
    </w:p>
    <w:p>
      <w:pPr>
        <w:spacing w:after="0" w:line="2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4" w:name="page35"/>
    <w:bookmarkEnd w:id="34"/>
    <w:p>
      <w:pPr>
        <w:jc w:val="center"/>
        <w:ind w:left="3220"/>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7"/>
          <w:szCs w:val="17"/>
          <w:b w:val="1"/>
          <w:bCs w:val="1"/>
          <w:color w:val="auto"/>
        </w:rPr>
        <w:t>(dollar amounts in thousands, except per share amounts)</w:t>
      </w:r>
    </w:p>
    <w:p>
      <w:pPr>
        <w:spacing w:after="0" w:line="106"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and Preferred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number of common stock shares outstanding were as follows: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outstanding,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Treasury shares repurchased through stock repurchase 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Issuance of treasury shares for vesting of restricted stock units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outstanding,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27305</wp:posOffset>
            </wp:positionV>
            <wp:extent cx="170561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spacing w:after="0" w:line="28" w:lineRule="exact"/>
        <w:rPr>
          <w:sz w:val="20"/>
          <w:szCs w:val="20"/>
          <w:color w:val="auto"/>
        </w:rPr>
      </w:pPr>
    </w:p>
    <w:p>
      <w:pPr>
        <w:ind w:left="140"/>
        <w:spacing w:after="0"/>
        <w:tabs>
          <w:tab w:leader="none" w:pos="158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31" w:lineRule="exact"/>
        <w:rPr>
          <w:sz w:val="20"/>
          <w:szCs w:val="20"/>
          <w:color w:val="auto"/>
        </w:rPr>
      </w:pPr>
    </w:p>
    <w:p>
      <w:pPr>
        <w:ind w:left="140"/>
        <w:spacing w:after="0"/>
        <w:tabs>
          <w:tab w:leader="none" w:pos="1560" w:val="left"/>
        </w:tabs>
        <w:rPr>
          <w:sz w:val="20"/>
          <w:szCs w:val="20"/>
          <w:color w:val="auto"/>
        </w:rPr>
      </w:pPr>
      <w:r>
        <w:rPr>
          <w:rFonts w:ascii="Times New Roman" w:cs="Times New Roman" w:eastAsia="Times New Roman" w:hAnsi="Times New Roman"/>
          <w:sz w:val="18"/>
          <w:szCs w:val="18"/>
          <w:color w:val="auto"/>
        </w:rPr>
        <w:t>20,599,908</w:t>
      </w:r>
      <w:r>
        <w:rPr>
          <w:sz w:val="20"/>
          <w:szCs w:val="20"/>
          <w:color w:val="auto"/>
        </w:rPr>
        <w:tab/>
      </w:r>
      <w:r>
        <w:rPr>
          <w:rFonts w:ascii="Times New Roman" w:cs="Times New Roman" w:eastAsia="Times New Roman" w:hAnsi="Times New Roman"/>
          <w:sz w:val="18"/>
          <w:szCs w:val="18"/>
          <w:color w:val="auto"/>
        </w:rPr>
        <w:t>21,076,255</w:t>
      </w:r>
    </w:p>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—(238,164)</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48,73447,887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14605</wp:posOffset>
            </wp:positionV>
            <wp:extent cx="170561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11" w:lineRule="exact"/>
        <w:rPr>
          <w:sz w:val="20"/>
          <w:szCs w:val="20"/>
          <w:color w:val="auto"/>
        </w:rPr>
      </w:pPr>
    </w:p>
    <w:p>
      <w:pPr>
        <w:ind w:left="140"/>
        <w:spacing w:after="0"/>
        <w:tabs>
          <w:tab w:leader="none" w:pos="1560" w:val="left"/>
        </w:tabs>
        <w:rPr>
          <w:sz w:val="20"/>
          <w:szCs w:val="20"/>
          <w:color w:val="auto"/>
        </w:rPr>
      </w:pPr>
      <w:r>
        <w:rPr>
          <w:rFonts w:ascii="Times New Roman" w:cs="Times New Roman" w:eastAsia="Times New Roman" w:hAnsi="Times New Roman"/>
          <w:sz w:val="18"/>
          <w:szCs w:val="18"/>
          <w:color w:val="auto"/>
        </w:rPr>
        <w:t>20,648,642</w:t>
      </w:r>
      <w:r>
        <w:rPr>
          <w:sz w:val="20"/>
          <w:szCs w:val="20"/>
          <w:color w:val="auto"/>
        </w:rPr>
        <w:tab/>
      </w:r>
      <w:r>
        <w:rPr>
          <w:rFonts w:ascii="Times New Roman" w:cs="Times New Roman" w:eastAsia="Times New Roman" w:hAnsi="Times New Roman"/>
          <w:sz w:val="18"/>
          <w:szCs w:val="18"/>
          <w:color w:val="auto"/>
        </w:rPr>
        <w:t>20,885,978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17145</wp:posOffset>
            </wp:positionV>
            <wp:extent cx="170561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05610"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20" w:space="720"/>
            <w:col w:w="2480"/>
          </w:cols>
          <w:pgMar w:left="320" w:top="225" w:right="359" w:bottom="1440" w:gutter="0" w:footer="0" w:header="0"/>
        </w:sectPr>
      </w:pPr>
    </w:p>
    <w:p>
      <w:pPr>
        <w:spacing w:after="0" w:line="6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changes in the number of common shares outstanding excludes certain non-forfeitable stock award shares that are included in the weighted average common shares outstanding used in basic earnings per common share calculations. The net loss per diluted common share for the three- and six-month periods ended June 30, 2024, excluded the weighted average effects of 127,108 and 120,206 shares of stock awards since the impacts of these potential shares of common stock were anti-dilutive. The net loss per diluted common share for the three- and six-month periods ended June 30, 2023, excluded the weighted average effects of 61,935 and 61,614 shares of stock awards since the impacts of these potential shares of common stock were anti-dilutive.</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May 9, 2022, our Board of Directors approved an authorization for the repurchase of up to approximately $10,000 of the Company’s outstanding common stock. During the six months ended June 30, 2024, we did not repurchase any shares of our common stock. During the six months ended June 30, 2023, we repurchased 238,164 shares of our common stock for $3,223, under our share repurchase authorization. Included in the cost of treasury stock acquired pursuant to common share repurchases is the 1% excise tax imposed on common share repurchase activity, net of common share issuances, as part of the Inflation Reduction Act of 2022. At June 30, 2024, $2,052 remains available under this authorization.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 of this treasury stock is a reduction of shareholders’ equity within our Consolidated Balance Sheets.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Company’s Articles of Incorporation provide authority to issue up to five million shares of preferred stock. No preferred shares are issued or outstanding.</w:t>
      </w:r>
    </w:p>
    <w:p>
      <w:pPr>
        <w:spacing w:after="0" w:line="374"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NI Holdings, Inc. 2020 Stock and Incentive Plan (the “Plan”) is designed to promote the interests of the Company and its shareholders by aiding the Company in attracting and retaining employees, officers, consultants, independent contractors, advisors, and non-employee directors capable of assuring the future success of the Company, to offer such persons incentives to put forth maximum efforts for the success of the Company’s business and to afford such persons an opportunity to acquire an ownership interest in the Company, thereby aligning the interests of such persons with the Company’s shareholders.</w:t>
      </w:r>
    </w:p>
    <w:p>
      <w:pPr>
        <w:spacing w:after="0" w:line="18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Plan provides for the grant of nonqualified stock options, incentive stock options, restricted stock units (“RSUs”), stock appreciation rights, dividend equivalents, and performance share units (“PSUs”) to employees, officers, consultants, advisors, non-employee directors, and independent contractors designated by the Compensation Committee of the Board of Directors (the “Compensation Committee”). Awards made under the Plan are based upon, among other things, a participant’s level of responsibility and performance within the Company.</w:t>
      </w:r>
    </w:p>
    <w:p>
      <w:pPr>
        <w:spacing w:after="0" w:line="18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total aggregate number of shares of common stock that may be issued under the Plan shall not exceed 1,000,000 shares, subject to adjustments as provided in the Plan. No eligible participant may be granted any awards for more than 100,000 shares in the aggregate in any calendar year, subject to adjustment in accordance with the Plan. The aggregate amount payable pursuant to all performance awards denominated in cash to any eligible person in any calendar year is limited to $1,000 in value. Directors who are not also employees of the Company may not be granted awards denominated in shares that exceed $150 in any calendar year.</w:t>
      </w: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type w:val="continuous"/>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Compensation Committee has awarded RSUs to non-employee directors and select executives. RSUs are promises to issue actual shares of common stock at the end of a vesting period. The RSUs granted to executives under the Plan are based on salary. RSUs granted prior to 2024 vest equally over a five-year period. Effective for executive grants in 2024, the RSUs vest equally over a three-year period. The RSUs granted to non-employee directors vest 100% on the date of the next annual meeting of shareholders following the grant date. Dividend equivalents on RSUs are accrued during the vesting period and paid in cash at the end of the vesting period but are subject to forfeiture until the underlying shares become vested. Participants do not have voting rights with respect to RSUs.</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recognizes stock-based compensation costs for RSUs based on the grant date fair value. The compensation costs are normally expensed over the vesting periods to each vesting date; however, the cost of RSUs granted to executives are expensed immediately if the executive has met certain retirement criteria and the RSUs become non-forfeitable. Estimated forfeitures are included in the determination of compensation costs. No forfeitures are currently estimated.</w:t>
      </w:r>
    </w:p>
    <w:p>
      <w:pPr>
        <w:sectPr>
          <w:pgSz w:w="11900" w:h="16838" w:orient="portrait"/>
          <w:cols w:equalWidth="0" w:num="1">
            <w:col w:w="11240"/>
          </w:cols>
          <w:pgMar w:left="320" w:top="225" w:right="339" w:bottom="1440" w:gutter="0" w:footer="0" w:header="0"/>
        </w:sectPr>
      </w:pP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outstanding and unearned RSUs is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Units outstanding and unearned at January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RSUs granted during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RSUs earned during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Units outstanding and unearned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454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RSUs granted during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RSUs earned during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Units outstanding and unearned at June 30, 2024</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the impact of RSU activity to the Company’s financial results: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216"/>
        </w:trPr>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Grant-Date</w:t>
            </w:r>
          </w:p>
        </w:tc>
      </w:tr>
      <w:tr>
        <w:trPr>
          <w:trHeight w:val="216"/>
        </w:trPr>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38"/>
        </w:trPr>
        <w:tc>
          <w:tcPr>
            <w:tcW w:w="144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80" w:type="dxa"/>
            <w:vAlign w:val="bottom"/>
          </w:tcPr>
          <w:p>
            <w:pPr>
              <w:spacing w:after="0"/>
              <w:rPr>
                <w:sz w:val="20"/>
                <w:szCs w:val="20"/>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Per Share</w:t>
            </w:r>
          </w:p>
        </w:tc>
      </w:tr>
      <w:tr>
        <w:trPr>
          <w:trHeight w:val="191"/>
        </w:trPr>
        <w:tc>
          <w:tcPr>
            <w:tcW w:w="12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115,360</w:t>
            </w:r>
          </w:p>
        </w:tc>
        <w:tc>
          <w:tcPr>
            <w:tcW w:w="220" w:type="dxa"/>
            <w:vAlign w:val="bottom"/>
            <w:gridSpan w:val="2"/>
          </w:tcPr>
          <w:p>
            <w:pPr>
              <w:spacing w:after="0"/>
              <w:rPr>
                <w:sz w:val="16"/>
                <w:szCs w:val="16"/>
                <w:color w:val="auto"/>
              </w:rPr>
            </w:pPr>
          </w:p>
        </w:tc>
        <w:tc>
          <w:tcPr>
            <w:tcW w:w="180" w:type="dxa"/>
            <w:vAlign w:val="bottom"/>
            <w:tcBorders>
              <w:top w:val="single" w:sz="8" w:color="auto"/>
            </w:tcBorders>
          </w:tcPr>
          <w:p>
            <w:pPr>
              <w:jc w:val="right"/>
              <w:ind w:right="13"/>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17.00</w:t>
            </w:r>
          </w:p>
        </w:tc>
        <w:tc>
          <w:tcPr>
            <w:tcW w:w="20" w:type="dxa"/>
            <w:vAlign w:val="bottom"/>
          </w:tcPr>
          <w:p>
            <w:pPr>
              <w:spacing w:after="0"/>
              <w:rPr>
                <w:sz w:val="16"/>
                <w:szCs w:val="16"/>
                <w:color w:val="auto"/>
              </w:rPr>
            </w:pPr>
          </w:p>
        </w:tc>
      </w:tr>
      <w:tr>
        <w:trPr>
          <w:trHeight w:val="216"/>
        </w:trPr>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85,000</w:t>
            </w:r>
          </w:p>
        </w:tc>
        <w:tc>
          <w:tcPr>
            <w:tcW w:w="1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13.76</w:t>
            </w:r>
          </w:p>
        </w:tc>
      </w:tr>
      <w:tr>
        <w:trPr>
          <w:trHeight w:val="248"/>
        </w:trPr>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(53,780)</w:t>
            </w:r>
          </w:p>
        </w:tc>
        <w:tc>
          <w:tcPr>
            <w:tcW w:w="18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16.32</w:t>
            </w:r>
          </w:p>
        </w:tc>
      </w:tr>
      <w:tr>
        <w:trPr>
          <w:trHeight w:val="210"/>
        </w:trPr>
        <w:tc>
          <w:tcPr>
            <w:tcW w:w="12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146,580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15.37</w:t>
            </w:r>
          </w:p>
        </w:tc>
      </w:tr>
      <w:tr>
        <w:trPr>
          <w:trHeight w:val="407"/>
        </w:trPr>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103,600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14.45</w:t>
            </w:r>
          </w:p>
        </w:tc>
      </w:tr>
      <w:tr>
        <w:trPr>
          <w:trHeight w:val="248"/>
        </w:trPr>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(69,420)</w:t>
            </w:r>
          </w:p>
        </w:tc>
        <w:tc>
          <w:tcPr>
            <w:tcW w:w="18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14.82</w:t>
            </w:r>
          </w:p>
        </w:tc>
      </w:tr>
      <w:tr>
        <w:trPr>
          <w:trHeight w:val="223"/>
        </w:trPr>
        <w:tc>
          <w:tcPr>
            <w:tcW w:w="12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180,760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15.06</w:t>
            </w: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593" w:lineRule="exact"/>
        <w:rPr>
          <w:sz w:val="20"/>
          <w:szCs w:val="20"/>
          <w:color w:val="auto"/>
        </w:rPr>
      </w:pPr>
    </w:p>
    <w:p>
      <w:pPr>
        <w:sectPr>
          <w:pgSz w:w="11900" w:h="16838" w:orient="portrait"/>
          <w:cols w:equalWidth="0" w:num="2">
            <w:col w:w="7520" w:space="720"/>
            <w:col w:w="3000"/>
          </w:cols>
          <w:pgMar w:left="320" w:top="225" w:right="339" w:bottom="1440" w:gutter="0" w:footer="0" w:header="0"/>
          <w:type w:val="continuous"/>
        </w:sectPr>
      </w:pP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940" w:type="dxa"/>
            <w:vAlign w:val="bottom"/>
            <w:gridSpan w:val="6"/>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80" w:type="dxa"/>
            <w:vAlign w:val="bottom"/>
          </w:tcPr>
          <w:p>
            <w:pPr>
              <w:spacing w:after="0"/>
              <w:rPr>
                <w:sz w:val="20"/>
                <w:szCs w:val="20"/>
                <w:color w:val="auto"/>
              </w:rPr>
            </w:pPr>
          </w:p>
        </w:tc>
        <w:tc>
          <w:tcPr>
            <w:tcW w:w="260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5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1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 compensation expense</w:t>
            </w: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6"/>
              </w:rPr>
              <w:t>767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shd w:val="clear" w:color="auto" w:fill="CCEEFF"/>
          </w:tcPr>
          <w:p>
            <w:pPr>
              <w:spacing w:after="0"/>
              <w:rPr>
                <w:sz w:val="18"/>
                <w:szCs w:val="18"/>
                <w:color w:val="auto"/>
              </w:rPr>
            </w:pPr>
          </w:p>
        </w:tc>
      </w:tr>
      <w:tr>
        <w:trPr>
          <w:trHeight w:val="229"/>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(84)</w:t>
            </w:r>
          </w:p>
        </w:tc>
        <w:tc>
          <w:tcPr>
            <w:tcW w:w="2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Pr>
          <w:p>
            <w:pPr>
              <w:spacing w:after="0"/>
              <w:rPr>
                <w:sz w:val="19"/>
                <w:szCs w:val="19"/>
                <w:color w:val="auto"/>
              </w:rPr>
            </w:pPr>
          </w:p>
        </w:tc>
        <w:tc>
          <w:tcPr>
            <w:tcW w:w="126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7"/>
              </w:rPr>
              <w:t>(174)</w:t>
            </w: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w:t>
            </w:r>
          </w:p>
        </w:tc>
      </w:tr>
      <w:tr>
        <w:trPr>
          <w:trHeight w:val="223"/>
        </w:trPr>
        <w:tc>
          <w:tcPr>
            <w:tcW w:w="45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RSU compensation expense, net of income taxes</w:t>
            </w: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6"/>
              </w:rPr>
              <w:t>593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At June 30, 2024, there was $1,620 of unrecognized compensation cost related to outstanding RSUs. That cost is expected to be recognized over a weighted-average period of 1.36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Share Units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Compensation Committee has awarded PSUs to select executives. PSUs are promises to issue actual shares of common stock at the end of a vesting period, if certain performance conditions are met. The PSUs granted to employees under the Plan are based on salary and, prior to 2024, include a three-year adjusted book value cumulative growth target with threshold and stretch goals. Effective for grants made in 2024, the performance metric is calculated based on an adjusted return on equity over a three-year period, with annual resets. They will vest on the third anniversary of the grant date, subject to the participant’s continuous employment through the vesting date and the level of performance achieved. Dividend equivalents on PSUs are accrued and paid in cash at the end of the performance period in accordance with the level of performance achieved but are subject to forfeiture until the underlying shares become vested. Participants do not have voting rights with respect to PSUs.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recognizes stock-based compensation costs for PSUs based on the grant date fair value over the performance period of the awards. Estimated forfeitures are included in the determination of compensation costs. The current cost estimates represent the Company’s forecasted performance against cumulative growth targets.</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the Company’s outstanding PSUs is presented below:</w:t>
            </w: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83"/>
        </w:trPr>
        <w:tc>
          <w:tcPr>
            <w:tcW w:w="8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216"/>
        </w:trPr>
        <w:tc>
          <w:tcPr>
            <w:tcW w:w="8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Grant-Date</w:t>
            </w:r>
          </w:p>
        </w:tc>
      </w:tr>
      <w:tr>
        <w:trPr>
          <w:trHeight w:val="216"/>
        </w:trPr>
        <w:tc>
          <w:tcPr>
            <w:tcW w:w="8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38"/>
        </w:trPr>
        <w:tc>
          <w:tcPr>
            <w:tcW w:w="8240" w:type="dxa"/>
            <w:vAlign w:val="bottom"/>
          </w:tcPr>
          <w:p>
            <w:pPr>
              <w:spacing w:after="0"/>
              <w:rPr>
                <w:sz w:val="20"/>
                <w:szCs w:val="20"/>
                <w:color w:val="auto"/>
              </w:rPr>
            </w:pPr>
          </w:p>
        </w:tc>
        <w:tc>
          <w:tcPr>
            <w:tcW w:w="144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PSUs</w:t>
            </w:r>
          </w:p>
        </w:tc>
        <w:tc>
          <w:tcPr>
            <w:tcW w:w="16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Per Share</w:t>
            </w:r>
          </w:p>
        </w:tc>
      </w:tr>
      <w:tr>
        <w:trPr>
          <w:trHeight w:val="210"/>
        </w:trPr>
        <w:tc>
          <w:tcPr>
            <w:tcW w:w="8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Units outstanding at January 1, 2023</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PSUs granted during 2023 (at target)</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87,400</w:t>
            </w: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13.85</w:t>
            </w:r>
          </w:p>
        </w:tc>
      </w:tr>
      <w:tr>
        <w:trPr>
          <w:trHeight w:val="216"/>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PSUs earned during 2023</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240" w:type="dxa"/>
            <w:vAlign w:val="bottom"/>
          </w:tcPr>
          <w:p>
            <w:pPr>
              <w:ind w:left="140"/>
              <w:spacing w:after="0" w:line="256" w:lineRule="exact"/>
              <w:rPr>
                <w:sz w:val="20"/>
                <w:szCs w:val="20"/>
                <w:color w:val="auto"/>
              </w:rPr>
            </w:pPr>
            <w:r>
              <w:rPr>
                <w:rFonts w:ascii="Times New Roman" w:cs="Times New Roman" w:eastAsia="Times New Roman" w:hAnsi="Times New Roman"/>
                <w:sz w:val="18"/>
                <w:szCs w:val="18"/>
                <w:color w:val="auto"/>
              </w:rPr>
              <w:t xml:space="preserve">Performance adjustment </w:t>
            </w:r>
            <w:r>
              <w:rPr>
                <w:rFonts w:ascii="Times New Roman" w:cs="Times New Roman" w:eastAsia="Times New Roman" w:hAnsi="Times New Roman"/>
                <w:sz w:val="29"/>
                <w:szCs w:val="29"/>
                <w:color w:val="auto"/>
                <w:vertAlign w:val="superscript"/>
              </w:rPr>
              <w:t>(1)</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(63,600)</w:t>
            </w:r>
          </w:p>
        </w:tc>
        <w:tc>
          <w:tcPr>
            <w:tcW w:w="160" w:type="dxa"/>
            <w:vAlign w:val="bottom"/>
          </w:tcPr>
          <w:p>
            <w:pPr>
              <w:spacing w:after="0"/>
              <w:rPr>
                <w:sz w:val="22"/>
                <w:szCs w:val="22"/>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14.26</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Forfeitures</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Units outstanding at December 31, 2023</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213,800</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16.53</w:t>
            </w:r>
          </w:p>
        </w:tc>
      </w:tr>
      <w:tr>
        <w:trPr>
          <w:trHeight w:val="209"/>
        </w:trPr>
        <w:tc>
          <w:tcPr>
            <w:tcW w:w="8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PSUs granted during 2024 (at target)</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79,800</w:t>
            </w: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14.19</w:t>
            </w:r>
          </w:p>
        </w:tc>
      </w:tr>
      <w:tr>
        <w:trPr>
          <w:trHeight w:val="216"/>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PSUs earned during 2024</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240" w:type="dxa"/>
            <w:vAlign w:val="bottom"/>
          </w:tcPr>
          <w:p>
            <w:pPr>
              <w:ind w:left="140"/>
              <w:spacing w:after="0" w:line="256" w:lineRule="exact"/>
              <w:rPr>
                <w:sz w:val="20"/>
                <w:szCs w:val="20"/>
                <w:color w:val="auto"/>
              </w:rPr>
            </w:pPr>
            <w:r>
              <w:rPr>
                <w:rFonts w:ascii="Times New Roman" w:cs="Times New Roman" w:eastAsia="Times New Roman" w:hAnsi="Times New Roman"/>
                <w:sz w:val="18"/>
                <w:szCs w:val="18"/>
                <w:color w:val="auto"/>
              </w:rPr>
              <w:t xml:space="preserve">Performance adjustment </w:t>
            </w:r>
            <w:r>
              <w:rPr>
                <w:rFonts w:ascii="Times New Roman" w:cs="Times New Roman" w:eastAsia="Times New Roman" w:hAnsi="Times New Roman"/>
                <w:sz w:val="29"/>
                <w:szCs w:val="29"/>
                <w:color w:val="auto"/>
                <w:vertAlign w:val="superscript"/>
              </w:rPr>
              <w:t>(1)</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(64,600)</w:t>
            </w:r>
          </w:p>
        </w:tc>
        <w:tc>
          <w:tcPr>
            <w:tcW w:w="160" w:type="dxa"/>
            <w:vAlign w:val="bottom"/>
          </w:tcPr>
          <w:p>
            <w:pPr>
              <w:spacing w:after="0"/>
              <w:rPr>
                <w:sz w:val="22"/>
                <w:szCs w:val="22"/>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18.64</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Forfeitures</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Units outstanding at June 30, 2024</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229,000</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15.12</w:t>
            </w:r>
          </w:p>
        </w:tc>
      </w:tr>
      <w:tr>
        <w:trPr>
          <w:trHeight w:val="20"/>
        </w:trPr>
        <w:tc>
          <w:tcPr>
            <w:tcW w:w="8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580" w:firstLine="8"/>
        <w:spacing w:after="0" w:line="506" w:lineRule="auto"/>
        <w:tabs>
          <w:tab w:leader="none" w:pos="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change in PSUs issued based upon the attainment of performance goals established by the Company. The following table shows the impact of PSU activity to the Company’s financial results: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940" w:type="dxa"/>
            <w:vAlign w:val="bottom"/>
            <w:gridSpan w:val="6"/>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80" w:type="dxa"/>
            <w:vAlign w:val="bottom"/>
          </w:tcPr>
          <w:p>
            <w:pPr>
              <w:spacing w:after="0"/>
              <w:rPr>
                <w:sz w:val="20"/>
                <w:szCs w:val="20"/>
                <w:color w:val="auto"/>
              </w:rPr>
            </w:pPr>
          </w:p>
        </w:tc>
        <w:tc>
          <w:tcPr>
            <w:tcW w:w="260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5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1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PSU compensation expense</w:t>
            </w: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CEEFF"/>
          </w:tcPr>
          <w:p>
            <w:pPr>
              <w:spacing w:after="0"/>
              <w:rPr>
                <w:sz w:val="18"/>
                <w:szCs w:val="18"/>
                <w:color w:val="auto"/>
              </w:rPr>
            </w:pPr>
          </w:p>
        </w:tc>
      </w:tr>
      <w:tr>
        <w:trPr>
          <w:trHeight w:val="23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w:t>
            </w: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r>
      <w:tr>
        <w:trPr>
          <w:trHeight w:val="223"/>
        </w:trPr>
        <w:tc>
          <w:tcPr>
            <w:tcW w:w="45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PSU compensation expense, net of income taxes</w:t>
            </w: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cost estimates for PSU grants represent initial target awards until we can reasonably forecast the financial performance of each PSU award grant. At the end of the performance period, we will reflect a performance adjustment, which may be either an increase or decrease from the initial target awards. The actual number of shares to be issued at the end of the performance period will range from 0% to 150% of the initial target awards. As of December 31, 2023, the previously recognized compensation expense related to the PSU awards granted during 2022 and 2021 was eliminated due to the Company's expectation that the threshold performance goal will not be met.</w:t>
      </w:r>
    </w:p>
    <w:p>
      <w:pPr>
        <w:spacing w:after="0" w:line="183"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At June 30, 2024, there was $1,591 of unrecognized compensation cost related to outstanding PSUs. That cost is expected to be recognized over a weighted-average period of 2.26 years.</w:t>
      </w:r>
    </w:p>
    <w:p>
      <w:pPr>
        <w:spacing w:after="0" w:line="200" w:lineRule="exact"/>
        <w:rPr>
          <w:sz w:val="20"/>
          <w:szCs w:val="20"/>
          <w:color w:val="auto"/>
        </w:rPr>
      </w:pPr>
    </w:p>
    <w:p>
      <w:pPr>
        <w:spacing w:after="0" w:line="2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7" w:name="page38"/>
    <w:bookmarkEnd w:id="3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95" w:lineRule="exact"/>
        <w:rPr>
          <w:sz w:val="20"/>
          <w:szCs w:val="20"/>
          <w:color w:val="auto"/>
        </w:rPr>
      </w:pPr>
    </w:p>
    <w:p>
      <w:pPr>
        <w:ind w:left="540" w:hanging="532"/>
        <w:spacing w:after="0"/>
        <w:tabs>
          <w:tab w:leader="none" w:pos="5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Allowance for Expected Credit Losses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Premiums Receivable</w:t>
      </w:r>
    </w:p>
    <w:p>
      <w:pPr>
        <w:spacing w:after="0" w:line="229"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The following table presents the balances of premiums and agents’ balances receivable, net of the allowance for expected credit losses as of June 30, 2024, and the changes in the allowance for expected credit losses for the three and six months ended June 30, 2024 for continuing and discontinued operations.</w:t>
      </w:r>
    </w:p>
    <w:p>
      <w:pPr>
        <w:sectPr>
          <w:pgSz w:w="11900" w:h="16838" w:orient="portrait"/>
          <w:cols w:equalWidth="0" w:num="1">
            <w:col w:w="11200"/>
          </w:cols>
          <w:pgMar w:left="320" w:top="2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Continuing operations: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beginning of period</w:t>
      </w:r>
    </w:p>
    <w:p>
      <w:pPr>
        <w:spacing w:after="0" w:line="274" w:lineRule="exact"/>
        <w:rPr>
          <w:sz w:val="20"/>
          <w:szCs w:val="20"/>
          <w:color w:val="auto"/>
        </w:rPr>
      </w:pPr>
    </w:p>
    <w:p>
      <w:pPr>
        <w:ind w:right="760"/>
        <w:spacing w:after="0" w:line="312" w:lineRule="auto"/>
        <w:rPr>
          <w:sz w:val="20"/>
          <w:szCs w:val="20"/>
          <w:color w:val="auto"/>
        </w:rPr>
      </w:pPr>
      <w:r>
        <w:rPr>
          <w:rFonts w:ascii="Times New Roman" w:cs="Times New Roman" w:eastAsia="Times New Roman" w:hAnsi="Times New Roman"/>
          <w:sz w:val="17"/>
          <w:szCs w:val="17"/>
          <w:color w:val="auto"/>
        </w:rPr>
        <w:t>Current period charge for expected credit losses Write-offs of uncollectible premiums receivable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end of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Continuing operations: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beginning of period</w:t>
      </w:r>
    </w:p>
    <w:p>
      <w:pPr>
        <w:spacing w:after="0" w:line="274" w:lineRule="exact"/>
        <w:rPr>
          <w:sz w:val="20"/>
          <w:szCs w:val="20"/>
          <w:color w:val="auto"/>
        </w:rPr>
      </w:pPr>
    </w:p>
    <w:p>
      <w:pPr>
        <w:ind w:right="760"/>
        <w:spacing w:after="0" w:line="312" w:lineRule="auto"/>
        <w:rPr>
          <w:sz w:val="20"/>
          <w:szCs w:val="20"/>
          <w:color w:val="auto"/>
        </w:rPr>
      </w:pPr>
      <w:r>
        <w:rPr>
          <w:rFonts w:ascii="Times New Roman" w:cs="Times New Roman" w:eastAsia="Times New Roman" w:hAnsi="Times New Roman"/>
          <w:sz w:val="17"/>
          <w:szCs w:val="17"/>
          <w:color w:val="auto"/>
        </w:rPr>
        <w:t>Current period charge for expected credit losses Write-offs of uncollectible premiums receivable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end of period</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3000" w:type="dxa"/>
            <w:vAlign w:val="bottom"/>
            <w:gridSpan w:val="9"/>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As of and For the Three Months</w:t>
            </w:r>
          </w:p>
        </w:tc>
        <w:tc>
          <w:tcPr>
            <w:tcW w:w="3140" w:type="dxa"/>
            <w:vAlign w:val="bottom"/>
            <w:gridSpan w:val="9"/>
          </w:tcPr>
          <w:p>
            <w:pPr>
              <w:ind w:left="20"/>
              <w:spacing w:after="0"/>
              <w:rPr>
                <w:sz w:val="20"/>
                <w:szCs w:val="20"/>
                <w:color w:val="auto"/>
              </w:rPr>
            </w:pPr>
            <w:r>
              <w:rPr>
                <w:rFonts w:ascii="Times New Roman" w:cs="Times New Roman" w:eastAsia="Times New Roman" w:hAnsi="Times New Roman"/>
                <w:sz w:val="18"/>
                <w:szCs w:val="18"/>
                <w:b w:val="1"/>
                <w:bCs w:val="1"/>
                <w:color w:val="auto"/>
              </w:rPr>
              <w:t>As of and For the Three Months Ended</w:t>
            </w: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gridSpan w:val="8"/>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Ended June 30, 2024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5"/>
          </w:tcPr>
          <w:p>
            <w:pPr>
              <w:ind w:left="76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2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4"/>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Premiums and</w:t>
            </w: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Borders>
              <w:top w:val="single" w:sz="8" w:color="auto"/>
            </w:tcBorders>
            <w:gridSpan w:val="5"/>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Premiums and</w:t>
            </w: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2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Agents’ Balances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Agents’ Balances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Receivable, Net of</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Receivable, Net of</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50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150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140" w:type="dxa"/>
            <w:vAlign w:val="bottom"/>
          </w:tcPr>
          <w:p>
            <w:pPr>
              <w:spacing w:after="0"/>
              <w:rPr>
                <w:sz w:val="18"/>
                <w:szCs w:val="18"/>
                <w:color w:val="auto"/>
              </w:rPr>
            </w:pPr>
          </w:p>
        </w:tc>
        <w:tc>
          <w:tcPr>
            <w:tcW w:w="1520" w:type="dxa"/>
            <w:vAlign w:val="bottom"/>
            <w:gridSpan w:val="4"/>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120" w:type="dxa"/>
            <w:vAlign w:val="bottom"/>
          </w:tcPr>
          <w:p>
            <w:pPr>
              <w:spacing w:after="0"/>
              <w:rPr>
                <w:sz w:val="18"/>
                <w:szCs w:val="18"/>
                <w:color w:val="auto"/>
              </w:rPr>
            </w:pPr>
          </w:p>
        </w:tc>
        <w:tc>
          <w:tcPr>
            <w:tcW w:w="13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Allowance for</w:t>
            </w:r>
          </w:p>
        </w:tc>
        <w:tc>
          <w:tcPr>
            <w:tcW w:w="0" w:type="dxa"/>
            <w:vAlign w:val="bottom"/>
          </w:tcPr>
          <w:p>
            <w:pPr>
              <w:spacing w:after="0"/>
              <w:rPr>
                <w:sz w:val="1"/>
                <w:szCs w:val="1"/>
                <w:color w:val="auto"/>
              </w:rPr>
            </w:pPr>
          </w:p>
        </w:tc>
      </w:tr>
      <w:tr>
        <w:trPr>
          <w:trHeight w:val="216"/>
        </w:trPr>
        <w:tc>
          <w:tcPr>
            <w:tcW w:w="162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Expected Credit</w:t>
            </w:r>
          </w:p>
        </w:tc>
        <w:tc>
          <w:tcPr>
            <w:tcW w:w="15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Expected Credit</w:t>
            </w:r>
          </w:p>
        </w:tc>
        <w:tc>
          <w:tcPr>
            <w:tcW w:w="166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Expected Credit</w:t>
            </w:r>
          </w:p>
        </w:tc>
        <w:tc>
          <w:tcPr>
            <w:tcW w:w="14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Expected Credit</w:t>
            </w:r>
          </w:p>
        </w:tc>
        <w:tc>
          <w:tcPr>
            <w:tcW w:w="0" w:type="dxa"/>
            <w:vAlign w:val="bottom"/>
          </w:tcPr>
          <w:p>
            <w:pPr>
              <w:spacing w:after="0"/>
              <w:rPr>
                <w:sz w:val="1"/>
                <w:szCs w:val="1"/>
                <w:color w:val="auto"/>
              </w:rPr>
            </w:pPr>
          </w:p>
        </w:tc>
      </w:tr>
      <w:tr>
        <w:trPr>
          <w:trHeight w:val="238"/>
        </w:trPr>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00" w:type="dxa"/>
            <w:vAlign w:val="bottom"/>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00" w:type="dxa"/>
            <w:vAlign w:val="bottom"/>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40" w:type="dxa"/>
            <w:vAlign w:val="bottom"/>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3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24"/>
                <w:szCs w:val="24"/>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59,979</w:t>
            </w:r>
          </w:p>
        </w:tc>
        <w:tc>
          <w:tcPr>
            <w:tcW w:w="8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49,587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453"/>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92,831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91,249</w:t>
            </w:r>
          </w:p>
        </w:tc>
        <w:tc>
          <w:tcPr>
            <w:tcW w:w="10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120" w:type="dxa"/>
            <w:vAlign w:val="bottom"/>
          </w:tcPr>
          <w:p>
            <w:pPr>
              <w:spacing w:after="0"/>
              <w:rPr>
                <w:sz w:val="24"/>
                <w:szCs w:val="24"/>
                <w:color w:val="auto"/>
              </w:rPr>
            </w:pPr>
          </w:p>
        </w:tc>
        <w:tc>
          <w:tcPr>
            <w:tcW w:w="3000" w:type="dxa"/>
            <w:vAlign w:val="bottom"/>
            <w:gridSpan w:val="9"/>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As of and For the Six Months Ended</w:t>
            </w:r>
          </w:p>
        </w:tc>
        <w:tc>
          <w:tcPr>
            <w:tcW w:w="140" w:type="dxa"/>
            <w:vAlign w:val="bottom"/>
          </w:tcPr>
          <w:p>
            <w:pPr>
              <w:spacing w:after="0"/>
              <w:rPr>
                <w:sz w:val="24"/>
                <w:szCs w:val="24"/>
                <w:color w:val="auto"/>
              </w:rPr>
            </w:pPr>
          </w:p>
        </w:tc>
        <w:tc>
          <w:tcPr>
            <w:tcW w:w="3000" w:type="dxa"/>
            <w:vAlign w:val="bottom"/>
            <w:gridSpan w:val="8"/>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As of and For the Six Months Ended</w:t>
            </w: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gridSpan w:val="8"/>
          </w:tcPr>
          <w:p>
            <w:pPr>
              <w:ind w:left="8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5"/>
          </w:tcPr>
          <w:p>
            <w:pPr>
              <w:ind w:left="82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3"/>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Premiums and</w:t>
            </w: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3"/>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Premiums and</w:t>
            </w: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50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Agents’ Balances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Agents’ Balances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50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Receivable, Net of</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Receivable, Net of</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8"/>
              </w:rPr>
              <w:t>Allowance for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Allowance for</w:t>
            </w:r>
          </w:p>
        </w:tc>
        <w:tc>
          <w:tcPr>
            <w:tcW w:w="120" w:type="dxa"/>
            <w:vAlign w:val="bottom"/>
          </w:tcPr>
          <w:p>
            <w:pPr>
              <w:spacing w:after="0"/>
              <w:rPr>
                <w:sz w:val="18"/>
                <w:szCs w:val="18"/>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50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Expected Credit</w:t>
            </w:r>
          </w:p>
        </w:tc>
        <w:tc>
          <w:tcPr>
            <w:tcW w:w="150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Expected Credit</w:t>
            </w:r>
          </w:p>
        </w:tc>
        <w:tc>
          <w:tcPr>
            <w:tcW w:w="140" w:type="dxa"/>
            <w:vAlign w:val="bottom"/>
          </w:tcPr>
          <w:p>
            <w:pPr>
              <w:spacing w:after="0"/>
              <w:rPr>
                <w:sz w:val="18"/>
                <w:szCs w:val="18"/>
                <w:color w:val="auto"/>
              </w:rPr>
            </w:pPr>
          </w:p>
        </w:tc>
        <w:tc>
          <w:tcPr>
            <w:tcW w:w="152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Expected Credit</w:t>
            </w:r>
          </w:p>
        </w:tc>
        <w:tc>
          <w:tcPr>
            <w:tcW w:w="12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Expected Credit</w:t>
            </w: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3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56,154</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394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47,346</w:t>
            </w: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0"/>
        </w:trPr>
        <w:tc>
          <w:tcPr>
            <w:tcW w:w="22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92,831</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348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91,249</w:t>
            </w: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-3385185</wp:posOffset>
            </wp:positionV>
            <wp:extent cx="7132320" cy="1454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-3076575</wp:posOffset>
            </wp:positionV>
            <wp:extent cx="7132320"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-2785110</wp:posOffset>
            </wp:positionV>
            <wp:extent cx="7132320" cy="1454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-2493645</wp:posOffset>
            </wp:positionV>
            <wp:extent cx="7132320" cy="1625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-1071245</wp:posOffset>
            </wp:positionV>
            <wp:extent cx="7132320" cy="146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-762635</wp:posOffset>
            </wp:positionV>
            <wp:extent cx="7132320" cy="1543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-471170</wp:posOffset>
            </wp:positionV>
            <wp:extent cx="7132320" cy="146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-179705</wp:posOffset>
            </wp:positionV>
            <wp:extent cx="7132320" cy="1631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20" w:space="720"/>
            <w:col w:w="6260"/>
          </w:cols>
          <w:pgMar w:left="320" w:top="225" w:right="379" w:bottom="1440" w:gutter="0" w:footer="0" w:header="0"/>
          <w:type w:val="continuous"/>
        </w:sect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type w:val="continuous"/>
        </w:sectPr>
      </w:pPr>
    </w:p>
    <w:bookmarkStart w:id="38" w:name="page39"/>
    <w:bookmarkEnd w:id="3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95" w:lineRule="exact"/>
        <w:rPr>
          <w:sz w:val="20"/>
          <w:szCs w:val="20"/>
          <w:color w:val="auto"/>
        </w:rPr>
      </w:pPr>
    </w:p>
    <w:tbl>
      <w:tblPr>
        <w:tblLayout w:type="fixed"/>
        <w:tblInd w:w="5080" w:type="dxa"/>
        <w:tblCellMar>
          <w:top w:w="0" w:type="dxa"/>
          <w:left w:w="0" w:type="dxa"/>
          <w:bottom w:w="0" w:type="dxa"/>
          <w:right w:w="0" w:type="dxa"/>
        </w:tblCellMar>
      </w:tblPr>
      <w:tr>
        <w:trPr>
          <w:trHeight w:val="216"/>
        </w:trPr>
        <w:tc>
          <w:tcPr>
            <w:tcW w:w="31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As of and For the Three Months</w:t>
            </w:r>
          </w:p>
        </w:tc>
        <w:tc>
          <w:tcPr>
            <w:tcW w:w="29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of and For the Three Months</w:t>
            </w:r>
          </w:p>
        </w:tc>
      </w:tr>
      <w:tr>
        <w:trPr>
          <w:trHeight w:val="238"/>
        </w:trPr>
        <w:tc>
          <w:tcPr>
            <w:tcW w:w="31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Ended June 30, 2024</w:t>
            </w:r>
          </w:p>
        </w:tc>
        <w:tc>
          <w:tcPr>
            <w:tcW w:w="29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Ended June 30, 2023</w:t>
            </w:r>
          </w:p>
        </w:tc>
      </w:tr>
      <w:tr>
        <w:trPr>
          <w:trHeight w:val="187"/>
        </w:trPr>
        <w:tc>
          <w:tcPr>
            <w:tcW w:w="1520" w:type="dxa"/>
            <w:vAlign w:val="bottom"/>
            <w:tcBorders>
              <w:top w:val="single" w:sz="8" w:color="auto"/>
            </w:tcBorders>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Premiums and</w:t>
            </w:r>
          </w:p>
        </w:tc>
        <w:tc>
          <w:tcPr>
            <w:tcW w:w="14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Borders>
              <w:top w:val="single" w:sz="8" w:color="auto"/>
            </w:tcBorders>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Premiums and</w:t>
            </w:r>
          </w:p>
        </w:tc>
        <w:tc>
          <w:tcPr>
            <w:tcW w:w="1400" w:type="dxa"/>
            <w:vAlign w:val="bottom"/>
            <w:tcBorders>
              <w:top w:val="single" w:sz="8" w:color="auto"/>
            </w:tcBorders>
          </w:tcPr>
          <w:p>
            <w:pPr>
              <w:spacing w:after="0"/>
              <w:rPr>
                <w:sz w:val="16"/>
                <w:szCs w:val="16"/>
                <w:color w:val="auto"/>
              </w:rPr>
            </w:pPr>
          </w:p>
        </w:tc>
      </w:tr>
      <w:tr>
        <w:trPr>
          <w:trHeight w:val="216"/>
        </w:trPr>
        <w:tc>
          <w:tcPr>
            <w:tcW w:w="15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Agents’ Balances</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Agents’ Balances</w:t>
            </w:r>
          </w:p>
        </w:tc>
        <w:tc>
          <w:tcPr>
            <w:tcW w:w="1400" w:type="dxa"/>
            <w:vAlign w:val="bottom"/>
          </w:tcPr>
          <w:p>
            <w:pPr>
              <w:spacing w:after="0"/>
              <w:rPr>
                <w:sz w:val="18"/>
                <w:szCs w:val="18"/>
                <w:color w:val="auto"/>
              </w:rPr>
            </w:pPr>
          </w:p>
        </w:tc>
      </w:tr>
      <w:tr>
        <w:trPr>
          <w:trHeight w:val="216"/>
        </w:trPr>
        <w:tc>
          <w:tcPr>
            <w:tcW w:w="15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Receivable, Net of</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Receivable, Net of</w:t>
            </w:r>
          </w:p>
        </w:tc>
        <w:tc>
          <w:tcPr>
            <w:tcW w:w="1400" w:type="dxa"/>
            <w:vAlign w:val="bottom"/>
          </w:tcPr>
          <w:p>
            <w:pPr>
              <w:spacing w:after="0"/>
              <w:rPr>
                <w:sz w:val="18"/>
                <w:szCs w:val="18"/>
                <w:color w:val="auto"/>
              </w:rPr>
            </w:pPr>
          </w:p>
        </w:tc>
      </w:tr>
      <w:tr>
        <w:trPr>
          <w:trHeight w:val="216"/>
        </w:trPr>
        <w:tc>
          <w:tcPr>
            <w:tcW w:w="15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Allowance for</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15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Allowance for</w:t>
            </w:r>
          </w:p>
        </w:tc>
      </w:tr>
      <w:tr>
        <w:trPr>
          <w:trHeight w:val="216"/>
        </w:trPr>
        <w:tc>
          <w:tcPr>
            <w:tcW w:w="15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Expected Credit</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Expected Credit</w:t>
            </w:r>
          </w:p>
        </w:tc>
        <w:tc>
          <w:tcPr>
            <w:tcW w:w="15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Expected Credit</w:t>
            </w:r>
          </w:p>
        </w:tc>
        <w:tc>
          <w:tcPr>
            <w:tcW w:w="140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Expected Credit</w:t>
            </w:r>
          </w:p>
        </w:tc>
      </w:tr>
      <w:tr>
        <w:trPr>
          <w:trHeight w:val="238"/>
        </w:trPr>
        <w:tc>
          <w:tcPr>
            <w:tcW w:w="15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5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40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Losses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454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Discontinued operations: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beginning of period</w:t>
      </w:r>
    </w:p>
    <w:p>
      <w:pPr>
        <w:spacing w:after="0" w:line="274" w:lineRule="exact"/>
        <w:rPr>
          <w:sz w:val="20"/>
          <w:szCs w:val="20"/>
          <w:color w:val="auto"/>
        </w:rPr>
      </w:pPr>
    </w:p>
    <w:p>
      <w:pPr>
        <w:ind w:right="900"/>
        <w:spacing w:after="0" w:line="312" w:lineRule="auto"/>
        <w:rPr>
          <w:sz w:val="20"/>
          <w:szCs w:val="20"/>
          <w:color w:val="auto"/>
        </w:rPr>
      </w:pPr>
      <w:r>
        <w:rPr>
          <w:rFonts w:ascii="Times New Roman" w:cs="Times New Roman" w:eastAsia="Times New Roman" w:hAnsi="Times New Roman"/>
          <w:sz w:val="17"/>
          <w:szCs w:val="17"/>
          <w:color w:val="auto"/>
        </w:rPr>
        <w:t>Current period charge for expected credit losses Write-offs of uncollectible premiums receivable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end of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Discontinued operations: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beginning of period</w:t>
      </w:r>
    </w:p>
    <w:p>
      <w:pPr>
        <w:spacing w:after="0" w:line="274" w:lineRule="exact"/>
        <w:rPr>
          <w:sz w:val="20"/>
          <w:szCs w:val="20"/>
          <w:color w:val="auto"/>
        </w:rPr>
      </w:pPr>
    </w:p>
    <w:p>
      <w:pPr>
        <w:ind w:right="900"/>
        <w:spacing w:after="0" w:line="312" w:lineRule="auto"/>
        <w:rPr>
          <w:sz w:val="20"/>
          <w:szCs w:val="20"/>
          <w:color w:val="auto"/>
        </w:rPr>
      </w:pPr>
      <w:r>
        <w:rPr>
          <w:rFonts w:ascii="Times New Roman" w:cs="Times New Roman" w:eastAsia="Times New Roman" w:hAnsi="Times New Roman"/>
          <w:sz w:val="17"/>
          <w:szCs w:val="17"/>
          <w:color w:val="auto"/>
        </w:rPr>
        <w:t>Current period charge for expected credit losses Write-offs of uncollectible premiums receivable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end of period</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19,727</w:t>
            </w: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14,915</w:t>
            </w:r>
          </w:p>
        </w:tc>
        <w:tc>
          <w:tcPr>
            <w:tcW w:w="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16,030</w:t>
            </w: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15,697</w:t>
            </w:r>
          </w:p>
        </w:tc>
        <w:tc>
          <w:tcPr>
            <w:tcW w:w="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6"/>
        </w:trPr>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40" w:type="dxa"/>
            <w:vAlign w:val="bottom"/>
            <w:gridSpan w:val="5"/>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As of and For the Six Months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80" w:type="dxa"/>
            <w:vAlign w:val="bottom"/>
            <w:gridSpan w:val="9"/>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As of and For the Six Months Ended</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Ended June 30, 2024</w:t>
            </w:r>
          </w:p>
        </w:tc>
        <w:tc>
          <w:tcPr>
            <w:tcW w:w="2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6"/>
          </w:tcPr>
          <w:p>
            <w:pPr>
              <w:ind w:left="82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9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gridSpan w:val="3"/>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Premiums and</w:t>
            </w: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3"/>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Premiums and</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5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Agents’ Balances</w:t>
            </w: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Agents’ Balances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5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Receivable, Net of</w:t>
            </w: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Receivable, Net of</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20" w:type="dxa"/>
            <w:vAlign w:val="bottom"/>
          </w:tcPr>
          <w:p>
            <w:pPr>
              <w:spacing w:after="0"/>
              <w:rPr>
                <w:sz w:val="18"/>
                <w:szCs w:val="18"/>
                <w:color w:val="auto"/>
              </w:rPr>
            </w:pPr>
          </w:p>
        </w:tc>
        <w:tc>
          <w:tcPr>
            <w:tcW w:w="14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Allowance for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58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Expected Credit</w:t>
            </w:r>
          </w:p>
        </w:tc>
        <w:tc>
          <w:tcPr>
            <w:tcW w:w="20" w:type="dxa"/>
            <w:vAlign w:val="bottom"/>
          </w:tcPr>
          <w:p>
            <w:pPr>
              <w:spacing w:after="0"/>
              <w:rPr>
                <w:sz w:val="18"/>
                <w:szCs w:val="18"/>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Expected Credit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Expected Credit</w:t>
            </w: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Expected Credit</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17,904</w:t>
            </w:r>
          </w:p>
        </w:tc>
        <w:tc>
          <w:tcPr>
            <w:tcW w:w="20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24"/>
                <w:szCs w:val="24"/>
                <w:color w:val="auto"/>
              </w:rPr>
            </w:pPr>
          </w:p>
        </w:tc>
        <w:tc>
          <w:tcPr>
            <w:tcW w:w="1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14,827</w:t>
            </w:r>
          </w:p>
        </w:tc>
        <w:tc>
          <w:tcPr>
            <w:tcW w:w="200" w:type="dxa"/>
            <w:vAlign w:val="bottom"/>
          </w:tcPr>
          <w:p>
            <w:pPr>
              <w:spacing w:after="0"/>
              <w:rPr>
                <w:sz w:val="24"/>
                <w:szCs w:val="24"/>
                <w:color w:val="auto"/>
              </w:rPr>
            </w:pPr>
          </w:p>
        </w:tc>
        <w:tc>
          <w:tcPr>
            <w:tcW w:w="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2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16,030</w:t>
            </w:r>
          </w:p>
        </w:tc>
        <w:tc>
          <w:tcPr>
            <w:tcW w:w="20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24"/>
                <w:szCs w:val="24"/>
                <w:color w:val="auto"/>
              </w:rPr>
            </w:pPr>
          </w:p>
        </w:tc>
        <w:tc>
          <w:tcPr>
            <w:tcW w:w="1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15,697</w:t>
            </w:r>
          </w:p>
        </w:tc>
        <w:tc>
          <w:tcPr>
            <w:tcW w:w="200" w:type="dxa"/>
            <w:vAlign w:val="bottom"/>
          </w:tcPr>
          <w:p>
            <w:pPr>
              <w:spacing w:after="0"/>
              <w:rPr>
                <w:sz w:val="24"/>
                <w:szCs w:val="24"/>
                <w:color w:val="auto"/>
              </w:rPr>
            </w:pPr>
          </w:p>
        </w:tc>
        <w:tc>
          <w:tcPr>
            <w:tcW w:w="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-3213735</wp:posOffset>
            </wp:positionV>
            <wp:extent cx="7132320" cy="154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-2922270</wp:posOffset>
            </wp:positionV>
            <wp:extent cx="7132320" cy="1454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-2631440</wp:posOffset>
            </wp:positionV>
            <wp:extent cx="7132320" cy="1631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-1071245</wp:posOffset>
            </wp:positionV>
            <wp:extent cx="7132320" cy="146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-762635</wp:posOffset>
            </wp:positionV>
            <wp:extent cx="7132320" cy="1543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-471170</wp:posOffset>
            </wp:positionV>
            <wp:extent cx="7132320" cy="146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-179705</wp:posOffset>
            </wp:positionV>
            <wp:extent cx="7132320" cy="1631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60" w:space="720"/>
            <w:col w:w="6120"/>
          </w:cols>
          <w:pgMar w:left="320" w:top="225" w:right="379" w:bottom="1440" w:gutter="0" w:footer="0" w:header="0"/>
          <w:type w:val="continuous"/>
        </w:sect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type w:val="continuous"/>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95"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Discontinued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7, 2024, we entered into a definitive agreement to sell our subsidiary, Westminster, to Scott Insurance Holdings, for a cash purchase price of</w:t>
      </w:r>
    </w:p>
    <w:p>
      <w:pPr>
        <w:spacing w:after="0" w:line="27"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$10,500, as well as a $1,772 post-closing adjustment pursuant to the purchase agreement, for a net amount of $12,272. The sale closed on June 30, 2024, and we reported an after-tax loss on the sale of discontinued operations of $7,762. For additional information see Part I, Item 1, Note 2 “Basis of Presentation and Accounting Policies” of this Form 10-Q.</w:t>
      </w:r>
    </w:p>
    <w:p>
      <w:pPr>
        <w:spacing w:after="0" w:line="18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assets and liabilities associated with discontinued operations prior to the closing of the sale have been presented separately in our Consolidated Balance Sheets. The Company’s Consolidated Statements of Cash Flows presents operating, investing, and financing cash flows of the discontinued operations separately. The major assets and liability categories were as follows as of the dates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7"/>
              </w:rPr>
              <w:t>June 30, 2024</w:t>
            </w:r>
          </w:p>
        </w:tc>
        <w:tc>
          <w:tcPr>
            <w:tcW w:w="156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8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 income securities, at fair value</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securities, at fair value</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5,784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cash and investments</w:t>
            </w:r>
          </w:p>
        </w:tc>
        <w:tc>
          <w:tcPr>
            <w:tcW w:w="8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79,772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Premiums and agents’ balances receivable</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Reinsurance premiums receivable</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Reinsurance recoverables on losses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42,509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16"/>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7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assets of discontinued operations</w:t>
            </w:r>
          </w:p>
        </w:tc>
        <w:tc>
          <w:tcPr>
            <w:tcW w:w="8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162,457</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7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Unpaid losses and loss adjustment expenses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Unearned premiums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payable (receivable)</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liabilities of discontinued operations</w:t>
            </w: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141,297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Summary operating results of discontinued operations were as follows for the periods indicated:</w:t>
            </w: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60" w:type="dxa"/>
            <w:vAlign w:val="bottom"/>
            <w:gridSpan w:val="5"/>
            <w:vMerge w:val="continue"/>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60" w:type="dxa"/>
            <w:vAlign w:val="bottom"/>
            <w:gridSpan w:val="6"/>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0" w:type="dxa"/>
            <w:vAlign w:val="bottom"/>
            <w:gridSpan w:val="8"/>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47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premiums earned</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15,383</w:t>
            </w:r>
          </w:p>
        </w:tc>
        <w:tc>
          <w:tcPr>
            <w:tcW w:w="32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15,311</w:t>
            </w:r>
          </w:p>
        </w:tc>
        <w:tc>
          <w:tcPr>
            <w:tcW w:w="3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31,056</w:t>
            </w:r>
          </w:p>
        </w:tc>
        <w:tc>
          <w:tcPr>
            <w:tcW w:w="220" w:type="dxa"/>
            <w:vAlign w:val="bottom"/>
          </w:tcPr>
          <w:p>
            <w:pPr>
              <w:spacing w:after="0"/>
              <w:rPr>
                <w:sz w:val="18"/>
                <w:szCs w:val="18"/>
                <w:color w:val="auto"/>
              </w:rPr>
            </w:pP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Fee and other income</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investment income</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621</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582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investment gains (losses)</w:t>
            </w: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(256)</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revenues</w:t>
            </w:r>
          </w:p>
        </w:tc>
        <w:tc>
          <w:tcPr>
            <w:tcW w:w="8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15,755</w:t>
            </w: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32,605</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31,231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11,441</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17,429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4,083</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3,795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7,928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underwriting and general expenses</w:t>
            </w: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1,495</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expenses</w:t>
            </w:r>
          </w:p>
        </w:tc>
        <w:tc>
          <w:tcPr>
            <w:tcW w:w="8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17,019</w:t>
            </w: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34,522</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46,183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(1,264)</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(1,917)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(14,952)</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(268)</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(405)</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(2,979)</w:t>
            </w:r>
          </w:p>
        </w:tc>
        <w:tc>
          <w:tcPr>
            <w:tcW w:w="0" w:type="dxa"/>
            <w:vAlign w:val="bottom"/>
          </w:tcPr>
          <w:p>
            <w:pPr>
              <w:spacing w:after="0"/>
              <w:rPr>
                <w:sz w:val="1"/>
                <w:szCs w:val="1"/>
                <w:color w:val="auto"/>
              </w:rPr>
            </w:pPr>
          </w:p>
        </w:tc>
      </w:tr>
      <w:tr>
        <w:trPr>
          <w:trHeight w:val="263"/>
        </w:trPr>
        <w:tc>
          <w:tcPr>
            <w:tcW w:w="47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8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80" w:type="dxa"/>
            <w:vAlign w:val="bottom"/>
            <w:tcBorders>
              <w:bottom w:val="single" w:sz="8" w:color="CCEEFF"/>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(5,659</w:t>
            </w:r>
          </w:p>
        </w:tc>
        <w:tc>
          <w:tcPr>
            <w:tcW w:w="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(11,973</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6"/>
        </w:trPr>
        <w:tc>
          <w:tcPr>
            <w:tcW w:w="47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Loss per common share from discontinued operations: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(0.41)</w:t>
            </w:r>
          </w:p>
        </w:tc>
        <w:tc>
          <w:tcPr>
            <w:tcW w:w="32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3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(0.44)</w:t>
            </w:r>
          </w:p>
        </w:tc>
        <w:tc>
          <w:tcPr>
            <w:tcW w:w="2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(0.56)</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80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196"/>
        </w:trPr>
        <w:tc>
          <w:tcPr>
            <w:tcW w:w="472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(0.41</w:t>
            </w:r>
          </w:p>
        </w:tc>
        <w:tc>
          <w:tcPr>
            <w:tcW w:w="18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(0.26</w:t>
            </w:r>
          </w:p>
        </w:tc>
        <w:tc>
          <w:tcPr>
            <w:tcW w:w="1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(0.44</w:t>
            </w:r>
          </w:p>
        </w:tc>
        <w:tc>
          <w:tcPr>
            <w:tcW w:w="2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(0.56</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5" w:right="339" w:bottom="1440" w:gutter="0" w:footer="0" w:header="0"/>
        </w:sectPr>
      </w:pPr>
    </w:p>
    <w:p>
      <w:pPr>
        <w:spacing w:after="0" w:line="1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95"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five reportable operating segments of our continuing operations, which consist of Private Passenger Auto, Non-Standard Auto, Home and Farm, Crop, and All Other (which primarily consists of commercial, assumed reinsurance, and our excess liability business). Prior to the sale of Westminster on June 30, 2024, we also reported a Commercial segment that consisted primarily of Westminster’s balances and results. Subsequent to the sale, Westminster is reported as part of discontinued operations, which is not included in our segment information. The commercial business that remains a part of our continuing operations has been included in the All Other segment for the current and prior periods presented. We operate only in the U.S., and no single customer or agent provides 10 percent or more of our revenues. The following tables provide available information of these segments for the three- and six-month periods ended June 30, 2024 and 2023.</w:t>
      </w:r>
    </w:p>
    <w:p>
      <w:pPr>
        <w:spacing w:after="0" w:line="18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For purposes of evaluating profitability of the Non-Standard Auto segment, we combine the policy fees paid by the insured with the underwriting gain or loss as its primary measure. As a result, these fees are allocated to the Non-Standard Auto segment (included in fee and other income) in the tables below. The remaining fee and other income amounts are not allocated to any segment.</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do not assign or allocate all line items in our Consolidated Statement of Operations or Consolidated Balance Sheets to our operating segments. Those line items include net investment income, net investment gains, fee and other income excluding Non-Standard Auto, and income tax expense (benefit) within the Unaudited Consolidated Statement of Operations. For the Consolidated Balance Sheets, those items include cash and investments, property and equipment, other assets, accrued expenses and other liabilities, income taxes recoverable or payable, and shareholders’ equity.</w:t>
      </w: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10"/>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381"/>
              <w:spacing w:after="0" w:line="188" w:lineRule="exact"/>
              <w:rPr>
                <w:sz w:val="20"/>
                <w:szCs w:val="20"/>
                <w:color w:val="auto"/>
              </w:rPr>
            </w:pPr>
            <w:r>
              <w:rPr>
                <w:rFonts w:ascii="Times New Roman" w:cs="Times New Roman" w:eastAsia="Times New Roman" w:hAnsi="Times New Roman"/>
                <w:sz w:val="18"/>
                <w:szCs w:val="18"/>
                <w:b w:val="1"/>
                <w:bCs w:val="1"/>
                <w:color w:val="auto"/>
              </w:rPr>
              <w:t>Private</w:t>
            </w:r>
          </w:p>
        </w:tc>
        <w:tc>
          <w:tcPr>
            <w:tcW w:w="80" w:type="dxa"/>
            <w:vAlign w:val="bottom"/>
          </w:tcPr>
          <w:p>
            <w:pPr>
              <w:spacing w:after="0"/>
              <w:rPr>
                <w:sz w:val="16"/>
                <w:szCs w:val="16"/>
                <w:color w:val="auto"/>
              </w:rPr>
            </w:pPr>
          </w:p>
        </w:tc>
        <w:tc>
          <w:tcPr>
            <w:tcW w:w="126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Non-Standard</w:t>
            </w:r>
          </w:p>
        </w:tc>
        <w:tc>
          <w:tcPr>
            <w:tcW w:w="80" w:type="dxa"/>
            <w:vAlign w:val="bottom"/>
          </w:tcPr>
          <w:p>
            <w:pPr>
              <w:spacing w:after="0"/>
              <w:rPr>
                <w:sz w:val="16"/>
                <w:szCs w:val="16"/>
                <w:color w:val="auto"/>
              </w:rPr>
            </w:pPr>
          </w:p>
        </w:tc>
        <w:tc>
          <w:tcPr>
            <w:tcW w:w="1140" w:type="dxa"/>
            <w:vAlign w:val="bottom"/>
            <w:gridSpan w:val="3"/>
          </w:tcPr>
          <w:p>
            <w:pPr>
              <w:jc w:val="right"/>
              <w:ind w:right="181"/>
              <w:spacing w:after="0" w:line="188" w:lineRule="exact"/>
              <w:rPr>
                <w:sz w:val="20"/>
                <w:szCs w:val="20"/>
                <w:color w:val="auto"/>
              </w:rPr>
            </w:pPr>
            <w:r>
              <w:rPr>
                <w:rFonts w:ascii="Times New Roman" w:cs="Times New Roman" w:eastAsia="Times New Roman" w:hAnsi="Times New Roman"/>
                <w:sz w:val="18"/>
                <w:szCs w:val="18"/>
                <w:b w:val="1"/>
                <w:bCs w:val="1"/>
                <w:color w:val="auto"/>
              </w:rPr>
              <w:t>Home and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520" w:type="dxa"/>
            <w:vAlign w:val="bottom"/>
          </w:tcPr>
          <w:p>
            <w:pPr>
              <w:spacing w:after="0"/>
              <w:rPr>
                <w:sz w:val="20"/>
                <w:szCs w:val="20"/>
                <w:color w:val="auto"/>
              </w:rPr>
            </w:pPr>
          </w:p>
        </w:tc>
        <w:tc>
          <w:tcPr>
            <w:tcW w:w="156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Passenger Auto</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Auto</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Farm</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Crop</w:t>
            </w:r>
          </w:p>
        </w:tc>
        <w:tc>
          <w:tcPr>
            <w:tcW w:w="10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80" w:type="dxa"/>
            <w:vAlign w:val="bottom"/>
          </w:tcPr>
          <w:p>
            <w:pPr>
              <w:spacing w:after="0"/>
              <w:rPr>
                <w:sz w:val="20"/>
                <w:szCs w:val="20"/>
                <w:color w:val="auto"/>
              </w:rPr>
            </w:pPr>
          </w:p>
        </w:tc>
        <w:tc>
          <w:tcPr>
            <w:tcW w:w="92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premiums earned</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Assumed premiums earned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653</w:t>
            </w:r>
          </w:p>
        </w:tc>
      </w:tr>
      <w:tr>
        <w:trPr>
          <w:trHeight w:val="229"/>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Ceded premiums earned</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(924)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(3,075)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(2,643)</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(265)</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(6,984)</w:t>
            </w:r>
          </w:p>
        </w:tc>
      </w:tr>
      <w:tr>
        <w:trPr>
          <w:trHeight w:val="209"/>
        </w:trPr>
        <w:tc>
          <w:tcPr>
            <w:tcW w:w="3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premiums earned</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10,978</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85,169</w:t>
            </w:r>
          </w:p>
        </w:tc>
        <w:tc>
          <w:tcPr>
            <w:tcW w:w="10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Direct losses and loss adjustment expenses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20,899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19,313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22,574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8,916</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1,648</w:t>
            </w:r>
          </w:p>
        </w:tc>
        <w:tc>
          <w:tcPr>
            <w:tcW w:w="18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73,350</w:t>
            </w: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losses and loss adjustment expenses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224</w:t>
            </w:r>
          </w:p>
        </w:tc>
      </w:tr>
      <w:tr>
        <w:trPr>
          <w:trHeight w:val="22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Ceded losses and loss adjustment expenses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(970)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(548)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(1,852)</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(846)</w:t>
            </w:r>
          </w:p>
        </w:tc>
        <w:tc>
          <w:tcPr>
            <w:tcW w:w="1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(4,216)</w:t>
            </w:r>
          </w:p>
        </w:tc>
      </w:tr>
      <w:tr>
        <w:trPr>
          <w:trHeight w:val="210"/>
        </w:trPr>
        <w:tc>
          <w:tcPr>
            <w:tcW w:w="352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losses and loss adjustment expenses</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35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09"/>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15,811</w:t>
            </w:r>
          </w:p>
        </w:tc>
        <w:tc>
          <w:tcPr>
            <w:tcW w:w="100" w:type="dxa"/>
            <w:vAlign w:val="bottom"/>
            <w:shd w:val="clear" w:color="auto" w:fill="CCEEFF"/>
          </w:tcPr>
          <w:p>
            <w:pPr>
              <w:spacing w:after="0"/>
              <w:rPr>
                <w:sz w:val="18"/>
                <w:szCs w:val="18"/>
                <w:color w:val="auto"/>
              </w:rPr>
            </w:pPr>
          </w:p>
        </w:tc>
      </w:tr>
      <w:tr>
        <w:trPr>
          <w:trHeight w:val="210"/>
        </w:trPr>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Underwriting and general expenses</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6,836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10,261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7,246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1,712</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1,464</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27,519</w:t>
            </w:r>
          </w:p>
        </w:tc>
      </w:tr>
      <w:tr>
        <w:trPr>
          <w:trHeight w:val="210"/>
        </w:trPr>
        <w:tc>
          <w:tcPr>
            <w:tcW w:w="35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Underwriting gain (loss)</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(4,294</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(7,348</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(11,708</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3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Fee and other income</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340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695</w:t>
            </w:r>
          </w:p>
        </w:tc>
      </w:tr>
      <w:tr>
        <w:trPr>
          <w:trHeight w:val="210"/>
        </w:trPr>
        <w:tc>
          <w:tcPr>
            <w:tcW w:w="3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225"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jc w:val="right"/>
        <w:ind w:right="7293"/>
        <w:spacing w:after="0"/>
        <w:rPr>
          <w:sz w:val="20"/>
          <w:szCs w:val="20"/>
          <w:color w:val="auto"/>
        </w:rPr>
      </w:pPr>
      <w:r>
        <w:rPr>
          <w:rFonts w:ascii="Times New Roman" w:cs="Times New Roman" w:eastAsia="Times New Roman" w:hAnsi="Times New Roman"/>
          <w:sz w:val="18"/>
          <w:szCs w:val="18"/>
          <w:color w:val="auto"/>
        </w:rPr>
        <w:t>Net investment gains (losses)</w:t>
      </w:r>
    </w:p>
    <w:p>
      <w:pPr>
        <w:spacing w:after="0" w:line="18" w:lineRule="exact"/>
        <w:rPr>
          <w:sz w:val="20"/>
          <w:szCs w:val="20"/>
          <w:color w:val="auto"/>
        </w:rPr>
      </w:pPr>
    </w:p>
    <w:p>
      <w:pPr>
        <w:jc w:val="right"/>
        <w:ind w:right="7313"/>
        <w:spacing w:after="0"/>
        <w:rPr>
          <w:sz w:val="20"/>
          <w:szCs w:val="20"/>
          <w:color w:val="auto"/>
        </w:rPr>
      </w:pPr>
      <w:r>
        <w:rPr>
          <w:rFonts w:ascii="Times New Roman" w:cs="Times New Roman" w:eastAsia="Times New Roman" w:hAnsi="Times New Roman"/>
          <w:sz w:val="18"/>
          <w:szCs w:val="18"/>
          <w:color w:val="auto"/>
        </w:rPr>
        <w:t>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jc w:val="right"/>
        <w:ind w:right="7313"/>
        <w:spacing w:after="0"/>
        <w:rPr>
          <w:sz w:val="20"/>
          <w:szCs w:val="20"/>
          <w:color w:val="auto"/>
        </w:rPr>
      </w:pPr>
      <w:r>
        <w:rPr>
          <w:rFonts w:ascii="Times New Roman" w:cs="Times New Roman" w:eastAsia="Times New Roman" w:hAnsi="Times New Roman"/>
          <w:sz w:val="18"/>
          <w:szCs w:val="18"/>
          <w:color w:val="auto"/>
        </w:rPr>
        <w:t>Income tax expense (benefit)</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loss attributable to NI Holdings, Inc.</w:t>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Times New Roman" w:cs="Times New Roman" w:eastAsia="Times New Roman" w:hAnsi="Times New Roman"/>
          <w:sz w:val="18"/>
          <w:szCs w:val="18"/>
          <w:color w:val="auto"/>
        </w:rPr>
        <w:t>2,523</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(580)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3436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(9,070)</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(1,592)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3436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(7,478)</w:t>
      </w:r>
    </w:p>
    <w:p>
      <w:pPr>
        <w:spacing w:after="0" w:line="2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3436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3" w:lineRule="exact"/>
        <w:rPr>
          <w:sz w:val="20"/>
          <w:szCs w:val="20"/>
          <w:color w:val="auto"/>
        </w:rPr>
      </w:pPr>
    </w:p>
    <w:p>
      <w:pPr>
        <w:ind w:left="527" w:hanging="527"/>
        <w:spacing w:after="0"/>
        <w:tabs>
          <w:tab w:leader="none" w:pos="52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(7,478)</w:t>
      </w:r>
    </w:p>
    <w:p>
      <w:pPr>
        <w:spacing w:after="0" w:line="36" w:lineRule="exact"/>
        <w:rPr>
          <w:sz w:val="20"/>
          <w:szCs w:val="20"/>
          <w:color w:val="auto"/>
        </w:rPr>
      </w:pPr>
    </w:p>
    <w:p>
      <w:pPr>
        <w:sectPr>
          <w:pgSz w:w="11900" w:h="16838" w:orient="portrait"/>
          <w:cols w:equalWidth="0" w:num="2">
            <w:col w:w="9413" w:space="720"/>
            <w:col w:w="1107"/>
          </w:cols>
          <w:pgMar w:left="320" w:top="225"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358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9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Operating Ratios:</w:t>
            </w: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Loss and loss adjustment expense ratio</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88.7%</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72.2%</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100.5%</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66.6%</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25.5%</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81.4%</w:t>
            </w:r>
          </w:p>
        </w:tc>
      </w:tr>
      <w:tr>
        <w:trPr>
          <w:trHeight w:val="216"/>
        </w:trPr>
        <w:tc>
          <w:tcPr>
            <w:tcW w:w="3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Expense ratio</w:t>
            </w:r>
          </w:p>
        </w:tc>
        <w:tc>
          <w:tcPr>
            <w:tcW w:w="5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30.4%</w:t>
            </w:r>
          </w:p>
        </w:tc>
        <w:tc>
          <w:tcPr>
            <w:tcW w:w="3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38.4%</w:t>
            </w:r>
          </w:p>
        </w:tc>
        <w:tc>
          <w:tcPr>
            <w:tcW w:w="3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33.1%</w:t>
            </w:r>
          </w:p>
        </w:tc>
        <w:tc>
          <w:tcPr>
            <w:tcW w:w="40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15.6%</w:t>
            </w:r>
          </w:p>
        </w:tc>
        <w:tc>
          <w:tcPr>
            <w:tcW w:w="420" w:type="dxa"/>
            <w:vAlign w:val="bottom"/>
          </w:tcPr>
          <w:p>
            <w:pPr>
              <w:spacing w:after="0"/>
              <w:rPr>
                <w:sz w:val="18"/>
                <w:szCs w:val="18"/>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48.0%</w:t>
            </w: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w:t>
            </w:r>
          </w:p>
        </w:tc>
      </w:tr>
      <w:tr>
        <w:trPr>
          <w:trHeight w:val="216"/>
        </w:trPr>
        <w:tc>
          <w:tcPr>
            <w:tcW w:w="3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Combined ratio</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119.1%</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110.6%</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133.6%</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82.2%</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73.5%</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113.7%</w:t>
            </w:r>
          </w:p>
        </w:tc>
      </w:tr>
      <w:tr>
        <w:trPr>
          <w:trHeight w:val="216"/>
        </w:trPr>
        <w:tc>
          <w:tcPr>
            <w:tcW w:w="3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Balances at June 30, 2024:</w:t>
            </w: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Premiums and agents’ balances receivable</w:t>
            </w:r>
          </w:p>
        </w:tc>
        <w:tc>
          <w:tcPr>
            <w:tcW w:w="5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26,393</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15,357</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11,927</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36,382</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2,772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92,831</w:t>
            </w:r>
          </w:p>
        </w:tc>
      </w:tr>
      <w:tr>
        <w:trPr>
          <w:trHeight w:val="216"/>
        </w:trPr>
        <w:tc>
          <w:tcPr>
            <w:tcW w:w="3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5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6,719</w:t>
            </w:r>
          </w:p>
        </w:tc>
        <w:tc>
          <w:tcPr>
            <w:tcW w:w="3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11,533</w:t>
            </w:r>
          </w:p>
        </w:tc>
        <w:tc>
          <w:tcPr>
            <w:tcW w:w="3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9,598</w:t>
            </w:r>
          </w:p>
        </w:tc>
        <w:tc>
          <w:tcPr>
            <w:tcW w:w="40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2,120</w:t>
            </w:r>
          </w:p>
        </w:tc>
        <w:tc>
          <w:tcPr>
            <w:tcW w:w="420" w:type="dxa"/>
            <w:vAlign w:val="bottom"/>
          </w:tcPr>
          <w:p>
            <w:pPr>
              <w:spacing w:after="0"/>
              <w:rPr>
                <w:sz w:val="18"/>
                <w:szCs w:val="18"/>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1,187</w:t>
            </w: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31,157</w:t>
            </w:r>
          </w:p>
        </w:tc>
      </w:tr>
      <w:tr>
        <w:trPr>
          <w:trHeight w:val="198"/>
        </w:trPr>
        <w:tc>
          <w:tcPr>
            <w:tcW w:w="3580" w:type="dxa"/>
            <w:vAlign w:val="bottom"/>
            <w:shd w:val="clear" w:color="auto" w:fill="CCEEFF"/>
          </w:tcPr>
          <w:p>
            <w:pPr>
              <w:ind w:left="260"/>
              <w:spacing w:after="0" w:line="198" w:lineRule="exact"/>
              <w:rPr>
                <w:sz w:val="20"/>
                <w:szCs w:val="20"/>
                <w:color w:val="auto"/>
              </w:rPr>
            </w:pPr>
            <w:r>
              <w:rPr>
                <w:rFonts w:ascii="Times New Roman" w:cs="Times New Roman" w:eastAsia="Times New Roman" w:hAnsi="Times New Roman"/>
                <w:sz w:val="18"/>
                <w:szCs w:val="18"/>
                <w:color w:val="auto"/>
              </w:rPr>
              <w:t>Reinsurance recoverables on</w:t>
            </w: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losses</w:t>
            </w:r>
          </w:p>
        </w:tc>
        <w:tc>
          <w:tcPr>
            <w:tcW w:w="5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930</w:t>
            </w: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2,726</w:t>
            </w: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1,685</w:t>
            </w:r>
          </w:p>
        </w:tc>
        <w:tc>
          <w:tcPr>
            <w:tcW w:w="4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4,082</w:t>
            </w:r>
          </w:p>
        </w:tc>
        <w:tc>
          <w:tcPr>
            <w:tcW w:w="2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9,423</w:t>
            </w:r>
          </w:p>
        </w:tc>
      </w:tr>
      <w:tr>
        <w:trPr>
          <w:trHeight w:val="198"/>
        </w:trPr>
        <w:tc>
          <w:tcPr>
            <w:tcW w:w="3580" w:type="dxa"/>
            <w:vAlign w:val="bottom"/>
          </w:tcPr>
          <w:p>
            <w:pPr>
              <w:ind w:left="260"/>
              <w:spacing w:after="0" w:line="198" w:lineRule="exact"/>
              <w:rPr>
                <w:sz w:val="20"/>
                <w:szCs w:val="20"/>
                <w:color w:val="auto"/>
              </w:rPr>
            </w:pPr>
            <w:r>
              <w:rPr>
                <w:rFonts w:ascii="Times New Roman" w:cs="Times New Roman" w:eastAsia="Times New Roman" w:hAnsi="Times New Roman"/>
                <w:sz w:val="18"/>
                <w:szCs w:val="18"/>
                <w:color w:val="auto"/>
              </w:rPr>
              <w:t>Receivable from Federal Crop Insurance</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Corporation</w:t>
            </w:r>
          </w:p>
        </w:tc>
        <w:tc>
          <w:tcPr>
            <w:tcW w:w="5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13,793</w:t>
            </w:r>
          </w:p>
        </w:tc>
        <w:tc>
          <w:tcPr>
            <w:tcW w:w="42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13,793</w:t>
            </w:r>
          </w:p>
        </w:tc>
      </w:tr>
      <w:tr>
        <w:trPr>
          <w:trHeight w:val="216"/>
        </w:trPr>
        <w:tc>
          <w:tcPr>
            <w:tcW w:w="3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2,728</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2,728</w:t>
            </w:r>
          </w:p>
        </w:tc>
      </w:tr>
      <w:tr>
        <w:trPr>
          <w:trHeight w:val="216"/>
        </w:trPr>
        <w:tc>
          <w:tcPr>
            <w:tcW w:w="3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Unpaid losses and loss adjustment expenses</w:t>
            </w:r>
          </w:p>
        </w:tc>
        <w:tc>
          <w:tcPr>
            <w:tcW w:w="5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33,643</w:t>
            </w:r>
          </w:p>
        </w:tc>
        <w:tc>
          <w:tcPr>
            <w:tcW w:w="3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69,951</w:t>
            </w:r>
          </w:p>
        </w:tc>
        <w:tc>
          <w:tcPr>
            <w:tcW w:w="3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26,336</w:t>
            </w:r>
          </w:p>
        </w:tc>
        <w:tc>
          <w:tcPr>
            <w:tcW w:w="40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8,770</w:t>
            </w:r>
          </w:p>
        </w:tc>
        <w:tc>
          <w:tcPr>
            <w:tcW w:w="420" w:type="dxa"/>
            <w:vAlign w:val="bottom"/>
          </w:tcPr>
          <w:p>
            <w:pPr>
              <w:spacing w:after="0"/>
              <w:rPr>
                <w:sz w:val="18"/>
                <w:szCs w:val="18"/>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9,827</w:t>
            </w: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148,527</w:t>
            </w:r>
          </w:p>
        </w:tc>
      </w:tr>
      <w:tr>
        <w:trPr>
          <w:trHeight w:val="216"/>
        </w:trPr>
        <w:tc>
          <w:tcPr>
            <w:tcW w:w="3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Unearned premiums</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38,682</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36,170</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54,147</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21,695</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7,036</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157,730</w:t>
            </w:r>
          </w:p>
        </w:tc>
      </w:tr>
      <w:tr>
        <w:trPr>
          <w:trHeight w:val="561"/>
        </w:trPr>
        <w:tc>
          <w:tcPr>
            <w:tcW w:w="35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39</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5" w:right="339" w:bottom="1440" w:gutter="0" w:footer="0" w:header="0"/>
          <w:type w:val="continuous"/>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10"/>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Three Months Ended June 30, 2023</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381"/>
              <w:spacing w:after="0" w:line="188" w:lineRule="exact"/>
              <w:rPr>
                <w:sz w:val="20"/>
                <w:szCs w:val="20"/>
                <w:color w:val="auto"/>
              </w:rPr>
            </w:pPr>
            <w:r>
              <w:rPr>
                <w:rFonts w:ascii="Times New Roman" w:cs="Times New Roman" w:eastAsia="Times New Roman" w:hAnsi="Times New Roman"/>
                <w:sz w:val="18"/>
                <w:szCs w:val="18"/>
                <w:b w:val="1"/>
                <w:bCs w:val="1"/>
                <w:color w:val="auto"/>
              </w:rPr>
              <w:t>Private</w:t>
            </w:r>
          </w:p>
        </w:tc>
        <w:tc>
          <w:tcPr>
            <w:tcW w:w="80" w:type="dxa"/>
            <w:vAlign w:val="bottom"/>
          </w:tcPr>
          <w:p>
            <w:pPr>
              <w:spacing w:after="0"/>
              <w:rPr>
                <w:sz w:val="16"/>
                <w:szCs w:val="16"/>
                <w:color w:val="auto"/>
              </w:rPr>
            </w:pPr>
          </w:p>
        </w:tc>
        <w:tc>
          <w:tcPr>
            <w:tcW w:w="126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Non-Standard</w:t>
            </w:r>
          </w:p>
        </w:tc>
        <w:tc>
          <w:tcPr>
            <w:tcW w:w="80" w:type="dxa"/>
            <w:vAlign w:val="bottom"/>
          </w:tcPr>
          <w:p>
            <w:pPr>
              <w:spacing w:after="0"/>
              <w:rPr>
                <w:sz w:val="16"/>
                <w:szCs w:val="16"/>
                <w:color w:val="auto"/>
              </w:rPr>
            </w:pPr>
          </w:p>
        </w:tc>
        <w:tc>
          <w:tcPr>
            <w:tcW w:w="1140" w:type="dxa"/>
            <w:vAlign w:val="bottom"/>
            <w:gridSpan w:val="3"/>
          </w:tcPr>
          <w:p>
            <w:pPr>
              <w:jc w:val="right"/>
              <w:ind w:right="181"/>
              <w:spacing w:after="0" w:line="188" w:lineRule="exact"/>
              <w:rPr>
                <w:sz w:val="20"/>
                <w:szCs w:val="20"/>
                <w:color w:val="auto"/>
              </w:rPr>
            </w:pPr>
            <w:r>
              <w:rPr>
                <w:rFonts w:ascii="Times New Roman" w:cs="Times New Roman" w:eastAsia="Times New Roman" w:hAnsi="Times New Roman"/>
                <w:sz w:val="18"/>
                <w:szCs w:val="18"/>
                <w:b w:val="1"/>
                <w:bCs w:val="1"/>
                <w:color w:val="auto"/>
              </w:rPr>
              <w:t>Home and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520" w:type="dxa"/>
            <w:vAlign w:val="bottom"/>
          </w:tcPr>
          <w:p>
            <w:pPr>
              <w:spacing w:after="0"/>
              <w:rPr>
                <w:sz w:val="20"/>
                <w:szCs w:val="20"/>
                <w:color w:val="auto"/>
              </w:rPr>
            </w:pPr>
          </w:p>
        </w:tc>
        <w:tc>
          <w:tcPr>
            <w:tcW w:w="156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Passenger Auto</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Auto</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Farm</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Crop</w:t>
            </w:r>
          </w:p>
        </w:tc>
        <w:tc>
          <w:tcPr>
            <w:tcW w:w="10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80" w:type="dxa"/>
            <w:vAlign w:val="bottom"/>
          </w:tcPr>
          <w:p>
            <w:pPr>
              <w:spacing w:after="0"/>
              <w:rPr>
                <w:sz w:val="20"/>
                <w:szCs w:val="20"/>
                <w:color w:val="auto"/>
              </w:rPr>
            </w:pPr>
          </w:p>
        </w:tc>
        <w:tc>
          <w:tcPr>
            <w:tcW w:w="92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premiums earned</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Assumed premiums earned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w:t>
            </w:r>
          </w:p>
        </w:tc>
        <w:tc>
          <w:tcPr>
            <w:tcW w:w="18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827</w:t>
            </w:r>
          </w:p>
        </w:tc>
      </w:tr>
      <w:tr>
        <w:trPr>
          <w:trHeight w:val="229"/>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Ceded premiums earned</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(965)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(2,580)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(4,691)</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(279)</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(8,614)</w:t>
            </w:r>
          </w:p>
        </w:tc>
      </w:tr>
      <w:tr>
        <w:trPr>
          <w:trHeight w:val="209"/>
        </w:trPr>
        <w:tc>
          <w:tcPr>
            <w:tcW w:w="3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premiums earned</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13,336</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78,835</w:t>
            </w:r>
          </w:p>
        </w:tc>
        <w:tc>
          <w:tcPr>
            <w:tcW w:w="10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Direct losses and loss adjustment expenses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18,456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14,139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18,414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12,702</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2,500</w:t>
            </w:r>
          </w:p>
        </w:tc>
        <w:tc>
          <w:tcPr>
            <w:tcW w:w="18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66,211</w:t>
            </w: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losses and loss adjustment expenses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Ceded losses and loss adjustment expenses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411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(499)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(4,492)</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(1,621)</w:t>
            </w:r>
          </w:p>
        </w:tc>
        <w:tc>
          <w:tcPr>
            <w:tcW w:w="1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(6,201)</w:t>
            </w:r>
          </w:p>
        </w:tc>
      </w:tr>
      <w:tr>
        <w:trPr>
          <w:trHeight w:val="210"/>
        </w:trPr>
        <w:tc>
          <w:tcPr>
            <w:tcW w:w="352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losses and loss adjustment expenses</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35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09"/>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18,758</w:t>
            </w:r>
          </w:p>
        </w:tc>
        <w:tc>
          <w:tcPr>
            <w:tcW w:w="100" w:type="dxa"/>
            <w:vAlign w:val="bottom"/>
            <w:shd w:val="clear" w:color="auto" w:fill="CCEEFF"/>
          </w:tcPr>
          <w:p>
            <w:pPr>
              <w:spacing w:after="0"/>
              <w:rPr>
                <w:sz w:val="18"/>
                <w:szCs w:val="18"/>
                <w:color w:val="auto"/>
              </w:rPr>
            </w:pPr>
          </w:p>
        </w:tc>
      </w:tr>
      <w:tr>
        <w:trPr>
          <w:trHeight w:val="210"/>
        </w:trPr>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Underwriting and general expenses</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5,796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8,730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6,194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2,683</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856</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24,259</w:t>
            </w:r>
          </w:p>
        </w:tc>
      </w:tr>
      <w:tr>
        <w:trPr>
          <w:trHeight w:val="210"/>
        </w:trPr>
        <w:tc>
          <w:tcPr>
            <w:tcW w:w="35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Underwriting gain (loss)</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(4,120</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(5,501</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3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Fee and other income</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490</w:t>
            </w:r>
          </w:p>
        </w:tc>
      </w:tr>
      <w:tr>
        <w:trPr>
          <w:trHeight w:val="210"/>
        </w:trPr>
        <w:tc>
          <w:tcPr>
            <w:tcW w:w="3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225"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jc w:val="right"/>
        <w:ind w:right="7293"/>
        <w:spacing w:after="0"/>
        <w:rPr>
          <w:sz w:val="20"/>
          <w:szCs w:val="20"/>
          <w:color w:val="auto"/>
        </w:rPr>
      </w:pPr>
      <w:r>
        <w:rPr>
          <w:rFonts w:ascii="Times New Roman" w:cs="Times New Roman" w:eastAsia="Times New Roman" w:hAnsi="Times New Roman"/>
          <w:sz w:val="18"/>
          <w:szCs w:val="18"/>
          <w:color w:val="auto"/>
        </w:rPr>
        <w:t>Net investment gains (losses)</w:t>
      </w:r>
    </w:p>
    <w:p>
      <w:pPr>
        <w:spacing w:after="0" w:line="18" w:lineRule="exact"/>
        <w:rPr>
          <w:sz w:val="20"/>
          <w:szCs w:val="20"/>
          <w:color w:val="auto"/>
        </w:rPr>
      </w:pPr>
    </w:p>
    <w:p>
      <w:pPr>
        <w:jc w:val="right"/>
        <w:ind w:right="7313"/>
        <w:spacing w:after="0"/>
        <w:rPr>
          <w:sz w:val="20"/>
          <w:szCs w:val="20"/>
          <w:color w:val="auto"/>
        </w:rPr>
      </w:pPr>
      <w:r>
        <w:rPr>
          <w:rFonts w:ascii="Times New Roman" w:cs="Times New Roman" w:eastAsia="Times New Roman" w:hAnsi="Times New Roman"/>
          <w:sz w:val="18"/>
          <w:szCs w:val="18"/>
          <w:color w:val="auto"/>
        </w:rPr>
        <w:t>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jc w:val="right"/>
        <w:ind w:right="7313"/>
        <w:spacing w:after="0"/>
        <w:rPr>
          <w:sz w:val="20"/>
          <w:szCs w:val="20"/>
          <w:color w:val="auto"/>
        </w:rPr>
      </w:pPr>
      <w:r>
        <w:rPr>
          <w:rFonts w:ascii="Times New Roman" w:cs="Times New Roman" w:eastAsia="Times New Roman" w:hAnsi="Times New Roman"/>
          <w:sz w:val="18"/>
          <w:szCs w:val="18"/>
          <w:color w:val="auto"/>
        </w:rPr>
        <w:t>Income tax expense (benefit)</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loss attributable to NI Holdings, Inc.</w:t>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Times New Roman" w:cs="Times New Roman" w:eastAsia="Times New Roman" w:hAnsi="Times New Roman"/>
          <w:sz w:val="18"/>
          <w:szCs w:val="18"/>
          <w:color w:val="auto"/>
        </w:rPr>
        <w:t>1,923</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3436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(3,261)</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(685)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3436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(2,576)</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3436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3" w:lineRule="exact"/>
        <w:rPr>
          <w:sz w:val="20"/>
          <w:szCs w:val="20"/>
          <w:color w:val="auto"/>
        </w:rPr>
      </w:pPr>
    </w:p>
    <w:p>
      <w:pPr>
        <w:ind w:left="527" w:hanging="527"/>
        <w:spacing w:after="0"/>
        <w:tabs>
          <w:tab w:leader="none" w:pos="52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(2,463)</w:t>
      </w:r>
    </w:p>
    <w:p>
      <w:pPr>
        <w:spacing w:after="0" w:line="36" w:lineRule="exact"/>
        <w:rPr>
          <w:sz w:val="20"/>
          <w:szCs w:val="20"/>
          <w:color w:val="auto"/>
        </w:rPr>
      </w:pPr>
    </w:p>
    <w:p>
      <w:pPr>
        <w:sectPr>
          <w:pgSz w:w="11900" w:h="16838" w:orient="portrait"/>
          <w:cols w:equalWidth="0" w:num="2">
            <w:col w:w="9413" w:space="720"/>
            <w:col w:w="1107"/>
          </w:cols>
          <w:pgMar w:left="320" w:top="225"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358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CCEEFF"/>
            </w:tcBorders>
            <w:shd w:val="clear" w:color="auto" w:fill="CCEEFF"/>
          </w:tcPr>
          <w:p>
            <w:pPr>
              <w:spacing w:after="0"/>
              <w:rPr>
                <w:sz w:val="20"/>
                <w:szCs w:val="20"/>
                <w:color w:val="auto"/>
              </w:rPr>
            </w:pPr>
          </w:p>
        </w:tc>
        <w:tc>
          <w:tcPr>
            <w:tcW w:w="94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Operating Ratios:</w:t>
            </w: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Loss and loss adjustment expense ratio</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91.8%</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65.3%</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87.8%</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61.6%</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32.7%</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76.2%</w:t>
            </w:r>
          </w:p>
        </w:tc>
      </w:tr>
      <w:tr>
        <w:trPr>
          <w:trHeight w:val="216"/>
        </w:trPr>
        <w:tc>
          <w:tcPr>
            <w:tcW w:w="3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Expense ratio</w:t>
            </w:r>
          </w:p>
        </w:tc>
        <w:tc>
          <w:tcPr>
            <w:tcW w:w="5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28.3%</w:t>
            </w:r>
          </w:p>
        </w:tc>
        <w:tc>
          <w:tcPr>
            <w:tcW w:w="3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40.3%</w:t>
            </w:r>
          </w:p>
        </w:tc>
        <w:tc>
          <w:tcPr>
            <w:tcW w:w="3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30.3%</w:t>
            </w:r>
          </w:p>
        </w:tc>
        <w:tc>
          <w:tcPr>
            <w:tcW w:w="40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w:t>
            </w:r>
          </w:p>
        </w:tc>
        <w:tc>
          <w:tcPr>
            <w:tcW w:w="400" w:type="dxa"/>
            <w:vAlign w:val="bottom"/>
          </w:tcPr>
          <w:p>
            <w:pPr>
              <w:spacing w:after="0"/>
              <w:rPr>
                <w:sz w:val="18"/>
                <w:szCs w:val="18"/>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29.5%</w:t>
            </w: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w:t>
            </w:r>
          </w:p>
        </w:tc>
      </w:tr>
      <w:tr>
        <w:trPr>
          <w:trHeight w:val="216"/>
        </w:trPr>
        <w:tc>
          <w:tcPr>
            <w:tcW w:w="3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Combined ratio</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120.1%</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105.6%</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118.1%</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81.6%</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62.2%</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107.1%</w:t>
            </w:r>
          </w:p>
        </w:tc>
      </w:tr>
      <w:tr>
        <w:trPr>
          <w:trHeight w:val="216"/>
        </w:trPr>
        <w:tc>
          <w:tcPr>
            <w:tcW w:w="3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Balances at June 30, 2023:</w:t>
            </w: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Premiums and agents’ balances receivable</w:t>
            </w:r>
          </w:p>
        </w:tc>
        <w:tc>
          <w:tcPr>
            <w:tcW w:w="5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23,840</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10,322</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9,793</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44,950</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2,344</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91,249</w:t>
            </w:r>
          </w:p>
        </w:tc>
      </w:tr>
      <w:tr>
        <w:trPr>
          <w:trHeight w:val="216"/>
        </w:trPr>
        <w:tc>
          <w:tcPr>
            <w:tcW w:w="3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5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5,785</w:t>
            </w:r>
          </w:p>
        </w:tc>
        <w:tc>
          <w:tcPr>
            <w:tcW w:w="3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8,870</w:t>
            </w:r>
          </w:p>
        </w:tc>
        <w:tc>
          <w:tcPr>
            <w:tcW w:w="3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7,974</w:t>
            </w:r>
          </w:p>
        </w:tc>
        <w:tc>
          <w:tcPr>
            <w:tcW w:w="40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2,832</w:t>
            </w:r>
          </w:p>
        </w:tc>
        <w:tc>
          <w:tcPr>
            <w:tcW w:w="400" w:type="dxa"/>
            <w:vAlign w:val="bottom"/>
          </w:tcPr>
          <w:p>
            <w:pPr>
              <w:spacing w:after="0"/>
              <w:rPr>
                <w:sz w:val="18"/>
                <w:szCs w:val="18"/>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1,009</w:t>
            </w: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26,470</w:t>
            </w:r>
          </w:p>
        </w:tc>
      </w:tr>
      <w:tr>
        <w:trPr>
          <w:trHeight w:val="198"/>
        </w:trPr>
        <w:tc>
          <w:tcPr>
            <w:tcW w:w="3580" w:type="dxa"/>
            <w:vAlign w:val="bottom"/>
            <w:shd w:val="clear" w:color="auto" w:fill="CCEEFF"/>
          </w:tcPr>
          <w:p>
            <w:pPr>
              <w:ind w:left="260"/>
              <w:spacing w:after="0" w:line="198" w:lineRule="exact"/>
              <w:rPr>
                <w:sz w:val="20"/>
                <w:szCs w:val="20"/>
                <w:color w:val="auto"/>
              </w:rPr>
            </w:pPr>
            <w:r>
              <w:rPr>
                <w:rFonts w:ascii="Times New Roman" w:cs="Times New Roman" w:eastAsia="Times New Roman" w:hAnsi="Times New Roman"/>
                <w:sz w:val="18"/>
                <w:szCs w:val="18"/>
                <w:color w:val="auto"/>
              </w:rPr>
              <w:t>Reinsurance recoverables on</w:t>
            </w: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losses</w:t>
            </w:r>
          </w:p>
        </w:tc>
        <w:tc>
          <w:tcPr>
            <w:tcW w:w="5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727</w:t>
            </w: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4,691</w:t>
            </w: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3,114</w:t>
            </w: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2,416</w:t>
            </w:r>
          </w:p>
        </w:tc>
        <w:tc>
          <w:tcPr>
            <w:tcW w:w="2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10,948</w:t>
            </w:r>
          </w:p>
        </w:tc>
      </w:tr>
      <w:tr>
        <w:trPr>
          <w:trHeight w:val="198"/>
        </w:trPr>
        <w:tc>
          <w:tcPr>
            <w:tcW w:w="3580" w:type="dxa"/>
            <w:vAlign w:val="bottom"/>
          </w:tcPr>
          <w:p>
            <w:pPr>
              <w:ind w:left="260"/>
              <w:spacing w:after="0" w:line="198" w:lineRule="exact"/>
              <w:rPr>
                <w:sz w:val="20"/>
                <w:szCs w:val="20"/>
                <w:color w:val="auto"/>
              </w:rPr>
            </w:pPr>
            <w:r>
              <w:rPr>
                <w:rFonts w:ascii="Times New Roman" w:cs="Times New Roman" w:eastAsia="Times New Roman" w:hAnsi="Times New Roman"/>
                <w:sz w:val="18"/>
                <w:szCs w:val="18"/>
                <w:color w:val="auto"/>
              </w:rPr>
              <w:t>Receivable from Federal Crop Insurance</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Corporation</w:t>
            </w:r>
          </w:p>
        </w:tc>
        <w:tc>
          <w:tcPr>
            <w:tcW w:w="52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14,032</w:t>
            </w:r>
          </w:p>
        </w:tc>
        <w:tc>
          <w:tcPr>
            <w:tcW w:w="400" w:type="dxa"/>
            <w:vAlign w:val="bottom"/>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14,032</w:t>
            </w:r>
          </w:p>
        </w:tc>
      </w:tr>
      <w:tr>
        <w:trPr>
          <w:trHeight w:val="216"/>
        </w:trPr>
        <w:tc>
          <w:tcPr>
            <w:tcW w:w="3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2,736</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2,736</w:t>
            </w:r>
          </w:p>
        </w:tc>
      </w:tr>
      <w:tr>
        <w:trPr>
          <w:trHeight w:val="216"/>
        </w:trPr>
        <w:tc>
          <w:tcPr>
            <w:tcW w:w="3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Unpaid losses and loss adjustment expenses</w:t>
            </w:r>
          </w:p>
        </w:tc>
        <w:tc>
          <w:tcPr>
            <w:tcW w:w="5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31,935</w:t>
            </w:r>
          </w:p>
        </w:tc>
        <w:tc>
          <w:tcPr>
            <w:tcW w:w="3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52,866</w:t>
            </w:r>
          </w:p>
        </w:tc>
        <w:tc>
          <w:tcPr>
            <w:tcW w:w="3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30,503</w:t>
            </w:r>
          </w:p>
        </w:tc>
        <w:tc>
          <w:tcPr>
            <w:tcW w:w="40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11,603</w:t>
            </w:r>
          </w:p>
        </w:tc>
        <w:tc>
          <w:tcPr>
            <w:tcW w:w="400" w:type="dxa"/>
            <w:vAlign w:val="bottom"/>
          </w:tcPr>
          <w:p>
            <w:pPr>
              <w:spacing w:after="0"/>
              <w:rPr>
                <w:sz w:val="18"/>
                <w:szCs w:val="18"/>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10,628</w:t>
            </w: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137,535</w:t>
            </w:r>
          </w:p>
        </w:tc>
      </w:tr>
      <w:tr>
        <w:trPr>
          <w:trHeight w:val="216"/>
        </w:trPr>
        <w:tc>
          <w:tcPr>
            <w:tcW w:w="3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Unearned premiums</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35,317</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28,067</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48,690</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27,193</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6,412</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145,679</w:t>
            </w:r>
          </w:p>
        </w:tc>
      </w:tr>
      <w:tr>
        <w:trPr>
          <w:trHeight w:val="561"/>
        </w:trPr>
        <w:tc>
          <w:tcPr>
            <w:tcW w:w="35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40</w:t>
            </w: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5" w:right="339" w:bottom="1440" w:gutter="0" w:footer="0" w:header="0"/>
          <w:type w:val="continuous"/>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10"/>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401"/>
              <w:spacing w:after="0" w:line="188" w:lineRule="exact"/>
              <w:rPr>
                <w:sz w:val="20"/>
                <w:szCs w:val="20"/>
                <w:color w:val="auto"/>
              </w:rPr>
            </w:pPr>
            <w:r>
              <w:rPr>
                <w:rFonts w:ascii="Times New Roman" w:cs="Times New Roman" w:eastAsia="Times New Roman" w:hAnsi="Times New Roman"/>
                <w:sz w:val="18"/>
                <w:szCs w:val="18"/>
                <w:b w:val="1"/>
                <w:bCs w:val="1"/>
                <w:color w:val="auto"/>
              </w:rPr>
              <w:t>Private</w:t>
            </w:r>
          </w:p>
        </w:tc>
        <w:tc>
          <w:tcPr>
            <w:tcW w:w="80" w:type="dxa"/>
            <w:vAlign w:val="bottom"/>
          </w:tcPr>
          <w:p>
            <w:pPr>
              <w:spacing w:after="0"/>
              <w:rPr>
                <w:sz w:val="16"/>
                <w:szCs w:val="16"/>
                <w:color w:val="auto"/>
              </w:rPr>
            </w:pPr>
          </w:p>
        </w:tc>
        <w:tc>
          <w:tcPr>
            <w:tcW w:w="126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Non-Standard</w:t>
            </w:r>
          </w:p>
        </w:tc>
        <w:tc>
          <w:tcPr>
            <w:tcW w:w="80" w:type="dxa"/>
            <w:vAlign w:val="bottom"/>
          </w:tcPr>
          <w:p>
            <w:pPr>
              <w:spacing w:after="0"/>
              <w:rPr>
                <w:sz w:val="16"/>
                <w:szCs w:val="16"/>
                <w:color w:val="auto"/>
              </w:rPr>
            </w:pPr>
          </w:p>
        </w:tc>
        <w:tc>
          <w:tcPr>
            <w:tcW w:w="1140" w:type="dxa"/>
            <w:vAlign w:val="bottom"/>
            <w:gridSpan w:val="3"/>
          </w:tcPr>
          <w:p>
            <w:pPr>
              <w:jc w:val="right"/>
              <w:ind w:right="181"/>
              <w:spacing w:after="0" w:line="188" w:lineRule="exact"/>
              <w:rPr>
                <w:sz w:val="20"/>
                <w:szCs w:val="20"/>
                <w:color w:val="auto"/>
              </w:rPr>
            </w:pPr>
            <w:r>
              <w:rPr>
                <w:rFonts w:ascii="Times New Roman" w:cs="Times New Roman" w:eastAsia="Times New Roman" w:hAnsi="Times New Roman"/>
                <w:sz w:val="18"/>
                <w:szCs w:val="18"/>
                <w:b w:val="1"/>
                <w:bCs w:val="1"/>
                <w:color w:val="auto"/>
              </w:rPr>
              <w:t>Home and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520" w:type="dxa"/>
            <w:vAlign w:val="bottom"/>
          </w:tcPr>
          <w:p>
            <w:pPr>
              <w:spacing w:after="0"/>
              <w:rPr>
                <w:sz w:val="20"/>
                <w:szCs w:val="20"/>
                <w:color w:val="auto"/>
              </w:rPr>
            </w:pPr>
          </w:p>
        </w:tc>
        <w:tc>
          <w:tcPr>
            <w:tcW w:w="156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Passenger Auto</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Auto</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Farm</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Crop</w:t>
            </w:r>
          </w:p>
        </w:tc>
        <w:tc>
          <w:tcPr>
            <w:tcW w:w="10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80" w:type="dxa"/>
            <w:vAlign w:val="bottom"/>
          </w:tcPr>
          <w:p>
            <w:pPr>
              <w:spacing w:after="0"/>
              <w:rPr>
                <w:sz w:val="20"/>
                <w:szCs w:val="20"/>
                <w:color w:val="auto"/>
              </w:rPr>
            </w:pPr>
          </w:p>
        </w:tc>
        <w:tc>
          <w:tcPr>
            <w:tcW w:w="92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premiums earned</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46,619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51,878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49,244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Assumed premiums earned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w:t>
            </w:r>
          </w:p>
        </w:tc>
        <w:tc>
          <w:tcPr>
            <w:tcW w:w="18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804</w:t>
            </w:r>
          </w:p>
        </w:tc>
      </w:tr>
      <w:tr>
        <w:trPr>
          <w:trHeight w:val="229"/>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Ceded premiums earned</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(2,046)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(5,905)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(3,989)</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(563)</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(12,650)</w:t>
            </w:r>
          </w:p>
        </w:tc>
      </w:tr>
      <w:tr>
        <w:trPr>
          <w:trHeight w:val="209"/>
        </w:trPr>
        <w:tc>
          <w:tcPr>
            <w:tcW w:w="3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premiums earned</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9,429</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5,981</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155,053</w:t>
            </w:r>
          </w:p>
        </w:tc>
        <w:tc>
          <w:tcPr>
            <w:tcW w:w="10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Direct losses and loss adjustment expenses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32,308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36,182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35,356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6,955</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4,068</w:t>
            </w:r>
          </w:p>
        </w:tc>
        <w:tc>
          <w:tcPr>
            <w:tcW w:w="18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114,869</w:t>
            </w: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losses and loss adjustment expenses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269</w:t>
            </w:r>
          </w:p>
        </w:tc>
      </w:tr>
      <w:tr>
        <w:trPr>
          <w:trHeight w:val="22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Ceded losses and loss adjustment expenses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(1,086)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(1,149)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(1,448)</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(1,953)</w:t>
            </w:r>
          </w:p>
        </w:tc>
        <w:tc>
          <w:tcPr>
            <w:tcW w:w="1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(5,636)</w:t>
            </w:r>
          </w:p>
        </w:tc>
      </w:tr>
      <w:tr>
        <w:trPr>
          <w:trHeight w:val="210"/>
        </w:trPr>
        <w:tc>
          <w:tcPr>
            <w:tcW w:w="352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losses and loss adjustment expenses</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35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09"/>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45,551</w:t>
            </w:r>
          </w:p>
        </w:tc>
        <w:tc>
          <w:tcPr>
            <w:tcW w:w="100" w:type="dxa"/>
            <w:vAlign w:val="bottom"/>
            <w:shd w:val="clear" w:color="auto" w:fill="CCEEFF"/>
          </w:tcPr>
          <w:p>
            <w:pPr>
              <w:spacing w:after="0"/>
              <w:rPr>
                <w:sz w:val="18"/>
                <w:szCs w:val="18"/>
                <w:color w:val="auto"/>
              </w:rPr>
            </w:pPr>
          </w:p>
        </w:tc>
      </w:tr>
      <w:tr>
        <w:trPr>
          <w:trHeight w:val="210"/>
        </w:trPr>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Underwriting and general expenses</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13,857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20,565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13,943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1,711</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2,965</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53,041</w:t>
            </w:r>
          </w:p>
        </w:tc>
      </w:tr>
      <w:tr>
        <w:trPr>
          <w:trHeight w:val="210"/>
        </w:trPr>
        <w:tc>
          <w:tcPr>
            <w:tcW w:w="35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Underwriting gain (loss)</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(5,016</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(4,811</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(7,490</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3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Fee and other income</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690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1,099</w:t>
            </w:r>
          </w:p>
        </w:tc>
      </w:tr>
      <w:tr>
        <w:trPr>
          <w:trHeight w:val="210"/>
        </w:trPr>
        <w:tc>
          <w:tcPr>
            <w:tcW w:w="3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225"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jc w:val="right"/>
        <w:ind w:right="7293"/>
        <w:spacing w:after="0"/>
        <w:rPr>
          <w:sz w:val="20"/>
          <w:szCs w:val="20"/>
          <w:color w:val="auto"/>
        </w:rPr>
      </w:pPr>
      <w:r>
        <w:rPr>
          <w:rFonts w:ascii="Times New Roman" w:cs="Times New Roman" w:eastAsia="Times New Roman" w:hAnsi="Times New Roman"/>
          <w:sz w:val="18"/>
          <w:szCs w:val="18"/>
          <w:color w:val="auto"/>
        </w:rPr>
        <w:t>Net investment gains (losses)</w:t>
      </w:r>
    </w:p>
    <w:p>
      <w:pPr>
        <w:spacing w:after="0" w:line="18" w:lineRule="exact"/>
        <w:rPr>
          <w:sz w:val="20"/>
          <w:szCs w:val="20"/>
          <w:color w:val="auto"/>
        </w:rPr>
      </w:pPr>
    </w:p>
    <w:p>
      <w:pPr>
        <w:jc w:val="right"/>
        <w:ind w:right="7313"/>
        <w:spacing w:after="0"/>
        <w:rPr>
          <w:sz w:val="20"/>
          <w:szCs w:val="20"/>
          <w:color w:val="auto"/>
        </w:rPr>
      </w:pPr>
      <w:r>
        <w:rPr>
          <w:rFonts w:ascii="Times New Roman" w:cs="Times New Roman" w:eastAsia="Times New Roman" w:hAnsi="Times New Roman"/>
          <w:sz w:val="18"/>
          <w:szCs w:val="18"/>
          <w:color w:val="auto"/>
        </w:rPr>
        <w:t>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jc w:val="right"/>
        <w:ind w:right="7313"/>
        <w:spacing w:after="0"/>
        <w:rPr>
          <w:sz w:val="20"/>
          <w:szCs w:val="20"/>
          <w:color w:val="auto"/>
        </w:rPr>
      </w:pPr>
      <w:r>
        <w:rPr>
          <w:rFonts w:ascii="Times New Roman" w:cs="Times New Roman" w:eastAsia="Times New Roman" w:hAnsi="Times New Roman"/>
          <w:sz w:val="18"/>
          <w:szCs w:val="18"/>
          <w:color w:val="auto"/>
        </w:rPr>
        <w:t>Income tax expense (benefit)</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loss attributable to NI Holdings, Inc.</w:t>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Times New Roman" w:cs="Times New Roman" w:eastAsia="Times New Roman" w:hAnsi="Times New Roman"/>
          <w:sz w:val="18"/>
          <w:szCs w:val="18"/>
          <w:color w:val="auto"/>
        </w:rPr>
        <w:t>5,278</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876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3436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(237)</w:t>
      </w:r>
    </w:p>
    <w:p>
      <w:pPr>
        <w:spacing w:after="0" w:line="2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306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3436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(543)</w:t>
      </w:r>
    </w:p>
    <w:p>
      <w:pPr>
        <w:spacing w:after="0" w:line="2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3436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3" w:lineRule="exact"/>
        <w:rPr>
          <w:sz w:val="20"/>
          <w:szCs w:val="20"/>
          <w:color w:val="auto"/>
        </w:rPr>
      </w:pPr>
    </w:p>
    <w:p>
      <w:pPr>
        <w:ind w:left="667" w:hanging="667"/>
        <w:spacing w:after="0"/>
        <w:tabs>
          <w:tab w:leader="none" w:pos="66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(543)</w:t>
      </w:r>
    </w:p>
    <w:p>
      <w:pPr>
        <w:spacing w:after="0" w:line="36" w:lineRule="exact"/>
        <w:rPr>
          <w:sz w:val="20"/>
          <w:szCs w:val="20"/>
          <w:color w:val="auto"/>
        </w:rPr>
      </w:pPr>
    </w:p>
    <w:p>
      <w:pPr>
        <w:sectPr>
          <w:pgSz w:w="11900" w:h="16838" w:orient="portrait"/>
          <w:cols w:equalWidth="0" w:num="2">
            <w:col w:w="9413" w:space="720"/>
            <w:col w:w="1107"/>
          </w:cols>
          <w:pgMar w:left="320" w:top="225"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3720" w:type="dxa"/>
            <w:vAlign w:val="bottom"/>
            <w:tcBorders>
              <w:top w:val="single" w:sz="8" w:color="CCEEFF"/>
            </w:tcBorders>
            <w:shd w:val="clear" w:color="auto" w:fill="CCEEFF"/>
          </w:tcPr>
          <w:p>
            <w:pPr>
              <w:spacing w:after="0"/>
              <w:rPr>
                <w:sz w:val="20"/>
                <w:szCs w:val="20"/>
                <w:color w:val="auto"/>
              </w:rPr>
            </w:pPr>
          </w:p>
        </w:tc>
        <w:tc>
          <w:tcPr>
            <w:tcW w:w="1500" w:type="dxa"/>
            <w:vAlign w:val="bottom"/>
            <w:tcBorders>
              <w:top w:val="single" w:sz="8" w:color="CCEEFF"/>
            </w:tcBorders>
            <w:shd w:val="clear" w:color="auto" w:fill="CCEEFF"/>
          </w:tcPr>
          <w:p>
            <w:pPr>
              <w:spacing w:after="0"/>
              <w:rPr>
                <w:sz w:val="20"/>
                <w:szCs w:val="20"/>
                <w:color w:val="auto"/>
              </w:rPr>
            </w:pPr>
          </w:p>
        </w:tc>
        <w:tc>
          <w:tcPr>
            <w:tcW w:w="140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CCEEFF"/>
            </w:tcBorders>
            <w:shd w:val="clear" w:color="auto" w:fill="CCEEFF"/>
          </w:tcPr>
          <w:p>
            <w:pPr>
              <w:spacing w:after="0"/>
              <w:rPr>
                <w:sz w:val="20"/>
                <w:szCs w:val="20"/>
                <w:color w:val="auto"/>
              </w:rPr>
            </w:pPr>
          </w:p>
        </w:tc>
        <w:tc>
          <w:tcPr>
            <w:tcW w:w="1060" w:type="dxa"/>
            <w:vAlign w:val="bottom"/>
            <w:tcBorders>
              <w:top w:val="single" w:sz="8" w:color="CCEEFF"/>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Operating Ratios:</w:t>
            </w:r>
          </w:p>
        </w:tc>
        <w:tc>
          <w:tcPr>
            <w:tcW w:w="1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Loss and loss adjustment expense ratio</w:t>
            </w:r>
          </w:p>
        </w:tc>
        <w:tc>
          <w:tcPr>
            <w:tcW w:w="1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70.0%</w:t>
            </w:r>
          </w:p>
        </w:tc>
        <w:tc>
          <w:tcPr>
            <w:tcW w:w="14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69.9%</w:t>
            </w:r>
          </w:p>
        </w:tc>
        <w:tc>
          <w:tcPr>
            <w:tcW w:w="12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78.9%</w:t>
            </w:r>
          </w:p>
        </w:tc>
        <w:tc>
          <w:tcPr>
            <w:tcW w:w="12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61.0%</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35.7%</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70.6%</w:t>
            </w:r>
          </w:p>
        </w:tc>
      </w:tr>
      <w:tr>
        <w:trPr>
          <w:trHeight w:val="216"/>
        </w:trPr>
        <w:tc>
          <w:tcPr>
            <w:tcW w:w="3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Expense ratio</w:t>
            </w:r>
          </w:p>
        </w:tc>
        <w:tc>
          <w:tcPr>
            <w:tcW w:w="1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31.1%</w:t>
            </w:r>
          </w:p>
        </w:tc>
        <w:tc>
          <w:tcPr>
            <w:tcW w:w="14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39.8%</w:t>
            </w:r>
          </w:p>
        </w:tc>
        <w:tc>
          <w:tcPr>
            <w:tcW w:w="12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32.2%</w:t>
            </w:r>
          </w:p>
        </w:tc>
        <w:tc>
          <w:tcPr>
            <w:tcW w:w="12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18.1%</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49.6%</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34.2%</w:t>
            </w:r>
          </w:p>
        </w:tc>
      </w:tr>
      <w:tr>
        <w:trPr>
          <w:trHeight w:val="216"/>
        </w:trPr>
        <w:tc>
          <w:tcPr>
            <w:tcW w:w="3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Combined ratio</w:t>
            </w:r>
          </w:p>
        </w:tc>
        <w:tc>
          <w:tcPr>
            <w:tcW w:w="1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101.1%</w:t>
            </w:r>
          </w:p>
        </w:tc>
        <w:tc>
          <w:tcPr>
            <w:tcW w:w="14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109.7%</w:t>
            </w:r>
          </w:p>
        </w:tc>
        <w:tc>
          <w:tcPr>
            <w:tcW w:w="12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111.1%</w:t>
            </w:r>
          </w:p>
        </w:tc>
        <w:tc>
          <w:tcPr>
            <w:tcW w:w="12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79.1%</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85.3%</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104.8%</w:t>
            </w:r>
          </w:p>
        </w:tc>
      </w:tr>
      <w:tr>
        <w:trPr>
          <w:trHeight w:val="560"/>
        </w:trPr>
        <w:tc>
          <w:tcPr>
            <w:tcW w:w="37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41</w:t>
            </w:r>
          </w:p>
        </w:tc>
        <w:tc>
          <w:tcPr>
            <w:tcW w:w="1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5" w:right="339" w:bottom="1440" w:gutter="0" w:footer="0" w:header="0"/>
          <w:type w:val="continuous"/>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10"/>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Six Months Ended June 30, 2023</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401"/>
              <w:spacing w:after="0" w:line="188" w:lineRule="exact"/>
              <w:rPr>
                <w:sz w:val="20"/>
                <w:szCs w:val="20"/>
                <w:color w:val="auto"/>
              </w:rPr>
            </w:pPr>
            <w:r>
              <w:rPr>
                <w:rFonts w:ascii="Times New Roman" w:cs="Times New Roman" w:eastAsia="Times New Roman" w:hAnsi="Times New Roman"/>
                <w:sz w:val="18"/>
                <w:szCs w:val="18"/>
                <w:b w:val="1"/>
                <w:bCs w:val="1"/>
                <w:color w:val="auto"/>
              </w:rPr>
              <w:t>Private</w:t>
            </w:r>
          </w:p>
        </w:tc>
        <w:tc>
          <w:tcPr>
            <w:tcW w:w="80" w:type="dxa"/>
            <w:vAlign w:val="bottom"/>
          </w:tcPr>
          <w:p>
            <w:pPr>
              <w:spacing w:after="0"/>
              <w:rPr>
                <w:sz w:val="16"/>
                <w:szCs w:val="16"/>
                <w:color w:val="auto"/>
              </w:rPr>
            </w:pPr>
          </w:p>
        </w:tc>
        <w:tc>
          <w:tcPr>
            <w:tcW w:w="126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Non-Standard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8"/>
              </w:rPr>
              <w:t>Home and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520" w:type="dxa"/>
            <w:vAlign w:val="bottom"/>
          </w:tcPr>
          <w:p>
            <w:pPr>
              <w:spacing w:after="0"/>
              <w:rPr>
                <w:sz w:val="20"/>
                <w:szCs w:val="20"/>
                <w:color w:val="auto"/>
              </w:rPr>
            </w:pPr>
          </w:p>
        </w:tc>
        <w:tc>
          <w:tcPr>
            <w:tcW w:w="156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Passenger Auto</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Auto</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Farm</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Crop</w:t>
            </w:r>
          </w:p>
        </w:tc>
        <w:tc>
          <w:tcPr>
            <w:tcW w:w="10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80" w:type="dxa"/>
            <w:vAlign w:val="bottom"/>
          </w:tcPr>
          <w:p>
            <w:pPr>
              <w:spacing w:after="0"/>
              <w:rPr>
                <w:sz w:val="20"/>
                <w:szCs w:val="20"/>
                <w:color w:val="auto"/>
              </w:rPr>
            </w:pPr>
          </w:p>
        </w:tc>
        <w:tc>
          <w:tcPr>
            <w:tcW w:w="92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premiums earned</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5,584</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153,292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Assumed premiums earned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902</w:t>
            </w:r>
          </w:p>
        </w:tc>
        <w:tc>
          <w:tcPr>
            <w:tcW w:w="18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1,403</w:t>
            </w:r>
          </w:p>
        </w:tc>
      </w:tr>
      <w:tr>
        <w:trPr>
          <w:trHeight w:val="229"/>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Ceded premiums earned</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(1,853)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(5,021)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(5,405)</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(518)</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(12,989)</w:t>
            </w:r>
          </w:p>
        </w:tc>
      </w:tr>
      <w:tr>
        <w:trPr>
          <w:trHeight w:val="209"/>
        </w:trPr>
        <w:tc>
          <w:tcPr>
            <w:tcW w:w="3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premiums earned</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40,197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12,612</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5,968</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141,706</w:t>
            </w:r>
          </w:p>
        </w:tc>
        <w:tc>
          <w:tcPr>
            <w:tcW w:w="10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Direct losses and loss adjustment expenses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34,081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31,177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27,937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12,032</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2,937</w:t>
            </w:r>
          </w:p>
        </w:tc>
        <w:tc>
          <w:tcPr>
            <w:tcW w:w="18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108,164</w:t>
            </w: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losses and loss adjustment expenses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157</w:t>
            </w:r>
          </w:p>
        </w:tc>
      </w:tr>
      <w:tr>
        <w:trPr>
          <w:trHeight w:val="22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Ceded losses and loss adjustment expenses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412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(1,303)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(4,597)</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(1,631)</w:t>
            </w:r>
          </w:p>
        </w:tc>
        <w:tc>
          <w:tcPr>
            <w:tcW w:w="1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(7,119)</w:t>
            </w:r>
          </w:p>
        </w:tc>
      </w:tr>
      <w:tr>
        <w:trPr>
          <w:trHeight w:val="210"/>
        </w:trPr>
        <w:tc>
          <w:tcPr>
            <w:tcW w:w="352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losses and loss adjustment expenses</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35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5,177</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4,505</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40,504</w:t>
            </w:r>
          </w:p>
        </w:tc>
        <w:tc>
          <w:tcPr>
            <w:tcW w:w="100" w:type="dxa"/>
            <w:vAlign w:val="bottom"/>
            <w:shd w:val="clear" w:color="auto" w:fill="CCEEFF"/>
          </w:tcPr>
          <w:p>
            <w:pPr>
              <w:spacing w:after="0"/>
              <w:rPr>
                <w:sz w:val="18"/>
                <w:szCs w:val="18"/>
                <w:color w:val="auto"/>
              </w:rPr>
            </w:pPr>
          </w:p>
        </w:tc>
      </w:tr>
      <w:tr>
        <w:trPr>
          <w:trHeight w:val="209"/>
        </w:trPr>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Underwriting and general expenses</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12,279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17,791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12,464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2,715</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1,815</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47,064</w:t>
            </w:r>
          </w:p>
        </w:tc>
      </w:tr>
      <w:tr>
        <w:trPr>
          <w:trHeight w:val="210"/>
        </w:trPr>
        <w:tc>
          <w:tcPr>
            <w:tcW w:w="35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Underwriting gain (loss)</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(6,575</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(6,444</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(6,560</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3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Fee and other income</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471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751</w:t>
            </w:r>
          </w:p>
        </w:tc>
      </w:tr>
      <w:tr>
        <w:trPr>
          <w:trHeight w:val="210"/>
        </w:trPr>
        <w:tc>
          <w:tcPr>
            <w:tcW w:w="3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(5,973</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225"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jc w:val="right"/>
        <w:ind w:right="7293"/>
        <w:spacing w:after="0"/>
        <w:rPr>
          <w:sz w:val="20"/>
          <w:szCs w:val="20"/>
          <w:color w:val="auto"/>
        </w:rPr>
      </w:pPr>
      <w:r>
        <w:rPr>
          <w:rFonts w:ascii="Times New Roman" w:cs="Times New Roman" w:eastAsia="Times New Roman" w:hAnsi="Times New Roman"/>
          <w:sz w:val="18"/>
          <w:szCs w:val="18"/>
          <w:color w:val="auto"/>
        </w:rPr>
        <w:t>Net investment gains (losses)</w:t>
      </w:r>
    </w:p>
    <w:p>
      <w:pPr>
        <w:spacing w:after="0" w:line="18" w:lineRule="exact"/>
        <w:rPr>
          <w:sz w:val="20"/>
          <w:szCs w:val="20"/>
          <w:color w:val="auto"/>
        </w:rPr>
      </w:pPr>
    </w:p>
    <w:p>
      <w:pPr>
        <w:jc w:val="right"/>
        <w:ind w:right="7313"/>
        <w:spacing w:after="0"/>
        <w:rPr>
          <w:sz w:val="20"/>
          <w:szCs w:val="20"/>
          <w:color w:val="auto"/>
        </w:rPr>
      </w:pPr>
      <w:r>
        <w:rPr>
          <w:rFonts w:ascii="Times New Roman" w:cs="Times New Roman" w:eastAsia="Times New Roman" w:hAnsi="Times New Roman"/>
          <w:sz w:val="18"/>
          <w:szCs w:val="18"/>
          <w:color w:val="auto"/>
        </w:rPr>
        <w:t>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jc w:val="right"/>
        <w:ind w:right="7313"/>
        <w:spacing w:after="0"/>
        <w:rPr>
          <w:sz w:val="20"/>
          <w:szCs w:val="20"/>
          <w:color w:val="auto"/>
        </w:rPr>
      </w:pPr>
      <w:r>
        <w:rPr>
          <w:rFonts w:ascii="Times New Roman" w:cs="Times New Roman" w:eastAsia="Times New Roman" w:hAnsi="Times New Roman"/>
          <w:sz w:val="18"/>
          <w:szCs w:val="18"/>
          <w:color w:val="auto"/>
        </w:rPr>
        <w:t>Income tax expense (benefit)</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loss attributable to NI Holdings, Inc.</w:t>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Times New Roman" w:cs="Times New Roman" w:eastAsia="Times New Roman" w:hAnsi="Times New Roman"/>
          <w:sz w:val="18"/>
          <w:szCs w:val="18"/>
          <w:color w:val="auto"/>
        </w:rPr>
        <w:t>3,614</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3436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(965)</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3436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(762)</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(403)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3436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3" w:lineRule="exact"/>
        <w:rPr>
          <w:sz w:val="20"/>
          <w:szCs w:val="20"/>
          <w:color w:val="auto"/>
        </w:rPr>
      </w:pPr>
    </w:p>
    <w:p>
      <w:pPr>
        <w:ind w:left="667" w:hanging="667"/>
        <w:spacing w:after="0"/>
        <w:tabs>
          <w:tab w:leader="none" w:pos="66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(359)</w:t>
      </w:r>
    </w:p>
    <w:p>
      <w:pPr>
        <w:spacing w:after="0" w:line="36" w:lineRule="exact"/>
        <w:rPr>
          <w:sz w:val="20"/>
          <w:szCs w:val="20"/>
          <w:color w:val="auto"/>
        </w:rPr>
      </w:pPr>
    </w:p>
    <w:p>
      <w:pPr>
        <w:sectPr>
          <w:pgSz w:w="11900" w:h="16838" w:orient="portrait"/>
          <w:cols w:equalWidth="0" w:num="2">
            <w:col w:w="9413" w:space="720"/>
            <w:col w:w="1107"/>
          </w:cols>
          <w:pgMar w:left="320" w:top="225"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3720" w:type="dxa"/>
            <w:vAlign w:val="bottom"/>
            <w:tcBorders>
              <w:top w:val="single" w:sz="8" w:color="CCEEFF"/>
            </w:tcBorders>
            <w:shd w:val="clear" w:color="auto" w:fill="CCEEFF"/>
          </w:tcPr>
          <w:p>
            <w:pPr>
              <w:spacing w:after="0"/>
              <w:rPr>
                <w:sz w:val="20"/>
                <w:szCs w:val="20"/>
                <w:color w:val="auto"/>
              </w:rPr>
            </w:pPr>
          </w:p>
        </w:tc>
        <w:tc>
          <w:tcPr>
            <w:tcW w:w="1500" w:type="dxa"/>
            <w:vAlign w:val="bottom"/>
            <w:tcBorders>
              <w:top w:val="single" w:sz="8" w:color="CCEEFF"/>
            </w:tcBorders>
            <w:shd w:val="clear" w:color="auto" w:fill="CCEEFF"/>
          </w:tcPr>
          <w:p>
            <w:pPr>
              <w:spacing w:after="0"/>
              <w:rPr>
                <w:sz w:val="20"/>
                <w:szCs w:val="20"/>
                <w:color w:val="auto"/>
              </w:rPr>
            </w:pPr>
          </w:p>
        </w:tc>
        <w:tc>
          <w:tcPr>
            <w:tcW w:w="1440" w:type="dxa"/>
            <w:vAlign w:val="bottom"/>
            <w:tcBorders>
              <w:top w:val="single" w:sz="8" w:color="CCEEFF"/>
            </w:tcBorders>
            <w:shd w:val="clear" w:color="auto" w:fill="CCEEFF"/>
          </w:tcPr>
          <w:p>
            <w:pPr>
              <w:spacing w:after="0"/>
              <w:rPr>
                <w:sz w:val="20"/>
                <w:szCs w:val="20"/>
                <w:color w:val="auto"/>
              </w:rPr>
            </w:pPr>
          </w:p>
        </w:tc>
        <w:tc>
          <w:tcPr>
            <w:tcW w:w="120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CCEEFF"/>
            </w:tcBorders>
            <w:shd w:val="clear" w:color="auto" w:fill="CCEEFF"/>
          </w:tcPr>
          <w:p>
            <w:pPr>
              <w:spacing w:after="0"/>
              <w:rPr>
                <w:sz w:val="20"/>
                <w:szCs w:val="20"/>
                <w:color w:val="auto"/>
              </w:rPr>
            </w:pPr>
          </w:p>
        </w:tc>
        <w:tc>
          <w:tcPr>
            <w:tcW w:w="1060" w:type="dxa"/>
            <w:vAlign w:val="bottom"/>
            <w:tcBorders>
              <w:top w:val="single" w:sz="8" w:color="CCEEFF"/>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Operating Ratios:</w:t>
            </w:r>
          </w:p>
        </w:tc>
        <w:tc>
          <w:tcPr>
            <w:tcW w:w="1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Loss and loss adjustment expense ratio</w:t>
            </w:r>
          </w:p>
        </w:tc>
        <w:tc>
          <w:tcPr>
            <w:tcW w:w="1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85.8%</w:t>
            </w:r>
          </w:p>
        </w:tc>
        <w:tc>
          <w:tcPr>
            <w:tcW w:w="14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73.3%</w:t>
            </w:r>
          </w:p>
        </w:tc>
        <w:tc>
          <w:tcPr>
            <w:tcW w:w="12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65.9%</w:t>
            </w:r>
          </w:p>
        </w:tc>
        <w:tc>
          <w:tcPr>
            <w:tcW w:w="12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59.0%</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24.5%</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71.4%</w:t>
            </w:r>
          </w:p>
        </w:tc>
      </w:tr>
      <w:tr>
        <w:trPr>
          <w:trHeight w:val="216"/>
        </w:trPr>
        <w:tc>
          <w:tcPr>
            <w:tcW w:w="3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Expense ratio</w:t>
            </w:r>
          </w:p>
        </w:tc>
        <w:tc>
          <w:tcPr>
            <w:tcW w:w="1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30.5%</w:t>
            </w:r>
          </w:p>
        </w:tc>
        <w:tc>
          <w:tcPr>
            <w:tcW w:w="14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41.8%</w:t>
            </w:r>
          </w:p>
        </w:tc>
        <w:tc>
          <w:tcPr>
            <w:tcW w:w="1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30.8%</w:t>
            </w:r>
          </w:p>
        </w:tc>
        <w:tc>
          <w:tcPr>
            <w:tcW w:w="12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21.5%</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30.4%</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w:t>
            </w:r>
          </w:p>
        </w:tc>
      </w:tr>
      <w:tr>
        <w:trPr>
          <w:trHeight w:val="216"/>
        </w:trPr>
        <w:tc>
          <w:tcPr>
            <w:tcW w:w="3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Combined ratio</w:t>
            </w:r>
          </w:p>
        </w:tc>
        <w:tc>
          <w:tcPr>
            <w:tcW w:w="1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116.3%</w:t>
            </w:r>
          </w:p>
        </w:tc>
        <w:tc>
          <w:tcPr>
            <w:tcW w:w="14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115.1%</w:t>
            </w:r>
          </w:p>
        </w:tc>
        <w:tc>
          <w:tcPr>
            <w:tcW w:w="12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96.7%</w:t>
            </w:r>
          </w:p>
        </w:tc>
        <w:tc>
          <w:tcPr>
            <w:tcW w:w="12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80.5%</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54.9%</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104.6%</w:t>
            </w:r>
          </w:p>
        </w:tc>
      </w:tr>
      <w:tr>
        <w:trPr>
          <w:trHeight w:val="345"/>
        </w:trPr>
        <w:tc>
          <w:tcPr>
            <w:tcW w:w="37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42</w:t>
            </w:r>
          </w:p>
        </w:tc>
        <w:tc>
          <w:tcPr>
            <w:tcW w:w="1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5"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 Results of Operations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following discussion is intended to provide a more comprehensive review of our operating results and financial condition than can be obtained from reading the unaudited consolidated financial statements alone. Unless otherwise noted, the information in the following discussion is being presented for our continuing operations. This discussion should be read in conjunction with the unaudited consolidated financial statements and the notes thereto included in Part I, Item 1, “Financial Statements.” Some of the information contained in this discussion and analysis or set forth elsewhere in this Form 10-Q constitutes forward-looking statements that involve risks and uncertainties. Please see “Forward-Looking Statements” included elsewhere in this Form 10-Q. Part I, Item 1A, “Risk Factors” included in our 2023 Annual Report should also be reviewed for a discussion of important factors that could cause actual results to differ materially from the results described, or implied by, the forward-looking statements contained herein.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dollar amounts included in Item 2 herein, except per share data, are in thousands.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Second Quarter Consolidated Results of Continuing Operations</w:t>
      </w:r>
    </w:p>
    <w:p>
      <w:pPr>
        <w:spacing w:after="0" w:line="202"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$7,478, or $0.36 per share basic and diluted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premiums earned of $85,169</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investment income of $2,523</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unfavorable prior year reserve development of $8,382</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Underwriting loss of $11,708</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Combined ratio of 113.7%</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cash flows of $16,707</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Second Quarter Consolidated Financial Condition</w:t>
      </w:r>
    </w:p>
    <w:p>
      <w:pPr>
        <w:spacing w:after="0" w:line="189"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cash and investments of $379,784</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assets of $570,987</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Unpaid losses and loss adjustment expenses of $148,527</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liabilities of $331,537</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equity of $239,450</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Results of Continuing Operations</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Our consolidated net loss from continuing operations was $7,478 for the three months ended June 30, 2024, compared to net loss from continuing operations of $2,576 for the three months ended June 30, 2023. Our consolidated net loss from continuing operations was $543 for the six months ended June 30, 2024, compared to net loss from continuing operations of $762 for the six months ended June 30, 2023.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The major components of revenues and net loss are shown below:</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80" w:type="dxa"/>
            <w:vAlign w:val="bottom"/>
            <w:gridSpan w:val="6"/>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80" w:type="dxa"/>
            <w:vAlign w:val="bottom"/>
          </w:tcPr>
          <w:p>
            <w:pPr>
              <w:spacing w:after="0"/>
              <w:rPr>
                <w:sz w:val="24"/>
                <w:szCs w:val="24"/>
                <w:color w:val="auto"/>
              </w:rPr>
            </w:pPr>
          </w:p>
        </w:tc>
        <w:tc>
          <w:tcPr>
            <w:tcW w:w="2600" w:type="dxa"/>
            <w:vAlign w:val="bottom"/>
            <w:gridSpan w:val="6"/>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38"/>
        </w:trPr>
        <w:tc>
          <w:tcPr>
            <w:tcW w:w="5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premiums earned</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85,169</w:t>
            </w:r>
          </w:p>
        </w:tc>
        <w:tc>
          <w:tcPr>
            <w:tcW w:w="40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78,835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155,053</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141,706</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Fee and other income</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490</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1,099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16"/>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investment income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2,523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1,923</w:t>
            </w:r>
          </w:p>
        </w:tc>
        <w:tc>
          <w:tcPr>
            <w:tcW w:w="18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5,278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3,614</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investment gains (losses)</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(173)</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876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1,230</w:t>
            </w:r>
          </w:p>
        </w:tc>
        <w:tc>
          <w:tcPr>
            <w:tcW w:w="0" w:type="dxa"/>
            <w:vAlign w:val="bottom"/>
          </w:tcPr>
          <w:p>
            <w:pPr>
              <w:spacing w:after="0"/>
              <w:rPr>
                <w:sz w:val="1"/>
                <w:szCs w:val="1"/>
                <w:color w:val="auto"/>
              </w:rPr>
            </w:pPr>
          </w:p>
        </w:tc>
      </w:tr>
      <w:tr>
        <w:trPr>
          <w:trHeight w:val="209"/>
        </w:trPr>
        <w:tc>
          <w:tcPr>
            <w:tcW w:w="54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revenues</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87,807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81,075</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162,306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147,301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Components of net income (loss):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premiums earned</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85,169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78,835</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155,053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141,706</w:t>
            </w:r>
          </w:p>
        </w:tc>
        <w:tc>
          <w:tcPr>
            <w:tcW w:w="0" w:type="dxa"/>
            <w:vAlign w:val="bottom"/>
          </w:tcPr>
          <w:p>
            <w:pPr>
              <w:spacing w:after="0"/>
              <w:rPr>
                <w:sz w:val="1"/>
                <w:szCs w:val="1"/>
                <w:color w:val="auto"/>
              </w:rPr>
            </w:pPr>
          </w:p>
        </w:tc>
      </w:tr>
      <w:tr>
        <w:trPr>
          <w:trHeight w:val="216"/>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69,358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60,077</w:t>
            </w:r>
          </w:p>
        </w:tc>
        <w:tc>
          <w:tcPr>
            <w:tcW w:w="18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109,502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101,202</w:t>
            </w:r>
          </w:p>
        </w:tc>
        <w:tc>
          <w:tcPr>
            <w:tcW w:w="0" w:type="dxa"/>
            <w:vAlign w:val="bottom"/>
          </w:tcPr>
          <w:p>
            <w:pPr>
              <w:spacing w:after="0"/>
              <w:rPr>
                <w:sz w:val="1"/>
                <w:szCs w:val="1"/>
                <w:color w:val="auto"/>
              </w:rPr>
            </w:pPr>
          </w:p>
        </w:tc>
      </w:tr>
      <w:tr>
        <w:trPr>
          <w:trHeight w:val="198"/>
        </w:trPr>
        <w:tc>
          <w:tcPr>
            <w:tcW w:w="544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Amortization of deferred policy acquisition costs and other underwriting</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general expenses</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27,519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24,259</w:t>
            </w: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53,041</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47,064</w:t>
            </w:r>
          </w:p>
        </w:tc>
        <w:tc>
          <w:tcPr>
            <w:tcW w:w="0" w:type="dxa"/>
            <w:vAlign w:val="bottom"/>
          </w:tcPr>
          <w:p>
            <w:pPr>
              <w:spacing w:after="0"/>
              <w:rPr>
                <w:sz w:val="1"/>
                <w:szCs w:val="1"/>
                <w:color w:val="auto"/>
              </w:rPr>
            </w:pPr>
          </w:p>
        </w:tc>
      </w:tr>
      <w:tr>
        <w:trPr>
          <w:trHeight w:val="210"/>
        </w:trPr>
        <w:tc>
          <w:tcPr>
            <w:tcW w:w="54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Underwriting loss</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(11,708</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(5,501</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(7,490</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(6,560</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Fee and other income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490</w:t>
            </w:r>
          </w:p>
        </w:tc>
        <w:tc>
          <w:tcPr>
            <w:tcW w:w="18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1,099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investment income</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2,523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1,923</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5,278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3,614</w:t>
            </w:r>
          </w:p>
        </w:tc>
        <w:tc>
          <w:tcPr>
            <w:tcW w:w="0" w:type="dxa"/>
            <w:vAlign w:val="bottom"/>
          </w:tcPr>
          <w:p>
            <w:pPr>
              <w:spacing w:after="0"/>
              <w:rPr>
                <w:sz w:val="1"/>
                <w:szCs w:val="1"/>
                <w:color w:val="auto"/>
              </w:rPr>
            </w:pPr>
          </w:p>
        </w:tc>
      </w:tr>
      <w:tr>
        <w:trPr>
          <w:trHeight w:val="229"/>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investment gains (losses)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(173)</w:t>
            </w:r>
          </w:p>
        </w:tc>
        <w:tc>
          <w:tcPr>
            <w:tcW w:w="180" w:type="dxa"/>
            <w:vAlign w:val="bottom"/>
          </w:tcPr>
          <w:p>
            <w:pPr>
              <w:spacing w:after="0"/>
              <w:rPr>
                <w:sz w:val="19"/>
                <w:szCs w:val="19"/>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876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1,230</w:t>
            </w: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(1,592)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(685)</w:t>
            </w:r>
          </w:p>
        </w:tc>
        <w:tc>
          <w:tcPr>
            <w:tcW w:w="180" w:type="dxa"/>
            <w:vAlign w:val="bottom"/>
          </w:tcPr>
          <w:p>
            <w:pPr>
              <w:spacing w:after="0"/>
              <w:rPr>
                <w:sz w:val="19"/>
                <w:szCs w:val="19"/>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23"/>
        </w:trPr>
        <w:tc>
          <w:tcPr>
            <w:tcW w:w="544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(7,478</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Premiums Earned</w:t>
            </w: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4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80" w:type="dxa"/>
            <w:vAlign w:val="bottom"/>
            <w:gridSpan w:val="6"/>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80" w:type="dxa"/>
            <w:vAlign w:val="bottom"/>
          </w:tcPr>
          <w:p>
            <w:pPr>
              <w:spacing w:after="0"/>
              <w:rPr>
                <w:sz w:val="24"/>
                <w:szCs w:val="24"/>
                <w:color w:val="auto"/>
              </w:rPr>
            </w:pPr>
          </w:p>
        </w:tc>
        <w:tc>
          <w:tcPr>
            <w:tcW w:w="2600" w:type="dxa"/>
            <w:vAlign w:val="bottom"/>
            <w:gridSpan w:val="6"/>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premiums earned:</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 premium</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91,500</w:t>
            </w:r>
          </w:p>
        </w:tc>
        <w:tc>
          <w:tcPr>
            <w:tcW w:w="40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86,622</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166,899</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153,292</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Assumed premium</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827</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804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1,403</w:t>
            </w: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Ceded premium</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(6,984)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(8,614)</w:t>
            </w:r>
          </w:p>
        </w:tc>
        <w:tc>
          <w:tcPr>
            <w:tcW w:w="180" w:type="dxa"/>
            <w:vAlign w:val="bottom"/>
          </w:tcPr>
          <w:p>
            <w:pPr>
              <w:spacing w:after="0"/>
              <w:rPr>
                <w:sz w:val="19"/>
                <w:szCs w:val="19"/>
                <w:color w:val="auto"/>
              </w:rPr>
            </w:pPr>
          </w:p>
        </w:tc>
        <w:tc>
          <w:tcPr>
            <w:tcW w:w="11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(12,650)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(12,989)</w:t>
            </w:r>
          </w:p>
        </w:tc>
        <w:tc>
          <w:tcPr>
            <w:tcW w:w="0" w:type="dxa"/>
            <w:vAlign w:val="bottom"/>
          </w:tcPr>
          <w:p>
            <w:pPr>
              <w:spacing w:after="0"/>
              <w:rPr>
                <w:sz w:val="1"/>
                <w:szCs w:val="1"/>
                <w:color w:val="auto"/>
              </w:rPr>
            </w:pPr>
          </w:p>
        </w:tc>
      </w:tr>
      <w:tr>
        <w:trPr>
          <w:trHeight w:val="223"/>
        </w:trPr>
        <w:tc>
          <w:tcPr>
            <w:tcW w:w="544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net premiums earned</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85,169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78,835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155,053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Our net premiums earned for the three months ended June 30, 2024, increased $6,334, or 8.0%, compared to the three months ended June 30, 2023. Net premiums earned for the six months ended June 30, 2024, increased $13,347, or 9.4%, compared to the six months ended June 30,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60" w:type="dxa"/>
            <w:vAlign w:val="bottom"/>
            <w:gridSpan w:val="6"/>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80" w:type="dxa"/>
            <w:vAlign w:val="bottom"/>
          </w:tcPr>
          <w:p>
            <w:pPr>
              <w:spacing w:after="0"/>
              <w:rPr>
                <w:sz w:val="20"/>
                <w:szCs w:val="20"/>
                <w:color w:val="auto"/>
              </w:rPr>
            </w:pPr>
          </w:p>
        </w:tc>
        <w:tc>
          <w:tcPr>
            <w:tcW w:w="260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384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1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premiums earned:</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Private Passenger Auto</w:t>
            </w:r>
          </w:p>
        </w:tc>
        <w:tc>
          <w:tcPr>
            <w:tcW w:w="186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22,471</w:t>
            </w:r>
          </w:p>
        </w:tc>
        <w:tc>
          <w:tcPr>
            <w:tcW w:w="3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20,543</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44,573</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40,197</w:t>
            </w:r>
          </w:p>
        </w:tc>
      </w:tr>
      <w:tr>
        <w:trPr>
          <w:trHeight w:val="216"/>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Non-Standard Auto</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26,743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21,645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51,731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42,524</w:t>
            </w:r>
          </w:p>
        </w:tc>
      </w:tr>
      <w:tr>
        <w:trPr>
          <w:trHeight w:val="216"/>
        </w:trPr>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Home and Farm</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21,924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20,414</w:t>
            </w:r>
          </w:p>
        </w:tc>
        <w:tc>
          <w:tcPr>
            <w:tcW w:w="1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43,339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40,405</w:t>
            </w:r>
          </w:p>
        </w:tc>
      </w:tr>
      <w:tr>
        <w:trPr>
          <w:trHeight w:val="216"/>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Crop</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10,978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13,336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9,429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12,612</w:t>
            </w:r>
          </w:p>
        </w:tc>
      </w:tr>
      <w:tr>
        <w:trPr>
          <w:trHeight w:val="230"/>
        </w:trPr>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All Other</w:t>
            </w: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3,053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2,897</w:t>
            </w:r>
          </w:p>
        </w:tc>
        <w:tc>
          <w:tcPr>
            <w:tcW w:w="18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5,968</w:t>
            </w:r>
          </w:p>
        </w:tc>
      </w:tr>
      <w:tr>
        <w:trPr>
          <w:trHeight w:val="223"/>
        </w:trPr>
        <w:tc>
          <w:tcPr>
            <w:tcW w:w="384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net premiums earned</w:t>
            </w:r>
          </w:p>
        </w:tc>
        <w:tc>
          <w:tcPr>
            <w:tcW w:w="16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85,169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78,835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155,053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14"/>
        </w:trPr>
        <w:tc>
          <w:tcPr>
            <w:tcW w:w="38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2"/>
          </w:tcPr>
          <w:p>
            <w:pPr>
              <w:ind w:left="1680"/>
              <w:spacing w:after="0"/>
              <w:rPr>
                <w:sz w:val="20"/>
                <w:szCs w:val="20"/>
                <w:color w:val="auto"/>
              </w:rPr>
            </w:pPr>
            <w:r>
              <w:rPr>
                <w:rFonts w:ascii="Times New Roman" w:cs="Times New Roman" w:eastAsia="Times New Roman" w:hAnsi="Times New Roman"/>
                <w:sz w:val="18"/>
                <w:szCs w:val="18"/>
                <w:color w:val="auto"/>
                <w:w w:val="88"/>
              </w:rPr>
              <w:t>44</w:t>
            </w: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Below are comments regarding net premiums earned by business segment:</w:t>
      </w:r>
    </w:p>
    <w:p>
      <w:pPr>
        <w:spacing w:after="0" w:line="221" w:lineRule="exact"/>
        <w:rPr>
          <w:sz w:val="20"/>
          <w:szCs w:val="20"/>
          <w:color w:val="auto"/>
        </w:rPr>
      </w:pPr>
    </w:p>
    <w:p>
      <w:pPr>
        <w:jc w:val="both"/>
        <w:ind w:right="46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Private Passenger Auto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premiums earned for the second quarter of 2024 increased $1,928, or 9.4%, compared to the same period in 2023.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premiums earned for the first six months of 2024 increased $4,376, or 10.9% from the first six months of 2023. Results were driven by new business growth in North Dakota as well as significant rate increases in North Dakota, South Dakota, and Nebraska, partially offset by lower new business and retention levels in South Dakota and Nebraska as a result of underwriting actions taken to improve profitability.</w:t>
      </w:r>
    </w:p>
    <w:p>
      <w:pPr>
        <w:spacing w:after="0" w:line="17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Non-Standard Auto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premiums earned for the second quarter of 2024 increased $5,098, or 23.6%, compared to the same period in 2023. Net premiums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earned for the first six months of 2024 increased $9,207, or 21.7% from the first six months of 2023. Results were driven by new business growth in Illinois and Arizona as well as significant rate increases in the Chicago market where our non-standard auto business is concentrated, partially offset by lower retention compared to prior year periods.</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7"/>
          <w:szCs w:val="17"/>
          <w:i w:val="1"/>
          <w:iCs w:val="1"/>
          <w:color w:val="auto"/>
        </w:rPr>
        <w:t xml:space="preserve">Home and Farm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Net premiums earned for the second quarter of 2024 increased $1,510, or 7.4%, compared to the same period in 2023. Net premiums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earned for the first six months of 2024 increased $2,934, or 7.3% from the first six months of 2023. Results were driven by new business growth in North Dakota, rate increases, and increased insured property values, which were primarily the result of higher inflationary factors. These increases were partially offset by lower retention rates and new business levels in Nebraska and South Dakota as a result of underwriting actions taken to improve profitability.</w:t>
      </w:r>
    </w:p>
    <w:p>
      <w:pPr>
        <w:spacing w:after="0" w:line="161"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Crop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premiums earned for the second quarter of 2024, decreased $2,358, or 17.7%, compared to the same period in 2023. Net premiums earned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first six months of 2024 decreased $3,183, or 25.2% from the first six months of 2023. The year-to-date decrease was driven by lower commodity prices in the current year.</w:t>
      </w:r>
    </w:p>
    <w:p>
      <w:pPr>
        <w:spacing w:after="0" w:line="171"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All Other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premiums earned for the second quarter of 2024, increased $156, or 5.4%, compared to the same period in 2023. Net premiums earned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first six months of 2024 increased $13, or 0.2%, from the first six months of 2023. Results were drive by rate and insured value increases for the commercial and excess lines of business, partially offset by the continued run-off of our participation in an assumed domestic and international reinsurance pool of business.</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Losses and Loss Adjustment Expenses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losses and loss adjustment expenses:</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Direct losses and loss adjustment expenses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Assumed losses and loss adjustment expenses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Ceded losses and loss adjustment expenses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Total net losses and loss adjustment expenses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80" w:type="dxa"/>
            <w:vAlign w:val="bottom"/>
            <w:gridSpan w:val="6"/>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80" w:type="dxa"/>
            <w:vAlign w:val="bottom"/>
          </w:tcPr>
          <w:p>
            <w:pPr>
              <w:spacing w:after="0"/>
              <w:rPr>
                <w:sz w:val="20"/>
                <w:szCs w:val="20"/>
                <w:color w:val="auto"/>
              </w:rPr>
            </w:pPr>
          </w:p>
        </w:tc>
        <w:tc>
          <w:tcPr>
            <w:tcW w:w="2560" w:type="dxa"/>
            <w:vAlign w:val="bottom"/>
            <w:gridSpan w:val="6"/>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9"/>
                <w:szCs w:val="19"/>
                <w:color w:val="auto"/>
              </w:rPr>
            </w:pPr>
          </w:p>
        </w:tc>
      </w:tr>
      <w:tr>
        <w:trPr>
          <w:trHeight w:val="407"/>
        </w:trPr>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73,350</w:t>
            </w:r>
          </w:p>
        </w:tc>
        <w:tc>
          <w:tcPr>
            <w:tcW w:w="3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66,211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114,869</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108,164</w:t>
            </w:r>
          </w:p>
        </w:tc>
        <w:tc>
          <w:tcPr>
            <w:tcW w:w="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157</w:t>
            </w:r>
          </w:p>
        </w:tc>
      </w:tr>
      <w:tr>
        <w:trPr>
          <w:trHeight w:val="248"/>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(6,201)</w:t>
            </w:r>
          </w:p>
        </w:tc>
        <w:tc>
          <w:tcPr>
            <w:tcW w:w="1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(5,636)</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(7,119)</w:t>
            </w:r>
          </w:p>
        </w:tc>
      </w:tr>
      <w:tr>
        <w:trPr>
          <w:trHeight w:val="223"/>
        </w:trPr>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69,358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60,077</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109,502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101,202</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-744855</wp:posOffset>
            </wp:positionV>
            <wp:extent cx="7132320" cy="1454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-462280</wp:posOffset>
            </wp:positionV>
            <wp:extent cx="7132320" cy="1371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-179070</wp:posOffset>
            </wp:positionV>
            <wp:extent cx="7132320" cy="1631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800" w:space="720"/>
            <w:col w:w="5720"/>
          </w:cols>
          <w:pgMar w:left="320" w:top="536" w:right="339" w:bottom="1440" w:gutter="0" w:footer="0" w:header="0"/>
        </w:sect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net losses and loss adjustment expenses for the three months ended June 30, 2024, increased $9,281, or 15.4%, compared to the three months ended June 30, 2023. Our net losses and loss adjustment expenses for the six months ended June 30, 2024, increased $8,300, or 8.2%, compared to the six months ended June 30, 2023.</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80" w:type="dxa"/>
            <w:vAlign w:val="bottom"/>
            <w:gridSpan w:val="6"/>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80" w:type="dxa"/>
            <w:vAlign w:val="bottom"/>
          </w:tcPr>
          <w:p>
            <w:pPr>
              <w:spacing w:after="0"/>
              <w:rPr>
                <w:sz w:val="20"/>
                <w:szCs w:val="20"/>
                <w:color w:val="auto"/>
              </w:rPr>
            </w:pPr>
          </w:p>
        </w:tc>
        <w:tc>
          <w:tcPr>
            <w:tcW w:w="260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54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09"/>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losses and loss adjustment expenses:</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Private Passenger Auto</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19,929</w:t>
            </w:r>
          </w:p>
        </w:tc>
        <w:tc>
          <w:tcPr>
            <w:tcW w:w="3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18,867</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31,222</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34,493</w:t>
            </w:r>
          </w:p>
        </w:tc>
      </w:tr>
      <w:tr>
        <w:trPr>
          <w:trHeight w:val="216"/>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Non-Standard Auto</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19,313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14,139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36,182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31,177</w:t>
            </w:r>
          </w:p>
        </w:tc>
      </w:tr>
      <w:tr>
        <w:trPr>
          <w:trHeight w:val="216"/>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Home and Farm</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22,026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17,915</w:t>
            </w:r>
          </w:p>
        </w:tc>
        <w:tc>
          <w:tcPr>
            <w:tcW w:w="1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34,207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26,634</w:t>
            </w:r>
          </w:p>
        </w:tc>
      </w:tr>
      <w:tr>
        <w:trPr>
          <w:trHeight w:val="216"/>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Crop</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7,311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8,210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5,754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7,435</w:t>
            </w:r>
          </w:p>
        </w:tc>
      </w:tr>
      <w:tr>
        <w:trPr>
          <w:trHeight w:val="229"/>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All Other</w:t>
            </w: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946</w:t>
            </w:r>
          </w:p>
        </w:tc>
        <w:tc>
          <w:tcPr>
            <w:tcW w:w="18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1,463</w:t>
            </w:r>
          </w:p>
        </w:tc>
      </w:tr>
      <w:tr>
        <w:trPr>
          <w:trHeight w:val="223"/>
        </w:trPr>
        <w:tc>
          <w:tcPr>
            <w:tcW w:w="454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net losses and loss adjustment expenses</w:t>
            </w: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69,358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60,077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109,502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294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78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52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0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and loss adjustment expenses ratio:</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Private Passenger Auto</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88.7%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91.8%</w:t>
            </w:r>
          </w:p>
        </w:tc>
        <w:tc>
          <w:tcPr>
            <w:tcW w:w="14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70.0%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85.8%</w:t>
            </w:r>
          </w:p>
        </w:tc>
      </w:tr>
      <w:tr>
        <w:trPr>
          <w:trHeight w:val="216"/>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Non-Standard Auto</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65.3%</w:t>
            </w:r>
          </w:p>
        </w:tc>
        <w:tc>
          <w:tcPr>
            <w:tcW w:w="14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69.9%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73.3%</w:t>
            </w:r>
          </w:p>
        </w:tc>
      </w:tr>
      <w:tr>
        <w:trPr>
          <w:trHeight w:val="216"/>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Home and Farm</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87.8%</w:t>
            </w:r>
          </w:p>
        </w:tc>
        <w:tc>
          <w:tcPr>
            <w:tcW w:w="14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78.9%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65.9%</w:t>
            </w:r>
          </w:p>
        </w:tc>
      </w:tr>
      <w:tr>
        <w:trPr>
          <w:trHeight w:val="216"/>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Crop</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61.6%</w:t>
            </w:r>
          </w:p>
        </w:tc>
        <w:tc>
          <w:tcPr>
            <w:tcW w:w="14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61.0%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59.0%</w:t>
            </w:r>
          </w:p>
        </w:tc>
      </w:tr>
      <w:tr>
        <w:trPr>
          <w:trHeight w:val="229"/>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All Other</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w:t>
            </w:r>
          </w:p>
        </w:tc>
        <w:tc>
          <w:tcPr>
            <w:tcW w:w="14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35.7%</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w:t>
            </w:r>
          </w:p>
        </w:tc>
      </w:tr>
      <w:tr>
        <w:trPr>
          <w:trHeight w:val="223"/>
        </w:trPr>
        <w:tc>
          <w:tcPr>
            <w:tcW w:w="552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loss and loss adjustment expenses ratio</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4"/>
              </w:rPr>
              <w:t>70.6%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Below are comments regarding significant changes in the net losses and loss adjustment expenses, and the net loss and loss adjustment expense ratios, by business segment:</w:t>
      </w:r>
    </w:p>
    <w:p>
      <w:pPr>
        <w:spacing w:after="0" w:line="158"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Private Passenger Auto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net loss and loss adjustment expense ratio decreased 3.1 percentage points and 15.8 percentage points in the three- and six-month periods ended June 30, 2024, respectively, compared to the same periods in 2023. These decreases were driven by the earned premium growth as well as lower levels of weather-related losses in the current year due to the mild winter in the Midwest compared to elevated winter weather-related losses in the prior year. Both periods were affected by elevated loss costs due to continued high levels of inflation.</w:t>
      </w:r>
    </w:p>
    <w:p>
      <w:pPr>
        <w:spacing w:after="0" w:line="176"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Non-Standard Auto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net loss and loss adjustment expense ratio increased 6.9 percentage points in the three-month period ended June 30,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2023. This increase was driven by elevated loss severity as a result of inflationary factors as well as unfavorable prior year loss reserve development. The net loss and loss adjustment expense ratio decreased 3.4 percentage points in the six-month period ended June 30, 2024, compared to the same period in 2023. This decrease was primarily driven by earned premium growth resulting from new business growth and significant rate increases.</w:t>
      </w:r>
    </w:p>
    <w:p>
      <w:pPr>
        <w:spacing w:after="0" w:line="179"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Home and Farm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net loss and loss adjustment expense ratio increased 12.7 percentage points and 13.0 percentage points in the three- and six-month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ended June 30, 2024, respectively, compared to the same periods in 2023. These increases in net loss and loss adjustment expense ratios were driven by higher non-catastrophe weather-related losses in South Dakota and Nebraska during 2024 compared to the prior year.</w:t>
      </w:r>
    </w:p>
    <w:p>
      <w:pPr>
        <w:spacing w:after="0" w:line="171"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Crop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net loss and loss adjustment expense ratio increased 5.0 percentage points and 2.0 percentage points in the three- and six-month periods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2024, respectively, compared to the same periods in 2023. These increases were driven by slightly less favorable crop growing conditions compared to the prior year.</w:t>
      </w:r>
    </w:p>
    <w:p>
      <w:pPr>
        <w:spacing w:after="0" w:line="2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type w:val="continuous"/>
        </w:sectPr>
      </w:pPr>
    </w:p>
    <w:bookmarkStart w:id="49" w:name="page50"/>
    <w:bookmarkEnd w:id="49"/>
    <w:p>
      <w:pPr>
        <w:ind w:right="6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All Other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net loss and loss adjustment expense ratio decreased 7.2 percentage points in the three-month period ended June 30, 2024,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in 2023. This decrease was driven by improved loss experience related to the commercial business. The net loss and loss adjustment expense ratio increased 11.2 percentage points in the six-month period ended June 30, 2024, compared to the same period in 2023. This increase was driven by slightly elevated large loss experience compared to the prior year.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and General Expenses and Expense Ratio</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4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80" w:type="dxa"/>
            <w:vAlign w:val="bottom"/>
            <w:gridSpan w:val="6"/>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80" w:type="dxa"/>
            <w:vAlign w:val="bottom"/>
          </w:tcPr>
          <w:p>
            <w:pPr>
              <w:spacing w:after="0"/>
              <w:rPr>
                <w:sz w:val="24"/>
                <w:szCs w:val="24"/>
                <w:color w:val="auto"/>
              </w:rPr>
            </w:pPr>
          </w:p>
        </w:tc>
        <w:tc>
          <w:tcPr>
            <w:tcW w:w="2600" w:type="dxa"/>
            <w:vAlign w:val="bottom"/>
            <w:gridSpan w:val="7"/>
          </w:tcPr>
          <w:p>
            <w:pPr>
              <w:ind w:left="1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84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Underwriting and general expenses: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19,290</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16,784</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36,107</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31,788</w:t>
            </w:r>
          </w:p>
        </w:tc>
      </w:tr>
      <w:tr>
        <w:trPr>
          <w:trHeight w:val="229"/>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underwriting and general expenses</w:t>
            </w: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8,229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7,475</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16,934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15,276</w:t>
            </w:r>
          </w:p>
        </w:tc>
      </w:tr>
      <w:tr>
        <w:trPr>
          <w:trHeight w:val="263"/>
        </w:trPr>
        <w:tc>
          <w:tcPr>
            <w:tcW w:w="48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underwriting and general expenses</w:t>
            </w:r>
          </w:p>
        </w:tc>
        <w:tc>
          <w:tcPr>
            <w:tcW w:w="6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27,519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24,259</w:t>
            </w:r>
          </w:p>
        </w:tc>
        <w:tc>
          <w:tcPr>
            <w:tcW w:w="2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53,041</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47,064</w:t>
            </w:r>
          </w:p>
        </w:tc>
        <w:tc>
          <w:tcPr>
            <w:tcW w:w="100" w:type="dxa"/>
            <w:vAlign w:val="bottom"/>
            <w:tcBorders>
              <w:bottom w:val="single" w:sz="8" w:color="CCEEFF"/>
            </w:tcBorders>
            <w:gridSpan w:val="2"/>
          </w:tcPr>
          <w:p>
            <w:pPr>
              <w:spacing w:after="0"/>
              <w:rPr>
                <w:sz w:val="22"/>
                <w:szCs w:val="22"/>
                <w:color w:val="auto"/>
              </w:rPr>
            </w:pPr>
          </w:p>
        </w:tc>
      </w:tr>
      <w:tr>
        <w:trPr>
          <w:trHeight w:val="196"/>
        </w:trPr>
        <w:tc>
          <w:tcPr>
            <w:tcW w:w="48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3"/>
        </w:trPr>
        <w:tc>
          <w:tcPr>
            <w:tcW w:w="4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Expense Ratio</w:t>
            </w: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30.9%</w:t>
            </w:r>
          </w:p>
        </w:tc>
        <w:tc>
          <w:tcPr>
            <w:tcW w:w="18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tcPr>
          <w:p>
            <w:pPr>
              <w:spacing w:after="0"/>
              <w:rPr>
                <w:sz w:val="21"/>
                <w:szCs w:val="21"/>
                <w:color w:val="auto"/>
              </w:rPr>
            </w:pPr>
          </w:p>
        </w:tc>
      </w:tr>
      <w:tr>
        <w:trPr>
          <w:trHeight w:val="20"/>
        </w:trPr>
        <w:tc>
          <w:tcPr>
            <w:tcW w:w="4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expense ratio is calculated by dividing other underwriting and general expenses and amortization of deferred policy acquisition costs by net premiums earned. The expense ratio measures a company’s operational efficiency in producing, underwriting, and administering its insurance business. The overall expense ratio increased 1.4 percentage points and 1.0 percentage points in the three-and six-month periods ended June 30, 2024, respectively, compared to the same periods in 2023. The increase in the amortization of deferred policy acquisition costs is due to higher deferrable costs resulting from significant premium growth compared to the prior year, including significant growth in the Non-Standard Auto segment which generally pays higher agent commissions than our other segments.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Gain (Loss) and Combined Ratio</w:t>
            </w: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4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80" w:type="dxa"/>
            <w:vAlign w:val="bottom"/>
            <w:gridSpan w:val="6"/>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80" w:type="dxa"/>
            <w:vAlign w:val="bottom"/>
          </w:tcPr>
          <w:p>
            <w:pPr>
              <w:spacing w:after="0"/>
              <w:rPr>
                <w:sz w:val="24"/>
                <w:szCs w:val="24"/>
                <w:color w:val="auto"/>
              </w:rPr>
            </w:pPr>
          </w:p>
        </w:tc>
        <w:tc>
          <w:tcPr>
            <w:tcW w:w="2600" w:type="dxa"/>
            <w:vAlign w:val="bottom"/>
            <w:gridSpan w:val="6"/>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5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09"/>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Underwriting gain (loss):</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Private Passenger Auto</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(4,294)</w:t>
            </w:r>
          </w:p>
        </w:tc>
        <w:tc>
          <w:tcPr>
            <w:tcW w:w="3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(4,120)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(506)</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(6,575)</w:t>
            </w:r>
          </w:p>
        </w:tc>
      </w:tr>
      <w:tr>
        <w:trPr>
          <w:trHeight w:val="216"/>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Non-Standard Auto</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(2,831)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(1,224)</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(5,016)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(6,444)</w:t>
            </w:r>
          </w:p>
        </w:tc>
      </w:tr>
      <w:tr>
        <w:trPr>
          <w:trHeight w:val="216"/>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Home and Farm</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(7,348)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(3,695)</w:t>
            </w:r>
          </w:p>
        </w:tc>
        <w:tc>
          <w:tcPr>
            <w:tcW w:w="180" w:type="dxa"/>
            <w:vAlign w:val="bottom"/>
          </w:tcPr>
          <w:p>
            <w:pPr>
              <w:spacing w:after="0"/>
              <w:rPr>
                <w:sz w:val="18"/>
                <w:szCs w:val="18"/>
                <w:color w:val="auto"/>
              </w:rPr>
            </w:pPr>
          </w:p>
        </w:tc>
        <w:tc>
          <w:tcPr>
            <w:tcW w:w="11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(4,811)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1,307</w:t>
            </w:r>
          </w:p>
        </w:tc>
      </w:tr>
      <w:tr>
        <w:trPr>
          <w:trHeight w:val="216"/>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Crop</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1,955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2,443</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1,964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2,462</w:t>
            </w:r>
          </w:p>
        </w:tc>
      </w:tr>
      <w:tr>
        <w:trPr>
          <w:trHeight w:val="229"/>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All Other</w:t>
            </w: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1,095</w:t>
            </w:r>
          </w:p>
        </w:tc>
        <w:tc>
          <w:tcPr>
            <w:tcW w:w="180" w:type="dxa"/>
            <w:vAlign w:val="bottom"/>
          </w:tcPr>
          <w:p>
            <w:pPr>
              <w:spacing w:after="0"/>
              <w:rPr>
                <w:sz w:val="19"/>
                <w:szCs w:val="19"/>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879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2,690</w:t>
            </w:r>
          </w:p>
        </w:tc>
      </w:tr>
      <w:tr>
        <w:trPr>
          <w:trHeight w:val="223"/>
        </w:trPr>
        <w:tc>
          <w:tcPr>
            <w:tcW w:w="452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underwriting loss</w:t>
            </w: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(11,708</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(7,490</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294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78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52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Combined ratio:</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Private Passenger Auto</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119.1%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116.3%</w:t>
            </w:r>
          </w:p>
        </w:tc>
      </w:tr>
      <w:tr>
        <w:trPr>
          <w:trHeight w:val="216"/>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Non-Standard Auto</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110.6%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109.7%</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115.1%</w:t>
            </w:r>
          </w:p>
        </w:tc>
      </w:tr>
      <w:tr>
        <w:trPr>
          <w:trHeight w:val="216"/>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Home and Farm</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133.6%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96.7%</w:t>
            </w:r>
          </w:p>
        </w:tc>
      </w:tr>
      <w:tr>
        <w:trPr>
          <w:trHeight w:val="216"/>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Crop</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82.2%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80.5%</w:t>
            </w:r>
          </w:p>
        </w:tc>
      </w:tr>
      <w:tr>
        <w:trPr>
          <w:trHeight w:val="229"/>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All Other</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54.9%</w:t>
            </w:r>
          </w:p>
        </w:tc>
      </w:tr>
      <w:tr>
        <w:trPr>
          <w:trHeight w:val="223"/>
        </w:trPr>
        <w:tc>
          <w:tcPr>
            <w:tcW w:w="552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Combined ratio</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Underwriting gain (loss) measures the pre-tax profitability of our insurance operations. It is derived by subtracting losses and loss adjustment expenses, amortization of deferred policy acquisition costs, and other underwriting and general expenses from net premiums earned. The combined ratio represents the sum of these losses and expenses as a percentage of net premiums earned and measures our overall underwriting profit.</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total underwriting loss increased $6,207, or 112.8%, for the three-month period ended June 30, 2024, compared to the same period in 2023. The total underwriting loss increased $930, or 14.2%, for the six-month period ended June 30, 2024, compared to the same period in 2023. These results were driven by the factors discussed in the Loss and Loss Adjustment Expenses as well as the Underwriting and General Expenses and Expense Ratio sections above.</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0" w:name="page51"/>
    <w:bookmarkEnd w:id="50"/>
    <w:p>
      <w:pPr>
        <w:ind w:right="260"/>
        <w:spacing w:after="0" w:line="261" w:lineRule="auto"/>
        <w:rPr>
          <w:sz w:val="20"/>
          <w:szCs w:val="20"/>
          <w:color w:val="auto"/>
        </w:rPr>
      </w:pPr>
      <w:r>
        <w:rPr>
          <w:rFonts w:ascii="Times New Roman" w:cs="Times New Roman" w:eastAsia="Times New Roman" w:hAnsi="Times New Roman"/>
          <w:sz w:val="18"/>
          <w:szCs w:val="18"/>
          <w:color w:val="auto"/>
        </w:rPr>
        <w:t>The overall combined ratio increased 6.6 percentage points in the three-month period ended June 30, 2024, compared to the same period in 2023. The overall combined ratio increased 0.2 percentage points in the six-month period ended June 30, 2024, compared to the same period in 2023. These results were driven by the factors discussed in the Loss and Loss Adjustment Expenses as well as the Underwriting and General Expenses and Expense Ratio sections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 and Other Income</w:t>
      </w:r>
    </w:p>
    <w:p>
      <w:pPr>
        <w:spacing w:after="0" w:line="20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had fee and other income of $695 and $1,099 for the three and six months ended June 30, 2024, respectively, compared to $490 and $751 for the three and six months ended June 30, 2023, respectively. Fee income is largely attributable to the Non-Standard Auto segment and is a key component in measuring its profitability. Fee and other income on this business increased to $340 and $690 for the three and six months ended June 30, 2024, respectively, from $239 and $471 for the three and six months ended June 30, 2023, respectively, driven by growth in this segment.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w:t>
      </w:r>
    </w:p>
    <w:p>
      <w:pPr>
        <w:spacing w:after="0" w:line="18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table shows our average cash and invested assets, net investment income, and return on average cash and invested assets for the reported periods for continuing operations: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80" w:type="dxa"/>
            <w:vAlign w:val="bottom"/>
            <w:gridSpan w:val="6"/>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80" w:type="dxa"/>
            <w:vAlign w:val="bottom"/>
          </w:tcPr>
          <w:p>
            <w:pPr>
              <w:spacing w:after="0"/>
              <w:rPr>
                <w:sz w:val="20"/>
                <w:szCs w:val="20"/>
                <w:color w:val="auto"/>
              </w:rPr>
            </w:pPr>
          </w:p>
        </w:tc>
        <w:tc>
          <w:tcPr>
            <w:tcW w:w="260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5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1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cash and invested assets</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337,611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339,050</w:t>
            </w:r>
          </w:p>
        </w:tc>
        <w:tc>
          <w:tcPr>
            <w:tcW w:w="10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2,523</w:t>
            </w:r>
          </w:p>
        </w:tc>
        <w:tc>
          <w:tcPr>
            <w:tcW w:w="3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1,923</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5,278</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3,614</w:t>
            </w:r>
          </w:p>
        </w:tc>
      </w:tr>
      <w:tr>
        <w:trPr>
          <w:trHeight w:val="216"/>
        </w:trPr>
        <w:tc>
          <w:tcPr>
            <w:tcW w:w="4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Gross return on average cash and invested assets</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return on average cash and invested assets</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r>
    </w:tbl>
    <w:p>
      <w:pPr>
        <w:spacing w:after="0" w:line="19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Net investment income increased $600 for the three months ended June 30, 2024, compared to the three months ended June 30, 2023. Net investment income increased $1,664 for the six months ended June 30, 2024, compared to the six months ended June 30, 2023. These increases were primarily driven by the higher interest rate environment which resulted in higher reinvestment rates in our fixed income portfolio.</w:t>
      </w:r>
    </w:p>
    <w:p>
      <w:pPr>
        <w:spacing w:after="0" w:line="39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Gross and net return on average cash and invested assets increased year-over-year, primarily driven by the favorable interest rate environment that resulted in significantly higher net investment income on a slightly increased average fixed income securities balance (measured at fair value). In addition, the increase in investments in high dividend yield equities resulted in relatively consistent year-over-year net investment income despite a reduction in the average equities balance (measured at fair value). The increase in average cash and invested assets was driven by higher operating cash flows during 2023 and the first six months of 2024.</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Gains (Losses)</w:t>
            </w: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gains (losses) consisted of the following:</w:t>
            </w: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4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940" w:type="dxa"/>
            <w:vAlign w:val="bottom"/>
            <w:gridSpan w:val="7"/>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80" w:type="dxa"/>
            <w:vAlign w:val="bottom"/>
          </w:tcPr>
          <w:p>
            <w:pPr>
              <w:spacing w:after="0"/>
              <w:rPr>
                <w:sz w:val="24"/>
                <w:szCs w:val="24"/>
                <w:color w:val="auto"/>
              </w:rPr>
            </w:pPr>
          </w:p>
        </w:tc>
        <w:tc>
          <w:tcPr>
            <w:tcW w:w="2600" w:type="dxa"/>
            <w:vAlign w:val="bottom"/>
            <w:gridSpan w:val="6"/>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82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10"/>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realized gains</w:t>
            </w: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13,018</w:t>
            </w:r>
          </w:p>
        </w:tc>
        <w:tc>
          <w:tcPr>
            <w:tcW w:w="100" w:type="dxa"/>
            <w:vAlign w:val="bottom"/>
            <w:shd w:val="clear" w:color="auto" w:fill="CCEEFF"/>
          </w:tcPr>
          <w:p>
            <w:pPr>
              <w:spacing w:after="0"/>
              <w:rPr>
                <w:sz w:val="18"/>
                <w:szCs w:val="18"/>
                <w:color w:val="auto"/>
              </w:rPr>
            </w:pPr>
          </w:p>
        </w:tc>
      </w:tr>
      <w:tr>
        <w:trPr>
          <w:trHeight w:val="22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Gross realized losses, excluding credit impairment losses</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(442)</w:t>
            </w:r>
          </w:p>
        </w:tc>
        <w:tc>
          <w:tcPr>
            <w:tcW w:w="18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(1,481)</w:t>
            </w: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gains (losses)</w:t>
            </w:r>
          </w:p>
        </w:tc>
        <w:tc>
          <w:tcPr>
            <w:tcW w:w="7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Change in net unrealized gains on equity securities</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(10,307)</w:t>
            </w:r>
          </w:p>
        </w:tc>
      </w:tr>
      <w:tr>
        <w:trPr>
          <w:trHeight w:val="223"/>
        </w:trPr>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gains (losses)</w:t>
            </w:r>
          </w:p>
        </w:tc>
        <w:tc>
          <w:tcPr>
            <w:tcW w:w="70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had net realized gains of $9 and losses of $82 for the three and six months ended June 30, 2024, respectively, compared to net unrealized losses of $98 and gains of $11,537 for the three and six months ended June 30, 2023, respectively. The elevated net realized gains in the six months ended June 30, 2023, were the result of a strategic liquidation of a portfolio of equity securities. The gross realized gains from the sale of these securities were largely offset by the elimination of the unrealized gain position of these securities. No credit impairment losses were reported during any of the periods presented.</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experienced a decrease of $589 and an increase of $958 in net unrealized gains on equity securities during the three and six months ended June 30, 2024, respectively, attributable to overall favorable equity markets during the current year partially offset by unfavorable equity markets during the current quarter. We experienced a decrease in net unrealized gains on equity securities of $75 and $10,307 during the three and six months ended June 30, 2023, respectively. The decrease in unrealized gains on equity securities during the six months ended June 30, 2023, was driven by the equity portfolio liquidation noted above, offset by the impact of changes in fair value attributable to favorable equity markets during the quarter.</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1" w:name="page52"/>
    <w:bookmarkEnd w:id="51"/>
    <w:p>
      <w:pPr>
        <w:ind w:right="100"/>
        <w:spacing w:after="0" w:line="256" w:lineRule="auto"/>
        <w:rPr>
          <w:sz w:val="20"/>
          <w:szCs w:val="20"/>
          <w:color w:val="auto"/>
        </w:rPr>
      </w:pPr>
      <w:r>
        <w:rPr>
          <w:rFonts w:ascii="Times New Roman" w:cs="Times New Roman" w:eastAsia="Times New Roman" w:hAnsi="Times New Roman"/>
          <w:sz w:val="18"/>
          <w:szCs w:val="18"/>
          <w:color w:val="auto"/>
        </w:rPr>
        <w:t>Our fixed income securities are classified as available for sale because we will, from time to time, make sales of securities that are not impaired, consistent with our investment goals and policies. The fixed income portion of the portfolio experienced net unrealized losses of $923 and net unrealized losses of $2,730 during the three and six months ended June 30, 2024, respectively, compared to net unrealized losses of $2,766 and net unrealized gains of $2,977 during the three and six months ended June 30, 2023, respectively. The changes were primarily the result of changes in U.S. interest rates. The change in the fair value of fixed income securities is not reflected in net income; rather it is reflected as a separate component (net of income taxes) of other comprehensive income.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(Loss) before Income Taxes</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2024, we had a pre-tax loss of $9,070 compared to a pre-tax loss of $3,261 for the three months ended June 30, 2023. The year-over-year change was largely attributable to higher non-catastrophe weather-related losses for Home and Farm in the states of South Dakota and Nebraska as well as unfavorable prior year loss reserve development for Non-Standard Auto, partially offset by higher net investment income.</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2024, we had a pre-tax loss of $237 compared to pre-tax loss of $965 for the six months ended June 30, 2023. The year-over-year improvement was largely attributable to higher levels of net investment income as well as lower levels of winter weather-related losses for Private Passenger Auto in the current year, partially offset by higher non-catastrophe weather-related losses for Home and Farm in the states of South Dakota and Nebraska.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recorded an income tax benefit of $1,592 for the three months ended June 30, 2024, compared to an income tax benefit of $685 for the three months ended June 30, 2023. Our effective tax rate for the second quarter of 2024 was 17.6% compared to an effective tax rate of 21.0% for the second quarter of 2023.</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recorded an income tax expense of $306 for the six months ended June 30, 2024, compared to income tax benefit of $203 for the six months ended June 30, 2023. Our effective tax rate for the first six months of 2024 was 42.0% compared to an effective tax rate of 21.0% for the first six months of 2023. The effective tax rate for the first six months of 2024 was impacted by a $346 current quarter valuation allowance on net operating loss carryforwards established as a result of the Battle Creek demutualization.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2024, we had a net loss before non-controlling interest of $7,478 compared to a net loss of $2,576 for the three months ended June 30, 2023. The year-over-year change was largely attributable to higher non-catastrophe weather-related losses for Home and Farm in the states of South Dakota and Nebraska as well as unfavorable prior year loss reserve development for Non-Standard Auto, partially offset by higher net investment income.</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2024, we had a net loss before non-controlling interest of $543 compared to net loss of $762 for the six months ended June 30, 2023. The year-over-year improvement was largely attributable to higher levels of net investment income as well as lower levels of winter weather-related losses for Private Passenger Auto in the current year, partially offset by higher non-catastrophe weather-related losses for Home and Farm in the states of South Dakota and Nebraska.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Return on Average Equity</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2024, we had annualized return on average equity, after non-controlling interest, of (12.7)% compared to annualized return on average equity, after non-controlling interest, of (4.5)% for the three months ended June 30, 2023.</w:t>
      </w:r>
    </w:p>
    <w:p>
      <w:pPr>
        <w:spacing w:after="0" w:line="16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2024, we had annualized return on average equity, after non-controlling interest, of (0.5)% compared to annualized return on average equity, after non-controlling interest, of (0.3)% for the six months ended June 30,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equity is calculated as the average between beginning and ending equity, excluding non-controlling interest, for the period.</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both the use of estimates and judgment relative to the application of appropriate accounting policies. We are required to make estimates and assumptions in certain circumstances that affect amounts reported in the unaudited consolidated financial statements and related footnotes. We evaluate these estimates and assumptions on an ongoing basis based on historical developments, market conditions, industry trends, and other information that we believe to be reasonable under the circumstances. There can be no assurance that actual results will conform to these estimates and assumptions or that reported results of operations will not be materially and adversely affected by the need to make accounting adjustments to reflect changes in these estimates and assumptions from time to time. Our critical accounting policies are more fully described in Part II, Item 7, “Management's Discussion and Analysis of Financial Condition and Results of Operations” presented in our 2023 Annual Report. There have been no changes in our critical accounting policies from December 31,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expect to generate sufficient funds from our operations and maintain a high degree of liquidity in our investment portfolio to meet the demands of claim settlements and operating expenses for the foreseeable future. Our primary sources of funds are premium collections, investment earnings, and fixed income maturities.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cash and cash equivalents for continuing and discontinued operations for the six months ended June 30, 2024 and 2023, were as follows:</w:t>
      </w:r>
    </w:p>
    <w:p>
      <w:pPr>
        <w:sectPr>
          <w:pgSz w:w="11900" w:h="16838" w:orient="portrait"/>
          <w:cols w:equalWidth="0" w:num="1">
            <w:col w:w="11220"/>
          </w:cols>
          <w:pgMar w:left="320" w:top="54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cash flows from financing activities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increase in cash and cash equivalents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1"/>
        </w:trPr>
        <w:tc>
          <w:tcPr>
            <w:tcW w:w="20" w:type="dxa"/>
            <w:vAlign w:val="bottom"/>
          </w:tcPr>
          <w:p>
            <w:pPr>
              <w:spacing w:after="0"/>
              <w:rPr>
                <w:sz w:val="16"/>
                <w:szCs w:val="16"/>
                <w:color w:val="auto"/>
              </w:rPr>
            </w:pPr>
          </w:p>
        </w:tc>
        <w:tc>
          <w:tcPr>
            <w:tcW w:w="260" w:type="dxa"/>
            <w:vAlign w:val="bottom"/>
          </w:tcPr>
          <w:p>
            <w:pPr>
              <w:jc w:val="right"/>
              <w:ind w:right="9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34,760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jc w:val="right"/>
              <w:ind w:right="7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19,887</w:t>
            </w: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(3,776)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1,117</w:t>
            </w:r>
          </w:p>
        </w:tc>
        <w:tc>
          <w:tcPr>
            <w:tcW w:w="20" w:type="dxa"/>
            <w:vAlign w:val="bottom"/>
          </w:tcPr>
          <w:p>
            <w:pPr>
              <w:spacing w:after="0"/>
              <w:rPr>
                <w:sz w:val="18"/>
                <w:szCs w:val="18"/>
                <w:color w:val="auto"/>
              </w:rPr>
            </w:pPr>
          </w:p>
        </w:tc>
      </w:tr>
      <w:tr>
        <w:trPr>
          <w:trHeight w:val="248"/>
        </w:trPr>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(3,397)</w:t>
            </w:r>
          </w:p>
        </w:tc>
      </w:t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30,782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17,607</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720" w:space="720"/>
            <w:col w:w="2780"/>
          </w:cols>
          <w:pgMar w:left="320" w:top="549" w:right="359" w:bottom="1440" w:gutter="0" w:footer="0" w:header="0"/>
          <w:type w:val="continuous"/>
        </w:sect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2024, net cash provided by operating activities totaled $34,760 compared to $19,887 a year ago. This change was primarily driven by lower levels of loss and loss adjustment payments in the current year.</w:t>
      </w:r>
    </w:p>
    <w:p>
      <w:pPr>
        <w:spacing w:after="0" w:line="162"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2024, net cash used by investing activities totaled $3,776 compared to net cash provided of $1,117 a year ago. This change was primarily attributable to a decrease in sales of equity securities compared to the prior year partially offset by the proceeds from the sale of Westminster in the current year.</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2024, net cash used by financing activities totaled $202 compared to $3,397 a year ago. This decrease in cash used was attributable to a reduction in share repurchases in the current year.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holding company, a principal source of long-term liquidity will be dividend payments from our directly-owned subsidiaries.</w:t>
      </w: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type w:val="continuous"/>
        </w:sectPr>
      </w:pPr>
    </w:p>
    <w:bookmarkStart w:id="53" w:name="page54"/>
    <w:bookmarkEnd w:id="53"/>
    <w:p>
      <w:pPr>
        <w:spacing w:after="0" w:line="255" w:lineRule="auto"/>
        <w:rPr>
          <w:sz w:val="20"/>
          <w:szCs w:val="20"/>
          <w:color w:val="auto"/>
        </w:rPr>
      </w:pPr>
      <w:r>
        <w:rPr>
          <w:rFonts w:ascii="Times New Roman" w:cs="Times New Roman" w:eastAsia="Times New Roman" w:hAnsi="Times New Roman"/>
          <w:sz w:val="18"/>
          <w:szCs w:val="18"/>
          <w:color w:val="auto"/>
        </w:rPr>
        <w:t>Nodak Insurance is restricted by the insurance laws of North Dakota as to the amount of dividends or other distributions it may pay to NI Holdings. North Dakota law sets the maximum amount of dividends that may be paid by Nodak Insurance during any twelve-month period after notice to, but without prior approval of, the North Dakota Insurance Department. This amount cannot exceed the lesser of (i) 10% of the Company’s surplus as regards policyholders as of the preceding December 31, or (ii) the Company’s statutory net income for the preceding calendar year (excluding realized investment gains), less any prior dividends paid during such twelve-month period. In addition, any insurance company other than a life insurance company may carry forward net income from the preceding two calendar years, not including realized investment gains, less any dividends actually paid during those two calendar years. Dividends in excess of this amount are considered “extraordinary” and are subject to the approval of the North Dakota Insurance Department.</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There is no amount available for payment of dividends from Nodak Insurance to NI Holdings during 2024 without the prior approval of the North Dakota Insurance Department. Prior to its payment of any dividend, Nodak Insurance will be required to provide notice of the dividend to the North Dakota Insurance Department. This notice must be provided to the North Dakota Insurance Department 30 days prior to the payment of an extraordinary dividend and 10 days prior to the payment of an ordinary dividend. The North Dakota Insurance Department has the power to limit or prohibit dividend payments if an insurance company is in violation of any law or regulation. These restrictions or any subsequently imposed restrictions may affect our future liquidity. No dividends were declared or paid by Nodak Insurance during the six months ended June 30, 2024, or the year ended December 31, 2023.</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Direct Auto re-domesticated from Illinois to North Dakota during 2021 and is now subject to the same dividend restrictions as Nodak Insurance. The amount available for payment of dividends from Direct Auto to NI Holdings during 2024 without the prior approval of the North Dakota Insurance Department is approximately $90 as of December 31, 2023. No dividends were declared or paid by Direct Auto during the six months ended June 30, 2024, or the year ended December 31, 2023.</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Westminster re-domesticated from Maryland to North Dakota during 2021 and was subject to the same dividend restrictions as Nodak Insurance. The amount available for payment of dividends from Westminster to NI Holdings during 2024 without the prior approval of the North Dakota Insurance Department was approximately $1,200 as of December 31, 2023. No dividends were declared or paid by Westminster during the six months ended June 30, 2024, or the year ended December 31, 2023. Westminster was sold on June 30, 2024. For additional information see Part I, Item 1, Note 19 “Discontinued Operations” of this Quarterly Report on Form 10-Q.</w:t>
      </w: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Item 3. - Quantitative and Qualitative Disclosures about Market Risk</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Company’s assessment of market risk as of June 30, 2024, indicates there have been no material changes in the quantitative and qualitative disclosures from those in Part II, Item 7A, “Quantitative and Qualitative Disclosures About Market Risk” in our 2023 Annual Report.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 Controls and Procedures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Evaluation of Disclosure Controls and Procedures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Company’s Chief Executive Officer and Chief Financial Officer have reviewed and evaluated the effectiveness of the Company’s disclosure controls and procedures (as required by Rules 13a-15(b) and 15d-15(b) under the Exchange Act) as of the end of the period covered by this report. Based on that evaluation, the Chief Executive Officer and Chief Financial Officer have concluded that the Company’s disclosure controls and procedures, as of the end of the period covered by this report, were designed and functioning effectively to provide reasonable assurance that the information required to be disclosed in our periodic reports filed under the Exchange Act is recorded, processed, summarized, and reported within the time periods specified in the rules and forms of the Securities and Exchange Commission (“SEC”), and that such material information is accumulated and communicated to the Chief Executive Officer and Chief Financial Officer to allow timely decisions regarding required disclosures. We believe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Changes in Internal Control over Financial Reporting</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periodically review our system of internal control over financial reporting to identify opportunities to improve our controls and increase efficiency, while ensuring that we maintain an effective internal control environment. There have not been any changes in the Company’s internal control over financial reporting (as such term is 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PART II.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 Legal Proceedings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from time to time, party to routine litigation incidental to the normal course of our business. Based upon information presently available to us, we do not consider any litigation to be material. However, given the uncertainties attendant to litigation, we cannot assure you that our results of operations and financial condition will not be materially adversely affected by any litigation.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22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assessment of our risk factors from those set forth in Part I, Item 1A, “Risk Factors” in our 2023 Annual Report.</w:t>
      </w:r>
    </w:p>
    <w:p>
      <w:pPr>
        <w:spacing w:after="0" w:line="200" w:lineRule="exact"/>
        <w:rPr>
          <w:sz w:val="20"/>
          <w:szCs w:val="20"/>
          <w:color w:val="auto"/>
        </w:rPr>
      </w:pPr>
    </w:p>
    <w:p>
      <w:pPr>
        <w:spacing w:after="0" w:line="2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Item 2. -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dollar amounts included in Item 2 herein, except per share data, are in thousands.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not sold any unregistered securities within the past three years.</w:t>
      </w:r>
    </w:p>
    <w:p>
      <w:pPr>
        <w:spacing w:after="0" w:line="22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On January 17, 2017, our registration statement on Form S-1 registering our common stock was declared effective by the SEC. On March 13, 2017, the Company completed the IPO of 10,350,000 shares of common stock at a price of $10.00 per share. The Company received net proceeds of $93,145 from the offering, after deducting underwriting discounts and offering expenses.</w:t>
      </w:r>
    </w:p>
    <w:p>
      <w:pPr>
        <w:spacing w:after="0" w:line="17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also repurchase its own stock. To date, the Company has used the net proceeds from the IPO to fund these share repurchases.</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the planned use of proceeds from our IPO as described in our final prospectus filed with the SEC on January 17, 2017.</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May 9, 2022, our Board of Directors approved an authorization for the repurchase of up to approximately $10,000 of the Company’s outstanding common stock. During the year ended December 31, 2022, we completed the repurchase of 54,223 shares of our common stock for $734 under this authorization. During the year ended December 31, 2023, we repurchased an additional 548,549 shares of our common stock for $7,278, including the effect from applicable excise taxes. During the six months ended June 30, 2024, we did not repurchase any shares of our common stock. At June 30, 2024, $2,052 remains available under this authorization.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repurchase activity during the three months ended June 30, 2024, is presented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Maximum Approximate</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Total Number of</w:t>
            </w:r>
          </w:p>
        </w:tc>
        <w:tc>
          <w:tcPr>
            <w:tcW w:w="19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Dollar Value of Shares</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Shares Purchased</w:t>
            </w:r>
          </w:p>
        </w:tc>
        <w:tc>
          <w:tcPr>
            <w:tcW w:w="120" w:type="dxa"/>
            <w:vAlign w:val="bottom"/>
          </w:tcPr>
          <w:p>
            <w:pPr>
              <w:spacing w:after="0"/>
              <w:rPr>
                <w:sz w:val="18"/>
                <w:szCs w:val="18"/>
                <w:color w:val="auto"/>
              </w:rPr>
            </w:pPr>
          </w:p>
        </w:tc>
        <w:tc>
          <w:tcPr>
            <w:tcW w:w="17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That May Yet Be</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Total Number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Average Price</w:t>
            </w: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as Part of Publicly</w:t>
            </w:r>
          </w:p>
        </w:tc>
        <w:tc>
          <w:tcPr>
            <w:tcW w:w="120" w:type="dxa"/>
            <w:vAlign w:val="bottom"/>
          </w:tcPr>
          <w:p>
            <w:pPr>
              <w:spacing w:after="0"/>
              <w:rPr>
                <w:sz w:val="18"/>
                <w:szCs w:val="18"/>
                <w:color w:val="auto"/>
              </w:rPr>
            </w:pPr>
          </w:p>
        </w:tc>
        <w:tc>
          <w:tcPr>
            <w:tcW w:w="17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Purchased Under the</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Shares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Paid</w:t>
            </w: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Announced Plans</w:t>
            </w:r>
          </w:p>
        </w:tc>
        <w:tc>
          <w:tcPr>
            <w:tcW w:w="19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Plans or Programs (2)</w:t>
            </w:r>
          </w:p>
        </w:tc>
        <w:tc>
          <w:tcPr>
            <w:tcW w:w="0" w:type="dxa"/>
            <w:vAlign w:val="bottom"/>
          </w:tcPr>
          <w:p>
            <w:pPr>
              <w:spacing w:after="0"/>
              <w:rPr>
                <w:sz w:val="1"/>
                <w:szCs w:val="1"/>
                <w:color w:val="auto"/>
              </w:rPr>
            </w:pPr>
          </w:p>
        </w:tc>
      </w:tr>
      <w:tr>
        <w:trPr>
          <w:trHeight w:val="234"/>
        </w:trPr>
        <w:tc>
          <w:tcPr>
            <w:tcW w:w="42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Period in 2024</w:t>
            </w:r>
          </w:p>
        </w:tc>
        <w:tc>
          <w:tcPr>
            <w:tcW w:w="12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Purchased</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Per Share (3)</w:t>
            </w:r>
          </w:p>
        </w:tc>
        <w:tc>
          <w:tcPr>
            <w:tcW w:w="20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or Programs (1)</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1-30, 2024</w:t>
            </w:r>
          </w:p>
        </w:tc>
        <w:tc>
          <w:tcPr>
            <w:tcW w:w="12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1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1-31, 2024</w:t>
            </w: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1-30, 2024</w:t>
            </w:r>
          </w:p>
        </w:tc>
        <w:tc>
          <w:tcPr>
            <w:tcW w:w="154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100" w:type="dxa"/>
            <w:vAlign w:val="bottom"/>
            <w:tcBorders>
              <w:left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4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400" w:type="dxa"/>
            <w:vAlign w:val="bottom"/>
            <w:gridSpan w:val="2"/>
            <w:vMerge w:val="continue"/>
          </w:tcPr>
          <w:p>
            <w:pPr>
              <w:spacing w:after="0"/>
              <w:rPr>
                <w:sz w:val="22"/>
                <w:szCs w:val="22"/>
                <w:color w:val="auto"/>
              </w:rPr>
            </w:pP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right="740" w:hanging="328"/>
        <w:spacing w:after="0" w:line="195" w:lineRule="auto"/>
        <w:tabs>
          <w:tab w:leader="none" w:pos="660" w:val="left"/>
        </w:tabs>
        <w:numPr>
          <w:ilvl w:val="0"/>
          <w:numId w:val="3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Shares purchased pursuant to the May 9, 2022, publicly announced share repurchase authorization of up to approximately $10,000 of the Company’s outstanding common stock.</w:t>
      </w:r>
    </w:p>
    <w:p>
      <w:pPr>
        <w:spacing w:after="0" w:line="1" w:lineRule="exact"/>
        <w:rPr>
          <w:rFonts w:ascii="Times New Roman" w:cs="Times New Roman" w:eastAsia="Times New Roman" w:hAnsi="Times New Roman"/>
          <w:sz w:val="30"/>
          <w:szCs w:val="30"/>
          <w:color w:val="auto"/>
          <w:vertAlign w:val="superscript"/>
        </w:rPr>
      </w:pPr>
    </w:p>
    <w:p>
      <w:pPr>
        <w:ind w:left="660" w:right="360" w:hanging="328"/>
        <w:spacing w:after="0" w:line="187" w:lineRule="auto"/>
        <w:tabs>
          <w:tab w:leader="none" w:pos="660" w:val="left"/>
        </w:tabs>
        <w:numPr>
          <w:ilvl w:val="0"/>
          <w:numId w:val="3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Maximum dollar value of shares that may yet be purchased consist of up to approximately $2,052 under the May 9, 2022, publicly announced share repurchase authorization.</w:t>
      </w:r>
    </w:p>
    <w:p>
      <w:pPr>
        <w:spacing w:after="0" w:line="1" w:lineRule="exact"/>
        <w:rPr>
          <w:rFonts w:ascii="Times New Roman" w:cs="Times New Roman" w:eastAsia="Times New Roman" w:hAnsi="Times New Roman"/>
          <w:sz w:val="30"/>
          <w:szCs w:val="30"/>
          <w:color w:val="auto"/>
          <w:vertAlign w:val="superscript"/>
        </w:rPr>
      </w:pPr>
    </w:p>
    <w:p>
      <w:pPr>
        <w:ind w:left="660" w:right="300" w:hanging="328"/>
        <w:spacing w:after="0" w:line="187" w:lineRule="auto"/>
        <w:tabs>
          <w:tab w:leader="none" w:pos="660" w:val="left"/>
        </w:tabs>
        <w:numPr>
          <w:ilvl w:val="0"/>
          <w:numId w:val="3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Inflation Reduction Act of 2022 imposed a 1% excise tax on the net value of certain share repurchases made after December 31, 2022. All dollar amounts presented exclude such excise taxes, as applicable.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Item 5.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10b5-1 Trading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second quarter of 2024, none of our directors or executive officers (as defined in Rule 16a-1(f) under the Exchange Act)</w:t>
      </w:r>
    </w:p>
    <w:p>
      <w:pPr>
        <w:spacing w:after="0" w:line="27" w:lineRule="exact"/>
        <w:rPr>
          <w:sz w:val="20"/>
          <w:szCs w:val="20"/>
          <w:color w:val="auto"/>
        </w:rPr>
      </w:pPr>
    </w:p>
    <w:p>
      <w:pPr>
        <w:ind w:right="600"/>
        <w:spacing w:after="0" w:line="260" w:lineRule="auto"/>
        <w:rPr>
          <w:sz w:val="20"/>
          <w:szCs w:val="20"/>
          <w:color w:val="auto"/>
        </w:rPr>
      </w:pPr>
      <w:r>
        <w:rPr>
          <w:rFonts w:ascii="Times New Roman" w:cs="Times New Roman" w:eastAsia="Times New Roman" w:hAnsi="Times New Roman"/>
          <w:sz w:val="18"/>
          <w:szCs w:val="18"/>
          <w:color w:val="auto"/>
        </w:rPr>
        <w:t>adopted or terminated any “Rule 10b5-1 trading arrangement” or “non-Rule 10b5-1 trading arrangement” (as each term is defined in Item 408(a) of Regulation S-K).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 Exhibits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640" w:type="dxa"/>
            <w:vAlign w:val="bottom"/>
          </w:tcPr>
          <w:p>
            <w:pPr>
              <w:spacing w:after="0"/>
              <w:rPr>
                <w:sz w:val="18"/>
                <w:szCs w:val="18"/>
                <w:color w:val="auto"/>
              </w:rPr>
            </w:pPr>
          </w:p>
        </w:tc>
        <w:tc>
          <w:tcPr>
            <w:tcW w:w="6240" w:type="dxa"/>
            <w:vAlign w:val="bottom"/>
            <w:gridSpan w:val="4"/>
          </w:tcPr>
          <w:p>
            <w:pPr>
              <w:ind w:left="8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38"/>
        </w:trPr>
        <w:tc>
          <w:tcPr>
            <w:tcW w:w="13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6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169"/>
        </w:trPr>
        <w:tc>
          <w:tcPr>
            <w:tcW w:w="1240" w:type="dxa"/>
            <w:vAlign w:val="bottom"/>
            <w:tcBorders>
              <w:top w:val="single" w:sz="8" w:color="auto"/>
            </w:tcBorders>
          </w:tcPr>
          <w:p>
            <w:pPr>
              <w:ind w:left="260"/>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4"/>
                <w:szCs w:val="14"/>
                <w:color w:val="auto"/>
              </w:rPr>
            </w:pPr>
          </w:p>
        </w:tc>
        <w:tc>
          <w:tcPr>
            <w:tcW w:w="9880" w:type="dxa"/>
            <w:vAlign w:val="bottom"/>
            <w:tcBorders>
              <w:top w:val="single" w:sz="8" w:color="auto"/>
            </w:tcBorders>
            <w:gridSpan w:val="5"/>
          </w:tcPr>
          <w:p>
            <w:pPr>
              <w:spacing w:after="0" w:line="169" w:lineRule="exact"/>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Stock Purchase Agreement, dated May 7, 2024 (1)</w:t>
              </w:r>
            </w:hyperlink>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4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12"/>
        </w:trPr>
        <w:tc>
          <w:tcPr>
            <w:tcW w:w="1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96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Pursuant to Rules 13a-14(a) and 15d-14(a) under the Securities Exchange Act of 1934, as</w:t>
            </w:r>
          </w:p>
        </w:tc>
        <w:tc>
          <w:tcPr>
            <w:tcW w:w="260" w:type="dxa"/>
            <w:vAlign w:val="bottom"/>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302 of the Sarbanes-Oxley Act of 2002.</w:t>
            </w: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80" w:type="dxa"/>
            <w:vAlign w:val="bottom"/>
            <w:gridSpan w:val="2"/>
            <w:shd w:val="clear" w:color="auto" w:fill="0000EE"/>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412"/>
        </w:trPr>
        <w:tc>
          <w:tcPr>
            <w:tcW w:w="1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Rules 13a-14(a) and 15d-14(a) under the Securities Exchange Act of 1934, as</w:t>
            </w: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6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302 of the Sarbanes-Oxley Act of 2002.</w:t>
            </w:r>
          </w:p>
        </w:tc>
        <w:tc>
          <w:tcPr>
            <w:tcW w:w="320" w:type="dxa"/>
            <w:vAlign w:val="bottom"/>
            <w:gridSpan w:val="2"/>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25" w:lineRule="exact"/>
        <w:rPr>
          <w:sz w:val="20"/>
          <w:szCs w:val="20"/>
          <w:color w:val="auto"/>
        </w:rPr>
      </w:pPr>
    </w:p>
    <w:p>
      <w:pPr>
        <w:ind w:left="1360" w:right="180" w:hanging="1109"/>
        <w:spacing w:after="0" w:line="282" w:lineRule="auto"/>
        <w:tabs>
          <w:tab w:leader="none" w:pos="13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Certification of Principal Executive Officer and Principal Financial Officer pursuant to 18 U.S.C. Section 1350, as adopted pursuant to Section 906 of the Sarbanes-Oxley Act of 2002.</w:t>
      </w:r>
    </w:p>
    <w:p>
      <w:pPr>
        <w:spacing w:after="0" w:line="162"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8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XBRL Instance Document – the instance document does not appear in the Interactive Data File because its XBRL tags are embedded</w:t>
            </w:r>
          </w:p>
        </w:tc>
      </w:tr>
      <w:tr>
        <w:trPr>
          <w:trHeight w:val="234"/>
        </w:trPr>
        <w:tc>
          <w:tcPr>
            <w:tcW w:w="880" w:type="dxa"/>
            <w:vAlign w:val="bottom"/>
          </w:tcPr>
          <w:p>
            <w:pPr>
              <w:spacing w:after="0"/>
              <w:rPr>
                <w:sz w:val="20"/>
                <w:szCs w:val="20"/>
                <w:color w:val="auto"/>
              </w:rPr>
            </w:pPr>
          </w:p>
        </w:tc>
        <w:tc>
          <w:tcPr>
            <w:tcW w:w="9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Schema Linkbase Document</w:t>
            </w: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98" w:lineRule="exact"/>
        <w:rPr>
          <w:sz w:val="20"/>
          <w:szCs w:val="20"/>
          <w:color w:val="auto"/>
        </w:rPr>
      </w:pPr>
    </w:p>
    <w:p>
      <w:pPr>
        <w:ind w:left="1360" w:hanging="1109"/>
        <w:spacing w:after="0"/>
        <w:tabs>
          <w:tab w:leader="none" w:pos="13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25" w:lineRule="exact"/>
        <w:rPr>
          <w:rFonts w:ascii="Times New Roman" w:cs="Times New Roman" w:eastAsia="Times New Roman" w:hAnsi="Times New Roman"/>
          <w:sz w:val="18"/>
          <w:szCs w:val="18"/>
          <w:color w:val="auto"/>
        </w:rPr>
      </w:pPr>
    </w:p>
    <w:p>
      <w:pPr>
        <w:ind w:right="6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schedules and exhibits have been omitted pursuant to Item 601(a)(5) of Regulation S-K. A copy of the omitted exhibit or schedule will be furnished supplementally to the SEC or its staff upon request.</w:t>
      </w:r>
    </w:p>
    <w:p>
      <w:pPr>
        <w:spacing w:after="0" w:line="161" w:lineRule="exact"/>
        <w:rPr>
          <w:rFonts w:ascii="Times New Roman" w:cs="Times New Roman" w:eastAsia="Times New Roman" w:hAnsi="Times New Roman"/>
          <w:sz w:val="18"/>
          <w:szCs w:val="18"/>
          <w:color w:val="auto"/>
        </w:rPr>
      </w:pPr>
    </w:p>
    <w:p>
      <w:pPr>
        <w:ind w:left="1300" w:right="380" w:hanging="712"/>
        <w:spacing w:after="0" w:line="282" w:lineRule="auto"/>
        <w:tabs>
          <w:tab w:leader="none" w:pos="1300"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Form 8-K (File No. 001-37973) filed with the SEC on May 8, 2024, and incorporated herein by reference.</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8" w:name="page59"/>
    <w:bookmarkEnd w:id="58"/>
    <w:p>
      <w:pPr>
        <w:ind w:left="5080"/>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August 8, 2024.</w:t>
      </w:r>
    </w:p>
    <w:p>
      <w:pPr>
        <w:spacing w:after="0" w:line="3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NI HOLDINGS, INC.</w:t>
      </w:r>
    </w:p>
    <w:p>
      <w:pPr>
        <w:spacing w:after="0" w:line="200" w:lineRule="exact"/>
        <w:rPr>
          <w:sz w:val="20"/>
          <w:szCs w:val="20"/>
          <w:color w:val="auto"/>
        </w:rPr>
      </w:pPr>
    </w:p>
    <w:p>
      <w:pPr>
        <w:spacing w:after="0" w:line="2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Michael J.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17145</wp:posOffset>
            </wp:positionV>
            <wp:extent cx="705485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Michael J. Alexander</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Seth C. Daggett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17145</wp:posOffset>
            </wp:positionV>
            <wp:extent cx="705485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Seth C. Daggett</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40"/>
          </w:cols>
          <w:pgMar w:left="320" w:top="553" w:right="12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PERIODIC REPORT UNDER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Alexander, certify that:</w:t>
      </w:r>
    </w:p>
    <w:p>
      <w:pPr>
        <w:spacing w:after="0" w:line="225" w:lineRule="exact"/>
        <w:rPr>
          <w:sz w:val="20"/>
          <w:szCs w:val="20"/>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NI Holdings, Inc.;</w:t>
      </w:r>
    </w:p>
    <w:p>
      <w:pPr>
        <w:spacing w:after="0" w:line="225"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1300" w:right="100" w:hanging="644"/>
        <w:spacing w:after="0" w:line="276" w:lineRule="auto"/>
        <w:tabs>
          <w:tab w:leader="none" w:pos="13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206" w:lineRule="exact"/>
        <w:rPr>
          <w:rFonts w:ascii="Times New Roman" w:cs="Times New Roman" w:eastAsia="Times New Roman" w:hAnsi="Times New Roman"/>
          <w:sz w:val="17"/>
          <w:szCs w:val="17"/>
          <w:color w:val="auto"/>
        </w:rPr>
      </w:pPr>
    </w:p>
    <w:p>
      <w:pPr>
        <w:ind w:left="1960" w:right="80" w:hanging="656"/>
        <w:spacing w:after="0" w:line="266" w:lineRule="auto"/>
        <w:tabs>
          <w:tab w:leader="none" w:pos="19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960" w:right="220" w:hanging="656"/>
        <w:spacing w:after="0" w:line="266" w:lineRule="auto"/>
        <w:tabs>
          <w:tab w:leader="none" w:pos="19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960" w:hanging="656"/>
        <w:spacing w:after="0" w:line="266" w:lineRule="auto"/>
        <w:tabs>
          <w:tab w:leader="none" w:pos="19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960" w:right="320" w:hanging="656"/>
        <w:spacing w:after="0" w:line="266" w:lineRule="auto"/>
        <w:tabs>
          <w:tab w:leader="none" w:pos="19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960" w:right="60" w:hanging="656"/>
        <w:spacing w:after="0" w:line="266" w:lineRule="auto"/>
        <w:tabs>
          <w:tab w:leader="none" w:pos="19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960" w:right="80" w:hanging="656"/>
        <w:spacing w:after="0" w:line="282" w:lineRule="auto"/>
        <w:tabs>
          <w:tab w:leader="none" w:pos="19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August 8, 2024</w:t>
            </w:r>
          </w:p>
        </w:tc>
        <w:tc>
          <w:tcPr>
            <w:tcW w:w="1980" w:type="dxa"/>
            <w:vAlign w:val="bottom"/>
          </w:tcPr>
          <w:p>
            <w:pPr>
              <w:spacing w:after="0"/>
              <w:rPr>
                <w:sz w:val="20"/>
                <w:szCs w:val="20"/>
                <w:color w:val="auto"/>
              </w:rPr>
            </w:pPr>
          </w:p>
        </w:tc>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J. Alexander</w:t>
            </w:r>
          </w:p>
        </w:tc>
        <w:tc>
          <w:tcPr>
            <w:tcW w:w="1300" w:type="dxa"/>
            <w:vAlign w:val="bottom"/>
          </w:tcPr>
          <w:p>
            <w:pPr>
              <w:spacing w:after="0"/>
              <w:rPr>
                <w:sz w:val="20"/>
                <w:szCs w:val="20"/>
                <w:color w:val="auto"/>
              </w:rPr>
            </w:pPr>
          </w:p>
        </w:tc>
      </w:tr>
      <w:tr>
        <w:trPr>
          <w:trHeight w:val="191"/>
        </w:trPr>
        <w:tc>
          <w:tcPr>
            <w:tcW w:w="47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J. Alexander</w:t>
            </w:r>
          </w:p>
        </w:tc>
        <w:tc>
          <w:tcPr>
            <w:tcW w:w="1300" w:type="dxa"/>
            <w:vAlign w:val="bottom"/>
          </w:tcPr>
          <w:p>
            <w:pPr>
              <w:spacing w:after="0"/>
              <w:rPr>
                <w:sz w:val="16"/>
                <w:szCs w:val="16"/>
                <w:color w:val="auto"/>
              </w:rPr>
            </w:pPr>
          </w:p>
        </w:tc>
      </w:tr>
      <w:tr>
        <w:trPr>
          <w:trHeight w:val="214"/>
        </w:trPr>
        <w:tc>
          <w:tcPr>
            <w:tcW w:w="47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300" w:type="dxa"/>
            <w:vAlign w:val="bottom"/>
          </w:tcPr>
          <w:p>
            <w:pPr>
              <w:spacing w:after="0"/>
              <w:rPr>
                <w:sz w:val="18"/>
                <w:szCs w:val="18"/>
                <w:color w:val="auto"/>
              </w:rPr>
            </w:pPr>
          </w:p>
        </w:tc>
      </w:tr>
      <w:tr>
        <w:trPr>
          <w:trHeight w:val="236"/>
        </w:trPr>
        <w:tc>
          <w:tcPr>
            <w:tcW w:w="47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c>
          <w:tcPr>
            <w:tcW w:w="1300" w:type="dxa"/>
            <w:vAlign w:val="bottom"/>
          </w:tcPr>
          <w:p>
            <w:pPr>
              <w:spacing w:after="0"/>
              <w:rPr>
                <w:sz w:val="20"/>
                <w:szCs w:val="20"/>
                <w:color w:val="auto"/>
              </w:rPr>
            </w:pPr>
          </w:p>
        </w:tc>
      </w:tr>
      <w:tr>
        <w:trPr>
          <w:trHeight w:val="560"/>
        </w:trPr>
        <w:tc>
          <w:tcPr>
            <w:tcW w:w="47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57</w:t>
            </w:r>
          </w:p>
        </w:tc>
        <w:tc>
          <w:tcPr>
            <w:tcW w:w="3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PERIODIC REPORT UNDER SECTION 302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Seth C. Daggett, certify that:</w:t>
      </w:r>
    </w:p>
    <w:p>
      <w:pPr>
        <w:spacing w:after="0" w:line="225" w:lineRule="exact"/>
        <w:rPr>
          <w:sz w:val="20"/>
          <w:szCs w:val="20"/>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NI Holdings, Inc.;</w:t>
      </w:r>
    </w:p>
    <w:p>
      <w:pPr>
        <w:spacing w:after="0" w:line="225"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1300" w:right="100" w:hanging="644"/>
        <w:spacing w:after="0" w:line="276" w:lineRule="auto"/>
        <w:tabs>
          <w:tab w:leader="none" w:pos="13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206" w:lineRule="exact"/>
        <w:rPr>
          <w:rFonts w:ascii="Times New Roman" w:cs="Times New Roman" w:eastAsia="Times New Roman" w:hAnsi="Times New Roman"/>
          <w:sz w:val="17"/>
          <w:szCs w:val="17"/>
          <w:color w:val="auto"/>
        </w:rPr>
      </w:pPr>
    </w:p>
    <w:p>
      <w:pPr>
        <w:ind w:left="1960" w:right="80" w:hanging="656"/>
        <w:spacing w:after="0" w:line="266" w:lineRule="auto"/>
        <w:tabs>
          <w:tab w:leader="none" w:pos="19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960" w:right="220" w:hanging="656"/>
        <w:spacing w:after="0" w:line="266" w:lineRule="auto"/>
        <w:tabs>
          <w:tab w:leader="none" w:pos="19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960" w:hanging="656"/>
        <w:spacing w:after="0" w:line="266" w:lineRule="auto"/>
        <w:tabs>
          <w:tab w:leader="none" w:pos="19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960" w:right="320" w:hanging="656"/>
        <w:spacing w:after="0" w:line="266" w:lineRule="auto"/>
        <w:tabs>
          <w:tab w:leader="none" w:pos="19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960" w:right="60" w:hanging="656"/>
        <w:spacing w:after="0" w:line="266" w:lineRule="auto"/>
        <w:tabs>
          <w:tab w:leader="none" w:pos="19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960" w:right="80" w:hanging="656"/>
        <w:spacing w:after="0" w:line="282" w:lineRule="auto"/>
        <w:tabs>
          <w:tab w:leader="none" w:pos="19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August 8, 2024</w:t>
            </w:r>
          </w:p>
        </w:tc>
        <w:tc>
          <w:tcPr>
            <w:tcW w:w="1980" w:type="dxa"/>
            <w:vAlign w:val="bottom"/>
          </w:tcPr>
          <w:p>
            <w:pPr>
              <w:spacing w:after="0"/>
              <w:rPr>
                <w:sz w:val="20"/>
                <w:szCs w:val="20"/>
                <w:color w:val="auto"/>
              </w:rPr>
            </w:pPr>
          </w:p>
        </w:tc>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Seth C. Daggett</w:t>
            </w:r>
          </w:p>
        </w:tc>
        <w:tc>
          <w:tcPr>
            <w:tcW w:w="1300" w:type="dxa"/>
            <w:vAlign w:val="bottom"/>
          </w:tcPr>
          <w:p>
            <w:pPr>
              <w:spacing w:after="0"/>
              <w:rPr>
                <w:sz w:val="20"/>
                <w:szCs w:val="20"/>
                <w:color w:val="auto"/>
              </w:rPr>
            </w:pPr>
          </w:p>
        </w:tc>
      </w:tr>
      <w:tr>
        <w:trPr>
          <w:trHeight w:val="191"/>
        </w:trPr>
        <w:tc>
          <w:tcPr>
            <w:tcW w:w="47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Seth C. Daggett</w:t>
            </w:r>
          </w:p>
        </w:tc>
        <w:tc>
          <w:tcPr>
            <w:tcW w:w="1300" w:type="dxa"/>
            <w:vAlign w:val="bottom"/>
          </w:tcPr>
          <w:p>
            <w:pPr>
              <w:spacing w:after="0"/>
              <w:rPr>
                <w:sz w:val="16"/>
                <w:szCs w:val="16"/>
                <w:color w:val="auto"/>
              </w:rPr>
            </w:pPr>
          </w:p>
        </w:tc>
      </w:tr>
      <w:tr>
        <w:trPr>
          <w:trHeight w:val="214"/>
        </w:trPr>
        <w:tc>
          <w:tcPr>
            <w:tcW w:w="47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300" w:type="dxa"/>
            <w:vAlign w:val="bottom"/>
          </w:tcPr>
          <w:p>
            <w:pPr>
              <w:spacing w:after="0"/>
              <w:rPr>
                <w:sz w:val="18"/>
                <w:szCs w:val="18"/>
                <w:color w:val="auto"/>
              </w:rPr>
            </w:pPr>
          </w:p>
        </w:tc>
      </w:tr>
      <w:tr>
        <w:trPr>
          <w:trHeight w:val="236"/>
        </w:trPr>
        <w:tc>
          <w:tcPr>
            <w:tcW w:w="47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c>
          <w:tcPr>
            <w:tcW w:w="1300" w:type="dxa"/>
            <w:vAlign w:val="bottom"/>
          </w:tcPr>
          <w:p>
            <w:pPr>
              <w:spacing w:after="0"/>
              <w:rPr>
                <w:sz w:val="20"/>
                <w:szCs w:val="20"/>
                <w:color w:val="auto"/>
              </w:rPr>
            </w:pPr>
          </w:p>
        </w:tc>
      </w:tr>
      <w:tr>
        <w:trPr>
          <w:trHeight w:val="560"/>
        </w:trPr>
        <w:tc>
          <w:tcPr>
            <w:tcW w:w="47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58</w:t>
            </w:r>
          </w:p>
        </w:tc>
        <w:tc>
          <w:tcPr>
            <w:tcW w:w="3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NI Holdings, Inc. (the “Company”) on Form 10-Q for the period ended June 30, 2024, as filed with the Securities and Exchange Commission on the date hereof (the “Report”), we, Michael J. Alexander, President and Chief Executive Officer, and Seth C. Daggett, Chief Financial Officer, of the Company, certify, pursuant to 18 U.S.C. Section 1350, as adopted pursuant to Section 906 of the Sarbanes-Oxley Act of 2002, that, to our knowledge:</w:t>
      </w:r>
    </w:p>
    <w:p>
      <w:pPr>
        <w:spacing w:after="0" w:line="180" w:lineRule="exact"/>
        <w:rPr>
          <w:sz w:val="20"/>
          <w:szCs w:val="20"/>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280" w:hanging="644"/>
        <w:spacing w:after="0" w:line="282" w:lineRule="auto"/>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August 8, 2024</w:t>
            </w:r>
          </w:p>
        </w:tc>
        <w:tc>
          <w:tcPr>
            <w:tcW w:w="1980" w:type="dxa"/>
            <w:vAlign w:val="bottom"/>
          </w:tcPr>
          <w:p>
            <w:pPr>
              <w:spacing w:after="0"/>
              <w:rPr>
                <w:sz w:val="20"/>
                <w:szCs w:val="20"/>
                <w:color w:val="auto"/>
              </w:rPr>
            </w:pPr>
          </w:p>
        </w:tc>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J. Alexander</w:t>
            </w:r>
          </w:p>
        </w:tc>
        <w:tc>
          <w:tcPr>
            <w:tcW w:w="1300" w:type="dxa"/>
            <w:vAlign w:val="bottom"/>
          </w:tcPr>
          <w:p>
            <w:pPr>
              <w:spacing w:after="0"/>
              <w:rPr>
                <w:sz w:val="20"/>
                <w:szCs w:val="20"/>
                <w:color w:val="auto"/>
              </w:rPr>
            </w:pPr>
          </w:p>
        </w:tc>
      </w:tr>
      <w:tr>
        <w:trPr>
          <w:trHeight w:val="191"/>
        </w:trPr>
        <w:tc>
          <w:tcPr>
            <w:tcW w:w="47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J. Alexander</w:t>
            </w:r>
          </w:p>
        </w:tc>
        <w:tc>
          <w:tcPr>
            <w:tcW w:w="1300" w:type="dxa"/>
            <w:vAlign w:val="bottom"/>
          </w:tcPr>
          <w:p>
            <w:pPr>
              <w:spacing w:after="0"/>
              <w:rPr>
                <w:sz w:val="16"/>
                <w:szCs w:val="16"/>
                <w:color w:val="auto"/>
              </w:rPr>
            </w:pPr>
          </w:p>
        </w:tc>
      </w:tr>
      <w:tr>
        <w:trPr>
          <w:trHeight w:val="214"/>
        </w:trPr>
        <w:tc>
          <w:tcPr>
            <w:tcW w:w="47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300" w:type="dxa"/>
            <w:vAlign w:val="bottom"/>
          </w:tcPr>
          <w:p>
            <w:pPr>
              <w:spacing w:after="0"/>
              <w:rPr>
                <w:sz w:val="18"/>
                <w:szCs w:val="18"/>
                <w:color w:val="auto"/>
              </w:rPr>
            </w:pPr>
          </w:p>
        </w:tc>
      </w:tr>
      <w:tr>
        <w:trPr>
          <w:trHeight w:val="236"/>
        </w:trPr>
        <w:tc>
          <w:tcPr>
            <w:tcW w:w="47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c>
          <w:tcPr>
            <w:tcW w:w="1300" w:type="dxa"/>
            <w:vAlign w:val="bottom"/>
          </w:tcPr>
          <w:p>
            <w:pPr>
              <w:spacing w:after="0"/>
              <w:rPr>
                <w:sz w:val="20"/>
                <w:szCs w:val="20"/>
                <w:color w:val="auto"/>
              </w:rPr>
            </w:pPr>
          </w:p>
        </w:tc>
      </w:tr>
      <w:tr>
        <w:trPr>
          <w:trHeight w:val="648"/>
        </w:trPr>
        <w:tc>
          <w:tcPr>
            <w:tcW w:w="472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August 8, 2024</w:t>
            </w:r>
          </w:p>
        </w:tc>
        <w:tc>
          <w:tcPr>
            <w:tcW w:w="1980" w:type="dxa"/>
            <w:vAlign w:val="bottom"/>
          </w:tcPr>
          <w:p>
            <w:pPr>
              <w:spacing w:after="0"/>
              <w:rPr>
                <w:sz w:val="24"/>
                <w:szCs w:val="24"/>
                <w:color w:val="auto"/>
              </w:rPr>
            </w:pPr>
          </w:p>
        </w:tc>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Seth C. Daggett</w:t>
            </w:r>
          </w:p>
        </w:tc>
        <w:tc>
          <w:tcPr>
            <w:tcW w:w="1300" w:type="dxa"/>
            <w:vAlign w:val="bottom"/>
          </w:tcPr>
          <w:p>
            <w:pPr>
              <w:spacing w:after="0"/>
              <w:rPr>
                <w:sz w:val="24"/>
                <w:szCs w:val="24"/>
                <w:color w:val="auto"/>
              </w:rPr>
            </w:pPr>
          </w:p>
        </w:tc>
      </w:tr>
      <w:tr>
        <w:trPr>
          <w:trHeight w:val="191"/>
        </w:trPr>
        <w:tc>
          <w:tcPr>
            <w:tcW w:w="47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Seth C. Daggett</w:t>
            </w:r>
          </w:p>
        </w:tc>
        <w:tc>
          <w:tcPr>
            <w:tcW w:w="1300" w:type="dxa"/>
            <w:vAlign w:val="bottom"/>
          </w:tcPr>
          <w:p>
            <w:pPr>
              <w:spacing w:after="0"/>
              <w:rPr>
                <w:sz w:val="16"/>
                <w:szCs w:val="16"/>
                <w:color w:val="auto"/>
              </w:rPr>
            </w:pPr>
          </w:p>
        </w:tc>
      </w:tr>
      <w:tr>
        <w:trPr>
          <w:trHeight w:val="214"/>
        </w:trPr>
        <w:tc>
          <w:tcPr>
            <w:tcW w:w="47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300" w:type="dxa"/>
            <w:vAlign w:val="bottom"/>
          </w:tcPr>
          <w:p>
            <w:pPr>
              <w:spacing w:after="0"/>
              <w:rPr>
                <w:sz w:val="18"/>
                <w:szCs w:val="18"/>
                <w:color w:val="auto"/>
              </w:rPr>
            </w:pPr>
          </w:p>
        </w:tc>
      </w:tr>
      <w:tr>
        <w:trPr>
          <w:trHeight w:val="236"/>
        </w:trPr>
        <w:tc>
          <w:tcPr>
            <w:tcW w:w="47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c>
          <w:tcPr>
            <w:tcW w:w="1300" w:type="dxa"/>
            <w:vAlign w:val="bottom"/>
          </w:tcPr>
          <w:p>
            <w:pPr>
              <w:spacing w:after="0"/>
              <w:rPr>
                <w:sz w:val="20"/>
                <w:szCs w:val="20"/>
                <w:color w:val="auto"/>
              </w:rPr>
            </w:pPr>
          </w:p>
        </w:tc>
      </w:tr>
      <w:tr>
        <w:trPr>
          <w:trHeight w:val="777"/>
        </w:trPr>
        <w:tc>
          <w:tcPr>
            <w:tcW w:w="47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59</w:t>
            </w:r>
          </w:p>
        </w:tc>
        <w:tc>
          <w:tcPr>
            <w:tcW w:w="3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1."/>
      <w:numFmt w:val="decimal"/>
      <w:start w:val="1"/>
    </w:lvl>
  </w:abstractNum>
  <w:abstractNum w:abstractNumId="6">
    <w:nsid w:val="8EDBDAB"/>
    <w:multiLevelType w:val="hybridMultilevel"/>
    <w:lvl w:ilvl="0">
      <w:lvlJc w:val="left"/>
      <w:lvlText w:val="%1."/>
      <w:numFmt w:val="decimal"/>
      <w:start w:val="2"/>
    </w:lvl>
  </w:abstractNum>
  <w:abstractNum w:abstractNumId="7">
    <w:nsid w:val="79838CB2"/>
    <w:multiLevelType w:val="hybridMultilevel"/>
    <w:lvl w:ilvl="0">
      <w:lvlJc w:val="left"/>
      <w:lvlText w:val="%1."/>
      <w:numFmt w:val="decimal"/>
      <w:start w:val="3"/>
    </w:lvl>
  </w:abstractNum>
  <w:abstractNum w:abstractNumId="8">
    <w:nsid w:val="4353D0CD"/>
    <w:multiLevelType w:val="hybridMultilevel"/>
    <w:lvl w:ilvl="0">
      <w:lvlJc w:val="left"/>
      <w:lvlText w:val="%1."/>
      <w:numFmt w:val="decimal"/>
      <w:start w:val="4"/>
    </w:lvl>
  </w:abstractNum>
  <w:abstractNum w:abstractNumId="9">
    <w:nsid w:val="B03E0C6"/>
    <w:multiLevelType w:val="hybridMultilevel"/>
    <w:lvl w:ilvl="0">
      <w:lvlJc w:val="left"/>
      <w:lvlText w:val="%1."/>
      <w:numFmt w:val="decimal"/>
      <w:start w:val="5"/>
    </w:lvl>
  </w:abstractNum>
  <w:abstractNum w:abstractNumId="10">
    <w:nsid w:val="189A769B"/>
    <w:multiLevelType w:val="hybridMultilevel"/>
    <w:lvl w:ilvl="0">
      <w:lvlJc w:val="left"/>
      <w:lvlText w:val="%1."/>
      <w:numFmt w:val="decimal"/>
      <w:start w:val="6"/>
    </w:lvl>
  </w:abstractNum>
  <w:abstractNum w:abstractNumId="11">
    <w:nsid w:val="54E49EB4"/>
    <w:multiLevelType w:val="hybridMultilevel"/>
    <w:lvl w:ilvl="0">
      <w:lvlJc w:val="left"/>
      <w:lvlText w:val="%1."/>
      <w:numFmt w:val="decimal"/>
      <w:start w:val="7"/>
    </w:lvl>
  </w:abstractNum>
  <w:abstractNum w:abstractNumId="12">
    <w:nsid w:val="71F32454"/>
    <w:multiLevelType w:val="hybridMultilevel"/>
    <w:lvl w:ilvl="0">
      <w:lvlJc w:val="left"/>
      <w:lvlText w:val="%1."/>
      <w:numFmt w:val="decimal"/>
      <w:start w:val="8"/>
    </w:lvl>
  </w:abstractNum>
  <w:abstractNum w:abstractNumId="13">
    <w:nsid w:val="2CA88611"/>
    <w:multiLevelType w:val="hybridMultilevel"/>
    <w:lvl w:ilvl="0">
      <w:lvlJc w:val="left"/>
      <w:lvlText w:val="%1."/>
      <w:numFmt w:val="decimal"/>
      <w:start w:val="9"/>
    </w:lvl>
  </w:abstractNum>
  <w:abstractNum w:abstractNumId="14">
    <w:nsid w:val="836C40E"/>
    <w:multiLevelType w:val="hybridMultilevel"/>
    <w:lvl w:ilvl="0">
      <w:lvlJc w:val="left"/>
      <w:lvlText w:val="%1."/>
      <w:numFmt w:val="decimal"/>
      <w:start w:val="10"/>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1)"/>
      <w:numFmt w:val="decimal"/>
      <w:start w:val="1"/>
    </w:lvl>
  </w:abstractNum>
  <w:abstractNum w:abstractNumId="18">
    <w:nsid w:val="1E7FF521"/>
    <w:multiLevelType w:val="hybridMultilevel"/>
    <w:lvl w:ilvl="0">
      <w:lvlJc w:val="left"/>
      <w:lvlText w:val="%1."/>
      <w:numFmt w:val="decimal"/>
      <w:start w:val="11"/>
    </w:lvl>
  </w:abstractNum>
  <w:abstractNum w:abstractNumId="19">
    <w:nsid w:val="7C3DBD3D"/>
    <w:multiLevelType w:val="hybridMultilevel"/>
    <w:lvl w:ilvl="0">
      <w:lvlJc w:val="left"/>
      <w:lvlText w:val="%1."/>
      <w:numFmt w:val="decimal"/>
      <w:start w:val="12"/>
    </w:lvl>
  </w:abstractNum>
  <w:abstractNum w:abstractNumId="20">
    <w:nsid w:val="737B8DDC"/>
    <w:multiLevelType w:val="hybridMultilevel"/>
    <w:lvl w:ilvl="0">
      <w:lvlJc w:val="left"/>
      <w:lvlText w:val="%1."/>
      <w:numFmt w:val="decimal"/>
      <w:start w:val="13"/>
    </w:lvl>
  </w:abstractNum>
  <w:abstractNum w:abstractNumId="21">
    <w:nsid w:val="6CEAF087"/>
    <w:multiLevelType w:val="hybridMultilevel"/>
    <w:lvl w:ilvl="0">
      <w:lvlJc w:val="left"/>
      <w:lvlText w:val="%1."/>
      <w:numFmt w:val="decimal"/>
      <w:start w:val="14"/>
    </w:lvl>
  </w:abstractNum>
  <w:abstractNum w:abstractNumId="22">
    <w:nsid w:val="22221A70"/>
    <w:multiLevelType w:val="hybridMultilevel"/>
    <w:lvl w:ilvl="0">
      <w:lvlJc w:val="left"/>
      <w:lvlText w:val="%1."/>
      <w:numFmt w:val="decimal"/>
      <w:start w:val="15"/>
    </w:lvl>
  </w:abstractNum>
  <w:abstractNum w:abstractNumId="23">
    <w:nsid w:val="4516DDE9"/>
    <w:multiLevelType w:val="hybridMultilevel"/>
    <w:lvl w:ilvl="0">
      <w:lvlJc w:val="left"/>
      <w:lvlText w:val="%1."/>
      <w:numFmt w:val="decimal"/>
      <w:start w:val="16"/>
    </w:lvl>
  </w:abstractNum>
  <w:abstractNum w:abstractNumId="24">
    <w:nsid w:val="3006C83E"/>
    <w:multiLevelType w:val="hybridMultilevel"/>
    <w:lvl w:ilvl="0">
      <w:lvlJc w:val="left"/>
      <w:lvlText w:val="\emdash "/>
      <w:numFmt w:val="bullet"/>
      <w:start w:val="1"/>
    </w:lvl>
  </w:abstractNum>
  <w:abstractNum w:abstractNumId="25">
    <w:nsid w:val="614FD4A1"/>
    <w:multiLevelType w:val="hybridMultilevel"/>
    <w:lvl w:ilvl="0">
      <w:lvlJc w:val="left"/>
      <w:lvlText w:val="%1."/>
      <w:numFmt w:val="decimal"/>
      <w:start w:val="17"/>
    </w:lvl>
  </w:abstractNum>
  <w:abstractNum w:abstractNumId="26">
    <w:nsid w:val="419AC241"/>
    <w:multiLevelType w:val="hybridMultilevel"/>
    <w:lvl w:ilvl="0">
      <w:lvlJc w:val="left"/>
      <w:lvlText w:val="(%1)"/>
      <w:numFmt w:val="decimal"/>
      <w:start w:val="1"/>
    </w:lvl>
  </w:abstractNum>
  <w:abstractNum w:abstractNumId="27">
    <w:nsid w:val="5577F8E1"/>
    <w:multiLevelType w:val="hybridMultilevel"/>
    <w:lvl w:ilvl="0">
      <w:lvlJc w:val="left"/>
      <w:lvlText w:val="%1."/>
      <w:numFmt w:val="decimal"/>
      <w:start w:val="18"/>
    </w:lvl>
  </w:abstractNum>
  <w:abstractNum w:abstractNumId="28">
    <w:nsid w:val="440BADFC"/>
    <w:multiLevelType w:val="hybridMultilevel"/>
    <w:lvl w:ilvl="0">
      <w:lvlJc w:val="left"/>
      <w:lvlText w:val="%1."/>
      <w:numFmt w:val="decimal"/>
      <w:start w:val="19"/>
    </w:lvl>
  </w:abstractNum>
  <w:abstractNum w:abstractNumId="29">
    <w:nsid w:val="5072367"/>
    <w:multiLevelType w:val="hybridMultilevel"/>
    <w:lvl w:ilvl="0">
      <w:lvlJc w:val="left"/>
      <w:lvlText w:val="%1."/>
      <w:numFmt w:val="decimal"/>
      <w:start w:val="20"/>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1)"/>
      <w:numFmt w:val="decimal"/>
      <w:start w:val="1"/>
    </w:lvl>
  </w:abstractNum>
  <w:abstractNum w:abstractNumId="37">
    <w:nsid w:val="2D517796"/>
    <w:multiLevelType w:val="hybridMultilevel"/>
    <w:lvl w:ilvl="0">
      <w:lvlJc w:val="left"/>
      <w:lvlText w:val="%1"/>
      <w:numFmt w:val="decimal"/>
      <w:start w:val="32"/>
    </w:lvl>
  </w:abstractNum>
  <w:abstractNum w:abstractNumId="38">
    <w:nsid w:val="580BD78F"/>
    <w:multiLevelType w:val="hybridMultilevel"/>
    <w:lvl w:ilvl="0">
      <w:lvlJc w:val="left"/>
      <w:lvlText w:val="*"/>
      <w:numFmt w:val="bullet"/>
      <w:start w:val="1"/>
    </w:lvl>
    <w:lvl w:ilvl="1">
      <w:lvlJc w:val="left"/>
      <w:lvlText w:val="%2"/>
      <w:numFmt w:val="decimal"/>
      <w:start w:val="104"/>
    </w:lvl>
    <w:lvl w:ilvl="2">
      <w:lvlJc w:val="left"/>
      <w:lvlText w:val="(%3)"/>
      <w:numFmt w:val="decimal"/>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1" Type="http://schemas.openxmlformats.org/officeDocument/2006/relationships/hyperlink" Target="http://www.sec.gov/Archives/edgar/data/1681206/000117494724000694/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2024-08-08T15:37:57Z</dcterms:created>
  <dcterms:modified xsi:type="dcterms:W3CDTF">2024-08-08T15:37:57Z</dcterms:modified>
</cp:coreProperties>
</file>