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19, 2026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NI Holdings,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30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9"/>
              </w:rPr>
              <w:t>North Dakota</w:t>
            </w:r>
          </w:p>
        </w:tc>
        <w:tc>
          <w:tcPr>
            <w:tcW w:w="3100" w:type="dxa"/>
            <w:vAlign w:val="bottom"/>
            <w:gridSpan w:val="8"/>
          </w:tcPr>
          <w:p>
            <w:pPr>
              <w:jc w:val="center"/>
              <w:ind w:left="1910"/>
              <w:spacing w:after="0"/>
              <w:rPr>
                <w:sz w:val="20"/>
                <w:szCs w:val="20"/>
                <w:color w:val="auto"/>
              </w:rPr>
            </w:pPr>
            <w:r>
              <w:rPr>
                <w:rFonts w:ascii="Times New Roman" w:cs="Times New Roman" w:eastAsia="Times New Roman" w:hAnsi="Times New Roman"/>
                <w:sz w:val="18"/>
                <w:szCs w:val="18"/>
                <w:color w:val="auto"/>
                <w:w w:val="99"/>
              </w:rPr>
              <w:t>001-37973</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92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81-2683619</w:t>
            </w:r>
          </w:p>
        </w:tc>
      </w:tr>
      <w:tr>
        <w:trPr>
          <w:trHeight w:val="198"/>
        </w:trPr>
        <w:tc>
          <w:tcPr>
            <w:tcW w:w="3080" w:type="dxa"/>
            <w:vAlign w:val="bottom"/>
            <w:tcBorders>
              <w:top w:val="single" w:sz="8" w:color="auto"/>
            </w:tcBorders>
          </w:tcPr>
          <w:p>
            <w:pPr>
              <w:jc w:val="center"/>
              <w:ind w:left="450"/>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5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gridSpan w:val="9"/>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920" w:type="dxa"/>
            <w:vAlign w:val="bottom"/>
            <w:tcBorders>
              <w:top w:val="single" w:sz="8" w:color="auto"/>
            </w:tcBorders>
          </w:tcPr>
          <w:p>
            <w:pPr>
              <w:ind w:left="48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0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92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92"/>
        </w:trPr>
        <w:tc>
          <w:tcPr>
            <w:tcW w:w="3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8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8"/>
                <w:szCs w:val="18"/>
                <w:color w:val="auto"/>
                <w:w w:val="98"/>
              </w:rPr>
              <w:t>1101 First Avenue North</w:t>
            </w:r>
          </w:p>
        </w:tc>
        <w:tc>
          <w:tcPr>
            <w:tcW w:w="1800" w:type="dxa"/>
            <w:vAlign w:val="bottom"/>
            <w:gridSpan w:val="3"/>
          </w:tcPr>
          <w:p>
            <w:pPr>
              <w:spacing w:after="0"/>
              <w:rPr>
                <w:sz w:val="24"/>
                <w:szCs w:val="24"/>
                <w:color w:val="auto"/>
              </w:rPr>
            </w:pPr>
          </w:p>
        </w:tc>
        <w:tc>
          <w:tcPr>
            <w:tcW w:w="2920" w:type="dxa"/>
            <w:vAlign w:val="bottom"/>
          </w:tcPr>
          <w:p>
            <w:pPr>
              <w:spacing w:after="0"/>
              <w:rPr>
                <w:sz w:val="24"/>
                <w:szCs w:val="24"/>
                <w:color w:val="auto"/>
              </w:rPr>
            </w:pPr>
          </w:p>
        </w:tc>
      </w:tr>
      <w:tr>
        <w:trPr>
          <w:trHeight w:val="196"/>
        </w:trPr>
        <w:tc>
          <w:tcPr>
            <w:tcW w:w="30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40" w:type="dxa"/>
            <w:vAlign w:val="bottom"/>
            <w:gridSpan w:val="9"/>
          </w:tcPr>
          <w:p>
            <w:pPr>
              <w:jc w:val="center"/>
              <w:ind w:right="1960"/>
              <w:spacing w:after="0" w:line="196" w:lineRule="exact"/>
              <w:rPr>
                <w:sz w:val="20"/>
                <w:szCs w:val="20"/>
                <w:color w:val="auto"/>
              </w:rPr>
            </w:pPr>
            <w:r>
              <w:rPr>
                <w:rFonts w:ascii="Times New Roman" w:cs="Times New Roman" w:eastAsia="Times New Roman" w:hAnsi="Times New Roman"/>
                <w:sz w:val="18"/>
                <w:szCs w:val="18"/>
                <w:color w:val="auto"/>
                <w:w w:val="98"/>
              </w:rPr>
              <w:t>Fargo, North Dakota</w:t>
            </w:r>
          </w:p>
        </w:tc>
        <w:tc>
          <w:tcPr>
            <w:tcW w:w="2920" w:type="dxa"/>
            <w:vAlign w:val="bottom"/>
          </w:tcPr>
          <w:p>
            <w:pPr>
              <w:spacing w:after="0"/>
              <w:rPr>
                <w:sz w:val="17"/>
                <w:szCs w:val="17"/>
                <w:color w:val="auto"/>
              </w:rPr>
            </w:pPr>
          </w:p>
        </w:tc>
      </w:tr>
      <w:tr>
        <w:trPr>
          <w:trHeight w:val="20"/>
        </w:trPr>
        <w:tc>
          <w:tcPr>
            <w:tcW w:w="3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237"/>
        </w:trPr>
        <w:tc>
          <w:tcPr>
            <w:tcW w:w="3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80" w:type="dxa"/>
            <w:vAlign w:val="bottom"/>
            <w:gridSpan w:val="11"/>
          </w:tcPr>
          <w:p>
            <w:pPr>
              <w:jc w:val="center"/>
              <w:ind w:right="90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920" w:type="dxa"/>
            <w:vAlign w:val="bottom"/>
          </w:tcPr>
          <w:p>
            <w:pPr>
              <w:spacing w:after="0"/>
              <w:rPr>
                <w:sz w:val="20"/>
                <w:szCs w:val="20"/>
                <w:color w:val="auto"/>
              </w:rPr>
            </w:pPr>
          </w:p>
        </w:tc>
      </w:tr>
      <w:tr>
        <w:trPr>
          <w:trHeight w:val="391"/>
        </w:trPr>
        <w:tc>
          <w:tcPr>
            <w:tcW w:w="3080" w:type="dxa"/>
            <w:vAlign w:val="bottom"/>
          </w:tcPr>
          <w:p>
            <w:pPr>
              <w:spacing w:after="0"/>
              <w:rPr>
                <w:sz w:val="24"/>
                <w:szCs w:val="24"/>
                <w:color w:val="auto"/>
              </w:rPr>
            </w:pPr>
          </w:p>
        </w:tc>
        <w:tc>
          <w:tcPr>
            <w:tcW w:w="276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58102</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20"/>
        </w:trPr>
        <w:tc>
          <w:tcPr>
            <w:tcW w:w="3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40" w:type="dxa"/>
            <w:vAlign w:val="bottom"/>
            <w:gridSpan w:val="5"/>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237"/>
        </w:trPr>
        <w:tc>
          <w:tcPr>
            <w:tcW w:w="3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60" w:type="dxa"/>
            <w:vAlign w:val="bottom"/>
            <w:gridSpan w:val="8"/>
          </w:tcPr>
          <w:p>
            <w:pPr>
              <w:jc w:val="center"/>
              <w:ind w:right="2140"/>
              <w:spacing w:after="0"/>
              <w:rPr>
                <w:sz w:val="20"/>
                <w:szCs w:val="20"/>
                <w:color w:val="auto"/>
              </w:rPr>
            </w:pPr>
            <w:r>
              <w:rPr>
                <w:rFonts w:ascii="Times New Roman" w:cs="Times New Roman" w:eastAsia="Times New Roman" w:hAnsi="Times New Roman"/>
                <w:sz w:val="18"/>
                <w:szCs w:val="18"/>
                <w:color w:val="auto"/>
              </w:rPr>
              <w:t>(Zip code)</w:t>
            </w:r>
          </w:p>
        </w:tc>
        <w:tc>
          <w:tcPr>
            <w:tcW w:w="2920" w:type="dxa"/>
            <w:vAlign w:val="bottom"/>
          </w:tcPr>
          <w:p>
            <w:pPr>
              <w:spacing w:after="0"/>
              <w:rPr>
                <w:sz w:val="20"/>
                <w:szCs w:val="20"/>
                <w:color w:val="auto"/>
              </w:rPr>
            </w:pPr>
          </w:p>
        </w:tc>
      </w:tr>
      <w:tr>
        <w:trPr>
          <w:trHeight w:val="391"/>
        </w:trPr>
        <w:tc>
          <w:tcPr>
            <w:tcW w:w="3080" w:type="dxa"/>
            <w:vAlign w:val="bottom"/>
          </w:tcPr>
          <w:p>
            <w:pPr>
              <w:spacing w:after="0"/>
              <w:rPr>
                <w:sz w:val="24"/>
                <w:szCs w:val="24"/>
                <w:color w:val="auto"/>
              </w:rPr>
            </w:pPr>
          </w:p>
        </w:tc>
        <w:tc>
          <w:tcPr>
            <w:tcW w:w="1980" w:type="dxa"/>
            <w:vAlign w:val="bottom"/>
            <w:gridSpan w:val="5"/>
          </w:tcPr>
          <w:p>
            <w:pPr>
              <w:spacing w:after="0"/>
              <w:rPr>
                <w:sz w:val="24"/>
                <w:szCs w:val="24"/>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7"/>
              </w:rPr>
              <w:t>(701) 298-4200</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237"/>
        </w:trPr>
        <w:tc>
          <w:tcPr>
            <w:tcW w:w="3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700" w:type="dxa"/>
            <w:vAlign w:val="bottom"/>
            <w:gridSpan w:val="12"/>
          </w:tcPr>
          <w:p>
            <w:pPr>
              <w:jc w:val="center"/>
              <w:ind w:right="70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920" w:type="dxa"/>
            <w:vAlign w:val="bottom"/>
          </w:tcPr>
          <w:p>
            <w:pPr>
              <w:spacing w:after="0"/>
              <w:rPr>
                <w:sz w:val="20"/>
                <w:szCs w:val="20"/>
                <w:color w:val="auto"/>
              </w:rPr>
            </w:pPr>
          </w:p>
        </w:tc>
      </w:tr>
      <w:tr>
        <w:trPr>
          <w:trHeight w:val="391"/>
        </w:trPr>
        <w:tc>
          <w:tcPr>
            <w:tcW w:w="3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2480" w:type="dxa"/>
            <w:vAlign w:val="bottom"/>
            <w:gridSpan w:val="6"/>
          </w:tcPr>
          <w:p>
            <w:pPr>
              <w:spacing w:after="0"/>
              <w:rPr>
                <w:sz w:val="24"/>
                <w:szCs w:val="24"/>
                <w:color w:val="auto"/>
              </w:rPr>
            </w:pPr>
          </w:p>
        </w:tc>
        <w:tc>
          <w:tcPr>
            <w:tcW w:w="2920" w:type="dxa"/>
            <w:vAlign w:val="bottom"/>
          </w:tcPr>
          <w:p>
            <w:pPr>
              <w:spacing w:after="0"/>
              <w:rPr>
                <w:sz w:val="24"/>
                <w:szCs w:val="24"/>
                <w:color w:val="auto"/>
              </w:rPr>
            </w:pPr>
          </w:p>
        </w:tc>
      </w:tr>
      <w:tr>
        <w:trPr>
          <w:trHeight w:val="237"/>
        </w:trPr>
        <w:tc>
          <w:tcPr>
            <w:tcW w:w="3080" w:type="dxa"/>
            <w:vAlign w:val="bottom"/>
          </w:tcPr>
          <w:p>
            <w:pPr>
              <w:spacing w:after="0"/>
              <w:rPr>
                <w:sz w:val="20"/>
                <w:szCs w:val="20"/>
                <w:color w:val="auto"/>
              </w:rPr>
            </w:pPr>
          </w:p>
        </w:tc>
        <w:tc>
          <w:tcPr>
            <w:tcW w:w="5240" w:type="dxa"/>
            <w:vAlign w:val="bottom"/>
            <w:gridSpan w:val="13"/>
          </w:tcPr>
          <w:p>
            <w:pPr>
              <w:jc w:val="center"/>
              <w:ind w:right="16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tc>
        <w:tc>
          <w:tcPr>
            <w:tcW w:w="2920" w:type="dxa"/>
            <w:vAlign w:val="bottom"/>
          </w:tcPr>
          <w:p>
            <w:pPr>
              <w:spacing w:after="0"/>
              <w:rPr>
                <w:sz w:val="20"/>
                <w:szCs w:val="20"/>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500" w:right="2480" w:hanging="2492"/>
        <w:spacing w:after="0" w:line="500" w:lineRule="auto"/>
        <w:tabs>
          <w:tab w:leader="none" w:pos="3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Securities Exchange Act of 1934:</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8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NODK</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 w:name="page2"/>
    <w:bookmarkEnd w:id="1"/>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Appointment of Non-employee Directors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18, 2026, the Board of Directors (the “Board”) of NI Holdings, Inc. (the “Company”), increased the size of the Board to eight directors and nominated Dana J. Kaldor and Callie J. Thomas to serve as directors subject to stockholder approval at the Company’s 2026 Annual Meeting of Shareholders held on May 19, 2026 (the “Annual Meeting”), to serve until the 2027 Annual Meeting of Shareholders, or until their earlier death, disqualification, resignation, or removal. The Board has determined that Mr. Kaldor and Ms. Thomas are independent directors under the listing standards of the Nasdaq Capital Market. Mr. Kaldor will serve as a member of the Board’s Audit Committee and Nominating and Corporate Governance Committee. Ms. Thomas will serve as a member of the Board’s Audit Committee and Compensation Committee.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family relationships between Mr. Kaldor or Ms. Thomas and any director or executive officer of the Company, and Mr. Kaldor and Ms.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Thomas do not have a direct or indirect material interest in any transaction required to be disclosed pursuant to Item 404(a) of Regulation S-K.</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Kaldor and Ms. Thomas are eligible to receive the standard compensation received by non-employee directors, which compensation was last described in the Company’s Definitive Proxy Statement filed with the Securities and Exchange Commission (the “SEC”) on April 8, 2026, and is incorporated herein by reference. On May 20, 2026, Mr. Kaldor and Ms. Thomas were each granted 5,015 restricted stock units in connection with the standard compensation program for non-employee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19, 2026, the Company held its Annual Meeting. There were 19,263,812 shares of common stock represented at the Annual Meeting. The shareholders voted as follows on the following matters at the Annual Meeting as to each proposal, including the number of broker non-votes and including a separate tabulation with respect to each nominee for director: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Proposal 1: Election of Directors. </w:t>
      </w:r>
      <w:r>
        <w:rPr>
          <w:rFonts w:ascii="Times New Roman" w:cs="Times New Roman" w:eastAsia="Times New Roman" w:hAnsi="Times New Roman"/>
          <w:sz w:val="18"/>
          <w:szCs w:val="18"/>
          <w:color w:val="auto"/>
        </w:rPr>
        <w:t>The eight directors were elected at the Annual Meeting for a one-year term based on the following votes: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Director Nominee</w:t>
            </w:r>
          </w:p>
        </w:tc>
        <w:tc>
          <w:tcPr>
            <w:tcW w:w="2800" w:type="dxa"/>
            <w:vAlign w:val="bottom"/>
            <w:gridSpan w:val="2"/>
          </w:tcPr>
          <w:p>
            <w:pPr>
              <w:ind w:left="94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740" w:type="dxa"/>
            <w:vAlign w:val="bottom"/>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Votes Withheld</w:t>
            </w:r>
          </w:p>
        </w:tc>
        <w:tc>
          <w:tcPr>
            <w:tcW w:w="2740" w:type="dxa"/>
            <w:vAlign w:val="bottom"/>
            <w:gridSpan w:val="2"/>
          </w:tcPr>
          <w:p>
            <w:pPr>
              <w:ind w:left="62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6"/>
        </w:trPr>
        <w:tc>
          <w:tcPr>
            <w:tcW w:w="2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Eric K. Aasmundstad</w:t>
            </w:r>
          </w:p>
        </w:tc>
        <w:tc>
          <w:tcPr>
            <w:tcW w:w="140" w:type="dxa"/>
            <w:vAlign w:val="bottom"/>
            <w:tcBorders>
              <w:top w:val="single" w:sz="8" w:color="CCEEFF"/>
            </w:tcBorders>
            <w:shd w:val="clear" w:color="auto" w:fill="CCEEFF"/>
          </w:tcPr>
          <w:p>
            <w:pPr>
              <w:spacing w:after="0"/>
              <w:rPr>
                <w:sz w:val="18"/>
                <w:szCs w:val="18"/>
                <w:color w:val="auto"/>
              </w:rPr>
            </w:pPr>
          </w:p>
        </w:tc>
        <w:tc>
          <w:tcPr>
            <w:tcW w:w="264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15,693,164</w:t>
            </w:r>
          </w:p>
        </w:tc>
        <w:tc>
          <w:tcPr>
            <w:tcW w:w="160" w:type="dxa"/>
            <w:vAlign w:val="bottom"/>
            <w:tcBorders>
              <w:top w:val="single" w:sz="8" w:color="CCEEFF"/>
            </w:tcBorders>
            <w:shd w:val="clear" w:color="auto" w:fill="CCEEFF"/>
          </w:tcPr>
          <w:p>
            <w:pPr>
              <w:spacing w:after="0"/>
              <w:rPr>
                <w:sz w:val="18"/>
                <w:szCs w:val="18"/>
                <w:color w:val="auto"/>
              </w:rPr>
            </w:pPr>
          </w:p>
        </w:tc>
        <w:tc>
          <w:tcPr>
            <w:tcW w:w="2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2,734,263</w:t>
            </w:r>
          </w:p>
        </w:tc>
        <w:tc>
          <w:tcPr>
            <w:tcW w:w="100" w:type="dxa"/>
            <w:vAlign w:val="bottom"/>
            <w:tcBorders>
              <w:top w:val="single" w:sz="8" w:color="CCEEFF"/>
            </w:tcBorders>
            <w:shd w:val="clear" w:color="auto" w:fill="CCEEFF"/>
          </w:tcPr>
          <w:p>
            <w:pPr>
              <w:spacing w:after="0"/>
              <w:rPr>
                <w:sz w:val="18"/>
                <w:szCs w:val="18"/>
                <w:color w:val="auto"/>
              </w:rPr>
            </w:pPr>
          </w:p>
        </w:tc>
        <w:tc>
          <w:tcPr>
            <w:tcW w:w="2640" w:type="dxa"/>
            <w:vAlign w:val="bottom"/>
            <w:tcBorders>
              <w:top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836,385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William R. Devlin</w:t>
            </w:r>
          </w:p>
        </w:tc>
        <w:tc>
          <w:tcPr>
            <w:tcW w:w="26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15,685,957</w:t>
            </w:r>
          </w:p>
        </w:tc>
        <w:tc>
          <w:tcPr>
            <w:tcW w:w="160" w:type="dxa"/>
            <w:vAlign w:val="bottom"/>
          </w:tcPr>
          <w:p>
            <w:pPr>
              <w:spacing w:after="0"/>
              <w:rPr>
                <w:sz w:val="18"/>
                <w:szCs w:val="18"/>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2,741,470</w:t>
            </w:r>
          </w:p>
        </w:tc>
        <w:tc>
          <w:tcPr>
            <w:tcW w:w="100" w:type="dxa"/>
            <w:vAlign w:val="bottom"/>
          </w:tcPr>
          <w:p>
            <w:pPr>
              <w:spacing w:after="0"/>
              <w:rPr>
                <w:sz w:val="18"/>
                <w:szCs w:val="18"/>
                <w:color w:val="auto"/>
              </w:rPr>
            </w:pPr>
          </w:p>
        </w:tc>
        <w:tc>
          <w:tcPr>
            <w:tcW w:w="264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836,385</w:t>
            </w:r>
          </w:p>
        </w:tc>
        <w:tc>
          <w:tcPr>
            <w:tcW w:w="100" w:type="dxa"/>
            <w:vAlign w:val="bottom"/>
          </w:tcPr>
          <w:p>
            <w:pPr>
              <w:spacing w:after="0"/>
              <w:rPr>
                <w:sz w:val="18"/>
                <w:szCs w:val="18"/>
                <w:color w:val="auto"/>
              </w:rPr>
            </w:pPr>
          </w:p>
        </w:tc>
      </w:tr>
      <w:tr>
        <w:trPr>
          <w:trHeight w:val="216"/>
        </w:trPr>
        <w:tc>
          <w:tcPr>
            <w:tcW w:w="29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Dana J. Kaldor</w:t>
            </w:r>
          </w:p>
        </w:tc>
        <w:tc>
          <w:tcPr>
            <w:tcW w:w="264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17,404,939</w:t>
            </w:r>
          </w:p>
        </w:tc>
        <w:tc>
          <w:tcPr>
            <w:tcW w:w="160" w:type="dxa"/>
            <w:vAlign w:val="bottom"/>
            <w:shd w:val="clear" w:color="auto" w:fill="CCEEFF"/>
          </w:tcPr>
          <w:p>
            <w:pPr>
              <w:spacing w:after="0"/>
              <w:rPr>
                <w:sz w:val="18"/>
                <w:szCs w:val="18"/>
                <w:color w:val="auto"/>
              </w:rPr>
            </w:pPr>
          </w:p>
        </w:tc>
        <w:tc>
          <w:tcPr>
            <w:tcW w:w="2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1,022,488</w:t>
            </w:r>
          </w:p>
        </w:tc>
        <w:tc>
          <w:tcPr>
            <w:tcW w:w="100" w:type="dxa"/>
            <w:vAlign w:val="bottom"/>
            <w:shd w:val="clear" w:color="auto" w:fill="CCEEFF"/>
          </w:tcPr>
          <w:p>
            <w:pPr>
              <w:spacing w:after="0"/>
              <w:rPr>
                <w:sz w:val="18"/>
                <w:szCs w:val="18"/>
                <w:color w:val="auto"/>
              </w:rPr>
            </w:pPr>
          </w:p>
        </w:tc>
        <w:tc>
          <w:tcPr>
            <w:tcW w:w="264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836,385</w:t>
            </w:r>
          </w:p>
        </w:tc>
        <w:tc>
          <w:tcPr>
            <w:tcW w:w="100" w:type="dxa"/>
            <w:vAlign w:val="bottom"/>
            <w:shd w:val="clear" w:color="auto" w:fill="CCEEFF"/>
          </w:tcPr>
          <w:p>
            <w:pPr>
              <w:spacing w:after="0"/>
              <w:rPr>
                <w:sz w:val="18"/>
                <w:szCs w:val="18"/>
                <w:color w:val="auto"/>
              </w:rPr>
            </w:pPr>
          </w:p>
        </w:tc>
      </w:tr>
      <w:tr>
        <w:trPr>
          <w:trHeight w:val="216"/>
        </w:trPr>
        <w:tc>
          <w:tcPr>
            <w:tcW w:w="2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Cindy L. Launer</w:t>
            </w:r>
          </w:p>
        </w:tc>
        <w:tc>
          <w:tcPr>
            <w:tcW w:w="26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18,226,070</w:t>
            </w:r>
          </w:p>
        </w:tc>
        <w:tc>
          <w:tcPr>
            <w:tcW w:w="160" w:type="dxa"/>
            <w:vAlign w:val="bottom"/>
          </w:tcPr>
          <w:p>
            <w:pPr>
              <w:spacing w:after="0"/>
              <w:rPr>
                <w:sz w:val="18"/>
                <w:szCs w:val="18"/>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201,357</w:t>
            </w:r>
          </w:p>
        </w:tc>
        <w:tc>
          <w:tcPr>
            <w:tcW w:w="100" w:type="dxa"/>
            <w:vAlign w:val="bottom"/>
          </w:tcPr>
          <w:p>
            <w:pPr>
              <w:spacing w:after="0"/>
              <w:rPr>
                <w:sz w:val="18"/>
                <w:szCs w:val="18"/>
                <w:color w:val="auto"/>
              </w:rPr>
            </w:pPr>
          </w:p>
        </w:tc>
        <w:tc>
          <w:tcPr>
            <w:tcW w:w="264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836,385</w:t>
            </w:r>
          </w:p>
        </w:tc>
        <w:tc>
          <w:tcPr>
            <w:tcW w:w="100" w:type="dxa"/>
            <w:vAlign w:val="bottom"/>
          </w:tcPr>
          <w:p>
            <w:pPr>
              <w:spacing w:after="0"/>
              <w:rPr>
                <w:sz w:val="18"/>
                <w:szCs w:val="18"/>
                <w:color w:val="auto"/>
              </w:rPr>
            </w:pPr>
          </w:p>
        </w:tc>
      </w:tr>
      <w:tr>
        <w:trPr>
          <w:trHeight w:val="216"/>
        </w:trPr>
        <w:tc>
          <w:tcPr>
            <w:tcW w:w="29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Prakash Mathew</w:t>
            </w:r>
          </w:p>
        </w:tc>
        <w:tc>
          <w:tcPr>
            <w:tcW w:w="264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15,731,192</w:t>
            </w:r>
          </w:p>
        </w:tc>
        <w:tc>
          <w:tcPr>
            <w:tcW w:w="160" w:type="dxa"/>
            <w:vAlign w:val="bottom"/>
            <w:shd w:val="clear" w:color="auto" w:fill="CCEEFF"/>
          </w:tcPr>
          <w:p>
            <w:pPr>
              <w:spacing w:after="0"/>
              <w:rPr>
                <w:sz w:val="18"/>
                <w:szCs w:val="18"/>
                <w:color w:val="auto"/>
              </w:rPr>
            </w:pPr>
          </w:p>
        </w:tc>
        <w:tc>
          <w:tcPr>
            <w:tcW w:w="2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2,696,235</w:t>
            </w:r>
          </w:p>
        </w:tc>
        <w:tc>
          <w:tcPr>
            <w:tcW w:w="100" w:type="dxa"/>
            <w:vAlign w:val="bottom"/>
            <w:shd w:val="clear" w:color="auto" w:fill="CCEEFF"/>
          </w:tcPr>
          <w:p>
            <w:pPr>
              <w:spacing w:after="0"/>
              <w:rPr>
                <w:sz w:val="18"/>
                <w:szCs w:val="18"/>
                <w:color w:val="auto"/>
              </w:rPr>
            </w:pPr>
          </w:p>
        </w:tc>
        <w:tc>
          <w:tcPr>
            <w:tcW w:w="264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836,385</w:t>
            </w:r>
          </w:p>
        </w:tc>
        <w:tc>
          <w:tcPr>
            <w:tcW w:w="100" w:type="dxa"/>
            <w:vAlign w:val="bottom"/>
            <w:shd w:val="clear" w:color="auto" w:fill="CCEEFF"/>
          </w:tcPr>
          <w:p>
            <w:pPr>
              <w:spacing w:after="0"/>
              <w:rPr>
                <w:sz w:val="18"/>
                <w:szCs w:val="18"/>
                <w:color w:val="auto"/>
              </w:rPr>
            </w:pPr>
          </w:p>
        </w:tc>
      </w:tr>
      <w:tr>
        <w:trPr>
          <w:trHeight w:val="216"/>
        </w:trPr>
        <w:tc>
          <w:tcPr>
            <w:tcW w:w="29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Jeffrey R. Missling</w:t>
            </w:r>
          </w:p>
        </w:tc>
        <w:tc>
          <w:tcPr>
            <w:tcW w:w="26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15,760,847</w:t>
            </w:r>
          </w:p>
        </w:tc>
        <w:tc>
          <w:tcPr>
            <w:tcW w:w="160" w:type="dxa"/>
            <w:vAlign w:val="bottom"/>
          </w:tcPr>
          <w:p>
            <w:pPr>
              <w:spacing w:after="0"/>
              <w:rPr>
                <w:sz w:val="18"/>
                <w:szCs w:val="18"/>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2,666,580</w:t>
            </w:r>
          </w:p>
        </w:tc>
        <w:tc>
          <w:tcPr>
            <w:tcW w:w="100" w:type="dxa"/>
            <w:vAlign w:val="bottom"/>
          </w:tcPr>
          <w:p>
            <w:pPr>
              <w:spacing w:after="0"/>
              <w:rPr>
                <w:sz w:val="18"/>
                <w:szCs w:val="18"/>
                <w:color w:val="auto"/>
              </w:rPr>
            </w:pPr>
          </w:p>
        </w:tc>
        <w:tc>
          <w:tcPr>
            <w:tcW w:w="264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836,385</w:t>
            </w:r>
          </w:p>
        </w:tc>
        <w:tc>
          <w:tcPr>
            <w:tcW w:w="100" w:type="dxa"/>
            <w:vAlign w:val="bottom"/>
          </w:tcPr>
          <w:p>
            <w:pPr>
              <w:spacing w:after="0"/>
              <w:rPr>
                <w:sz w:val="18"/>
                <w:szCs w:val="18"/>
                <w:color w:val="auto"/>
              </w:rPr>
            </w:pPr>
          </w:p>
        </w:tc>
      </w:tr>
      <w:tr>
        <w:trPr>
          <w:trHeight w:val="216"/>
        </w:trPr>
        <w:tc>
          <w:tcPr>
            <w:tcW w:w="29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Dave L. Stende</w:t>
            </w:r>
          </w:p>
        </w:tc>
        <w:tc>
          <w:tcPr>
            <w:tcW w:w="264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15,777,248</w:t>
            </w:r>
          </w:p>
        </w:tc>
        <w:tc>
          <w:tcPr>
            <w:tcW w:w="160" w:type="dxa"/>
            <w:vAlign w:val="bottom"/>
            <w:shd w:val="clear" w:color="auto" w:fill="CCEEFF"/>
          </w:tcPr>
          <w:p>
            <w:pPr>
              <w:spacing w:after="0"/>
              <w:rPr>
                <w:sz w:val="18"/>
                <w:szCs w:val="18"/>
                <w:color w:val="auto"/>
              </w:rPr>
            </w:pPr>
          </w:p>
        </w:tc>
        <w:tc>
          <w:tcPr>
            <w:tcW w:w="2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2,650,179</w:t>
            </w:r>
          </w:p>
        </w:tc>
        <w:tc>
          <w:tcPr>
            <w:tcW w:w="100" w:type="dxa"/>
            <w:vAlign w:val="bottom"/>
            <w:shd w:val="clear" w:color="auto" w:fill="CCEEFF"/>
          </w:tcPr>
          <w:p>
            <w:pPr>
              <w:spacing w:after="0"/>
              <w:rPr>
                <w:sz w:val="18"/>
                <w:szCs w:val="18"/>
                <w:color w:val="auto"/>
              </w:rPr>
            </w:pPr>
          </w:p>
        </w:tc>
        <w:tc>
          <w:tcPr>
            <w:tcW w:w="264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836,385</w:t>
            </w:r>
          </w:p>
        </w:tc>
        <w:tc>
          <w:tcPr>
            <w:tcW w:w="100" w:type="dxa"/>
            <w:vAlign w:val="bottom"/>
            <w:shd w:val="clear" w:color="auto" w:fill="CCEEFF"/>
          </w:tcPr>
          <w:p>
            <w:pPr>
              <w:spacing w:after="0"/>
              <w:rPr>
                <w:sz w:val="18"/>
                <w:szCs w:val="18"/>
                <w:color w:val="auto"/>
              </w:rPr>
            </w:pPr>
          </w:p>
        </w:tc>
      </w:tr>
      <w:tr>
        <w:trPr>
          <w:trHeight w:val="234"/>
        </w:trPr>
        <w:tc>
          <w:tcPr>
            <w:tcW w:w="2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Callie J. Thomas</w:t>
            </w:r>
          </w:p>
        </w:tc>
        <w:tc>
          <w:tcPr>
            <w:tcW w:w="26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17,486,709</w:t>
            </w:r>
          </w:p>
        </w:tc>
        <w:tc>
          <w:tcPr>
            <w:tcW w:w="160" w:type="dxa"/>
            <w:vAlign w:val="bottom"/>
          </w:tcPr>
          <w:p>
            <w:pPr>
              <w:spacing w:after="0"/>
              <w:rPr>
                <w:sz w:val="20"/>
                <w:szCs w:val="20"/>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940,718</w:t>
            </w:r>
          </w:p>
        </w:tc>
        <w:tc>
          <w:tcPr>
            <w:tcW w:w="100" w:type="dxa"/>
            <w:vAlign w:val="bottom"/>
          </w:tcPr>
          <w:p>
            <w:pPr>
              <w:spacing w:after="0"/>
              <w:rPr>
                <w:sz w:val="20"/>
                <w:szCs w:val="20"/>
                <w:color w:val="auto"/>
              </w:rPr>
            </w:pPr>
          </w:p>
        </w:tc>
        <w:tc>
          <w:tcPr>
            <w:tcW w:w="264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836,385</w:t>
            </w:r>
          </w:p>
        </w:tc>
        <w:tc>
          <w:tcPr>
            <w:tcW w:w="100" w:type="dxa"/>
            <w:vAlign w:val="bottom"/>
          </w:tcPr>
          <w:p>
            <w:pPr>
              <w:spacing w:after="0"/>
              <w:rPr>
                <w:sz w:val="20"/>
                <w:szCs w:val="20"/>
                <w:color w:val="auto"/>
              </w:rPr>
            </w:pPr>
          </w:p>
        </w:tc>
      </w:tr>
    </w:tbl>
    <w:p>
      <w:pPr>
        <w:spacing w:after="0" w:line="1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Proposal 2: Ratification of Appointment of Independent Registered Public Accounting Firm. </w:t>
      </w:r>
      <w:r>
        <w:rPr>
          <w:rFonts w:ascii="Times New Roman" w:cs="Times New Roman" w:eastAsia="Times New Roman" w:hAnsi="Times New Roman"/>
          <w:sz w:val="18"/>
          <w:szCs w:val="18"/>
          <w:color w:val="auto"/>
        </w:rPr>
        <w:t>The appointment of Forvis Mazars, LLP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independent registered public accounting firm for the Company for the fiscal year ending December 31, 2026, was ratified based upon the following votes: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60" w:type="dxa"/>
            <w:vAlign w:val="bottom"/>
            <w:gridSpan w:val="2"/>
          </w:tcPr>
          <w:p>
            <w:pPr>
              <w:ind w:left="144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3800" w:type="dxa"/>
            <w:vAlign w:val="bottom"/>
            <w:gridSpan w:val="2"/>
          </w:tcPr>
          <w:p>
            <w:pPr>
              <w:ind w:left="126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3580" w:type="dxa"/>
            <w:vAlign w:val="bottom"/>
            <w:gridSpan w:val="2"/>
          </w:tcPr>
          <w:p>
            <w:pPr>
              <w:ind w:left="1280"/>
              <w:spacing w:after="0"/>
              <w:rPr>
                <w:sz w:val="20"/>
                <w:szCs w:val="20"/>
                <w:color w:val="auto"/>
              </w:rPr>
            </w:pPr>
            <w:r>
              <w:rPr>
                <w:rFonts w:ascii="Times New Roman" w:cs="Times New Roman" w:eastAsia="Times New Roman" w:hAnsi="Times New Roman"/>
                <w:sz w:val="18"/>
                <w:szCs w:val="18"/>
                <w:b w:val="1"/>
                <w:bCs w:val="1"/>
                <w:color w:val="auto"/>
              </w:rPr>
              <w:t>Abstentions</w:t>
            </w:r>
          </w:p>
        </w:tc>
      </w:tr>
      <w:tr>
        <w:trPr>
          <w:trHeight w:val="216"/>
        </w:trPr>
        <w:tc>
          <w:tcPr>
            <w:tcW w:w="3620" w:type="dxa"/>
            <w:vAlign w:val="bottom"/>
            <w:tcBorders>
              <w:top w:val="single" w:sz="8" w:color="auto"/>
            </w:tcBorders>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rPr>
              <w:t>19,134,720</w:t>
            </w:r>
          </w:p>
        </w:tc>
        <w:tc>
          <w:tcPr>
            <w:tcW w:w="240" w:type="dxa"/>
            <w:vAlign w:val="bottom"/>
            <w:tcBorders>
              <w:top w:val="single" w:sz="8" w:color="CCEEFF"/>
            </w:tcBorders>
            <w:shd w:val="clear" w:color="auto" w:fill="CCEEFF"/>
          </w:tcPr>
          <w:p>
            <w:pPr>
              <w:spacing w:after="0"/>
              <w:rPr>
                <w:sz w:val="18"/>
                <w:szCs w:val="18"/>
                <w:color w:val="auto"/>
              </w:rPr>
            </w:pPr>
          </w:p>
        </w:tc>
        <w:tc>
          <w:tcPr>
            <w:tcW w:w="3580" w:type="dxa"/>
            <w:vAlign w:val="bottom"/>
            <w:tcBorders>
              <w:top w:val="single" w:sz="8" w:color="auto"/>
            </w:tcBorders>
            <w:shd w:val="clear" w:color="auto" w:fill="CCEEFF"/>
          </w:tcPr>
          <w:p>
            <w:pPr>
              <w:jc w:val="right"/>
              <w:ind w:right="1390"/>
              <w:spacing w:after="0"/>
              <w:rPr>
                <w:sz w:val="20"/>
                <w:szCs w:val="20"/>
                <w:color w:val="auto"/>
              </w:rPr>
            </w:pPr>
            <w:r>
              <w:rPr>
                <w:rFonts w:ascii="Times New Roman" w:cs="Times New Roman" w:eastAsia="Times New Roman" w:hAnsi="Times New Roman"/>
                <w:sz w:val="18"/>
                <w:szCs w:val="18"/>
                <w:color w:val="auto"/>
              </w:rPr>
              <w:t>92,312</w:t>
            </w:r>
          </w:p>
        </w:tc>
        <w:tc>
          <w:tcPr>
            <w:tcW w:w="220" w:type="dxa"/>
            <w:vAlign w:val="bottom"/>
            <w:tcBorders>
              <w:top w:val="single" w:sz="8" w:color="CCEEFF"/>
            </w:tcBorders>
            <w:shd w:val="clear" w:color="auto" w:fill="CCEEFF"/>
          </w:tcPr>
          <w:p>
            <w:pPr>
              <w:spacing w:after="0"/>
              <w:rPr>
                <w:sz w:val="18"/>
                <w:szCs w:val="18"/>
                <w:color w:val="auto"/>
              </w:rPr>
            </w:pPr>
          </w:p>
        </w:tc>
        <w:tc>
          <w:tcPr>
            <w:tcW w:w="3480" w:type="dxa"/>
            <w:vAlign w:val="bottom"/>
            <w:tcBorders>
              <w:top w:val="single" w:sz="8" w:color="auto"/>
            </w:tcBorders>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36,780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Proposal 3: Advisory Vote to Approve the Compensation of our Named Executive Officers. </w:t>
      </w:r>
      <w:r>
        <w:rPr>
          <w:rFonts w:ascii="Times New Roman" w:cs="Times New Roman" w:eastAsia="Times New Roman" w:hAnsi="Times New Roman"/>
          <w:sz w:val="18"/>
          <w:szCs w:val="18"/>
          <w:color w:val="auto"/>
        </w:rPr>
        <w:t>The Company’s executive compensation was approved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non-binding advisory vote based upon the following votes: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96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58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20" w:type="dxa"/>
            <w:vAlign w:val="bottom"/>
          </w:tcPr>
          <w:p>
            <w:pPr>
              <w:spacing w:after="0"/>
              <w:rPr>
                <w:sz w:val="21"/>
                <w:szCs w:val="21"/>
                <w:color w:val="auto"/>
              </w:rPr>
            </w:pPr>
          </w:p>
        </w:tc>
        <w:tc>
          <w:tcPr>
            <w:tcW w:w="2800" w:type="dxa"/>
            <w:vAlign w:val="bottom"/>
            <w:gridSpan w:val="2"/>
          </w:tcPr>
          <w:p>
            <w:pPr>
              <w:ind w:left="84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68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6"/>
        </w:trPr>
        <w:tc>
          <w:tcPr>
            <w:tcW w:w="272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17,176,881</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1,244,892</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5,654</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836,385</w:t>
            </w:r>
          </w:p>
        </w:tc>
        <w:tc>
          <w:tcPr>
            <w:tcW w:w="100" w:type="dxa"/>
            <w:vAlign w:val="bottom"/>
            <w:tcBorders>
              <w:top w:val="single" w:sz="8" w:color="CCEEFF"/>
            </w:tcBorders>
            <w:shd w:val="clear" w:color="auto" w:fill="CCEEFF"/>
          </w:tcPr>
          <w:p>
            <w:pPr>
              <w:spacing w:after="0"/>
              <w:rPr>
                <w:sz w:val="18"/>
                <w:szCs w:val="18"/>
                <w:color w:val="auto"/>
              </w:rPr>
            </w:pPr>
          </w:p>
        </w:tc>
      </w:tr>
      <w:tr>
        <w:trPr>
          <w:trHeight w:val="655"/>
        </w:trPr>
        <w:tc>
          <w:tcPr>
            <w:tcW w:w="2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2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NI Holdings, Inc.</w:t>
      </w:r>
    </w:p>
    <w:p>
      <w:pPr>
        <w:spacing w:after="0" w:line="225"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May 26, 2026</w:t>
      </w:r>
      <w:r>
        <w:rPr>
          <w:sz w:val="20"/>
          <w:szCs w:val="20"/>
          <w:color w:val="auto"/>
        </w:rPr>
        <w:tab/>
      </w:r>
      <w:r>
        <w:rPr>
          <w:rFonts w:ascii="Times New Roman" w:cs="Times New Roman" w:eastAsia="Times New Roman" w:hAnsi="Times New Roman"/>
          <w:sz w:val="18"/>
          <w:szCs w:val="18"/>
          <w:color w:val="auto"/>
        </w:rPr>
        <w:t>By:</w:t>
        <w:tab/>
        <w:t>/s/ Cindy L. Launer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Cindy L. Launer</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2026-05-26T15:24:48Z</dcterms:created>
  <dcterms:modified xsi:type="dcterms:W3CDTF">2026-05-26T15:24:48Z</dcterms:modified>
</cp:coreProperties>
</file>