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ind w:left="100" w:right="2120" w:firstLine="5"/>
        <w:spacing w:after="0" w:line="258" w:lineRule="auto"/>
        <w:tabs>
          <w:tab w:leader="none" w:pos="48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 or</w:t>
      </w:r>
    </w:p>
    <w:p>
      <w:pPr>
        <w:ind w:left="1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TRANSITION REPORT PURSUANT TO SECTION 13 OR 15(d) OF THE SECURITIES EXCHANGE ACT OF 1934</w:t>
      </w:r>
    </w:p>
    <w:p>
      <w:pPr>
        <w:spacing w:after="0" w:line="10" w:lineRule="exact"/>
        <w:rPr>
          <w:rFonts w:ascii="MS PGothic" w:cs="MS PGothic" w:eastAsia="MS PGothic" w:hAnsi="MS PGothic"/>
          <w:sz w:val="18"/>
          <w:szCs w:val="18"/>
          <w:color w:val="auto"/>
        </w:rPr>
      </w:pPr>
    </w:p>
    <w:p>
      <w:pPr>
        <w:ind w:left="1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 to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jc w:val="center"/>
              <w:ind w:left="870"/>
              <w:spacing w:after="0"/>
              <w:rPr>
                <w:sz w:val="20"/>
                <w:szCs w:val="20"/>
                <w:color w:val="auto"/>
              </w:rPr>
            </w:pPr>
            <w:r>
              <w:rPr>
                <w:rFonts w:ascii="Arial" w:cs="Arial" w:eastAsia="Arial" w:hAnsi="Arial"/>
                <w:sz w:val="18"/>
                <w:szCs w:val="18"/>
                <w:b w:val="1"/>
                <w:bCs w:val="1"/>
                <w:color w:val="auto"/>
              </w:rPr>
              <w:t>NORTH DAKOTA</w:t>
            </w:r>
          </w:p>
        </w:tc>
        <w:tc>
          <w:tcPr>
            <w:tcW w:w="4440" w:type="dxa"/>
            <w:vAlign w:val="bottom"/>
          </w:tcPr>
          <w:p>
            <w:pPr>
              <w:jc w:val="right"/>
              <w:ind w:right="110"/>
              <w:spacing w:after="0"/>
              <w:rPr>
                <w:sz w:val="20"/>
                <w:szCs w:val="20"/>
                <w:color w:val="auto"/>
              </w:rPr>
            </w:pPr>
            <w:r>
              <w:rPr>
                <w:rFonts w:ascii="Arial" w:cs="Arial" w:eastAsia="Arial" w:hAnsi="Arial"/>
                <w:sz w:val="18"/>
                <w:szCs w:val="18"/>
                <w:b w:val="1"/>
                <w:bCs w:val="1"/>
                <w:color w:val="auto"/>
              </w:rPr>
              <w:t>81-2683619</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(State or other jurisdiction of</w:t>
            </w:r>
          </w:p>
        </w:tc>
        <w:tc>
          <w:tcPr>
            <w:tcW w:w="4440" w:type="dxa"/>
            <w:vAlign w:val="bottom"/>
          </w:tcPr>
          <w:p>
            <w:pPr>
              <w:jc w:val="center"/>
              <w:ind w:left="3090"/>
              <w:spacing w:after="0"/>
              <w:rPr>
                <w:sz w:val="20"/>
                <w:szCs w:val="20"/>
                <w:color w:val="auto"/>
              </w:rPr>
            </w:pPr>
            <w:r>
              <w:rPr>
                <w:rFonts w:ascii="Arial" w:cs="Arial" w:eastAsia="Arial" w:hAnsi="Arial"/>
                <w:sz w:val="18"/>
                <w:szCs w:val="18"/>
                <w:b w:val="1"/>
                <w:bCs w:val="1"/>
                <w:color w:val="auto"/>
                <w:w w:val="95"/>
              </w:rPr>
              <w:t>(IRS Employer</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incorporation or organization)</w:t>
            </w:r>
          </w:p>
        </w:tc>
        <w:tc>
          <w:tcPr>
            <w:tcW w:w="5460" w:type="dxa"/>
            <w:vAlign w:val="bottom"/>
            <w:gridSpan w:val="2"/>
          </w:tcPr>
          <w:p>
            <w:pPr>
              <w:jc w:val="center"/>
              <w:ind w:left="207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414"/>
        </w:trPr>
        <w:tc>
          <w:tcPr>
            <w:tcW w:w="476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1101 First Avenue North</w:t>
            </w:r>
          </w:p>
        </w:tc>
        <w:tc>
          <w:tcPr>
            <w:tcW w:w="4440" w:type="dxa"/>
            <w:vAlign w:val="bottom"/>
          </w:tcPr>
          <w:p>
            <w:pPr>
              <w:jc w:val="right"/>
              <w:ind w:right="310"/>
              <w:spacing w:after="0"/>
              <w:rPr>
                <w:sz w:val="20"/>
                <w:szCs w:val="20"/>
                <w:color w:val="auto"/>
              </w:rPr>
            </w:pPr>
            <w:r>
              <w:rPr>
                <w:rFonts w:ascii="Arial" w:cs="Arial" w:eastAsia="Arial" w:hAnsi="Arial"/>
                <w:sz w:val="18"/>
                <w:szCs w:val="18"/>
                <w:b w:val="1"/>
                <w:bCs w:val="1"/>
                <w:color w:val="auto"/>
              </w:rPr>
              <w:t>58102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jc w:val="center"/>
              <w:ind w:left="830"/>
              <w:spacing w:after="0"/>
              <w:rPr>
                <w:sz w:val="20"/>
                <w:szCs w:val="20"/>
                <w:color w:val="auto"/>
              </w:rPr>
            </w:pPr>
            <w:r>
              <w:rPr>
                <w:rFonts w:ascii="Arial" w:cs="Arial" w:eastAsia="Arial" w:hAnsi="Arial"/>
                <w:sz w:val="18"/>
                <w:szCs w:val="18"/>
                <w:b w:val="1"/>
                <w:bCs w:val="1"/>
                <w:color w:val="auto"/>
                <w:w w:val="92"/>
              </w:rPr>
              <w:t>Fargo, North Dakota</w:t>
            </w:r>
          </w:p>
        </w:tc>
        <w:tc>
          <w:tcPr>
            <w:tcW w:w="4440" w:type="dxa"/>
            <w:vAlign w:val="bottom"/>
          </w:tcPr>
          <w:p>
            <w:pPr>
              <w:jc w:val="center"/>
              <w:ind w:left="3090"/>
              <w:spacing w:after="0"/>
              <w:rPr>
                <w:sz w:val="20"/>
                <w:szCs w:val="20"/>
                <w:color w:val="auto"/>
              </w:rPr>
            </w:pPr>
            <w:r>
              <w:rPr>
                <w:rFonts w:ascii="Arial" w:cs="Arial" w:eastAsia="Arial" w:hAnsi="Arial"/>
                <w:sz w:val="18"/>
                <w:szCs w:val="18"/>
                <w:b w:val="1"/>
                <w:bCs w:val="1"/>
                <w:color w:val="auto"/>
                <w:w w:val="92"/>
              </w:rPr>
              <w:t>(Zip Code)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tcPr>
          <w:p>
            <w:pPr>
              <w:jc w:val="center"/>
              <w:ind w:left="8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440" w:type="dxa"/>
            <w:vAlign w:val="bottom"/>
            <w:vMerge w:val="restart"/>
          </w:tcPr>
          <w:p>
            <w:pPr>
              <w:jc w:val="center"/>
              <w:ind w:right="2430"/>
              <w:spacing w:after="0"/>
              <w:rPr>
                <w:sz w:val="20"/>
                <w:szCs w:val="20"/>
                <w:color w:val="auto"/>
              </w:rPr>
            </w:pPr>
            <w:r>
              <w:rPr>
                <w:rFonts w:ascii="Arial" w:cs="Arial" w:eastAsia="Arial" w:hAnsi="Arial"/>
                <w:sz w:val="18"/>
                <w:szCs w:val="18"/>
                <w:b w:val="1"/>
                <w:bCs w:val="1"/>
                <w:color w:val="auto"/>
                <w:w w:val="90"/>
              </w:rPr>
              <w:t>(701) 298-4200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44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0" w:type="dxa"/>
            <w:vAlign w:val="bottom"/>
            <w:gridSpan w:val="2"/>
          </w:tcPr>
          <w:p>
            <w:pPr>
              <w:jc w:val="center"/>
              <w:ind w:left="213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0" w:type="dxa"/>
            <w:vAlign w:val="bottom"/>
            <w:gridSpan w:val="2"/>
          </w:tcPr>
          <w:p>
            <w:pPr>
              <w:jc w:val="center"/>
              <w:ind w:left="215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760" w:type="dxa"/>
            <w:vAlign w:val="bottom"/>
          </w:tcPr>
          <w:p>
            <w:pPr>
              <w:jc w:val="center"/>
              <w:ind w:left="870"/>
              <w:spacing w:after="0"/>
              <w:rPr>
                <w:sz w:val="20"/>
                <w:szCs w:val="20"/>
                <w:color w:val="auto"/>
              </w:rPr>
            </w:pPr>
            <w:r>
              <w:rPr>
                <w:rFonts w:ascii="Arial" w:cs="Arial" w:eastAsia="Arial" w:hAnsi="Arial"/>
                <w:sz w:val="18"/>
                <w:szCs w:val="18"/>
                <w:color w:val="auto"/>
                <w:w w:val="89"/>
              </w:rPr>
              <w:t>Common Stock, $0.01 par value per share</w:t>
            </w:r>
          </w:p>
        </w:tc>
        <w:tc>
          <w:tcPr>
            <w:tcW w:w="5460" w:type="dxa"/>
            <w:vAlign w:val="bottom"/>
            <w:gridSpan w:val="2"/>
          </w:tcPr>
          <w:p>
            <w:pPr>
              <w:jc w:val="center"/>
              <w:ind w:left="2090"/>
              <w:spacing w:after="0"/>
              <w:rPr>
                <w:sz w:val="20"/>
                <w:szCs w:val="20"/>
                <w:color w:val="auto"/>
              </w:rPr>
            </w:pPr>
            <w:r>
              <w:rPr>
                <w:rFonts w:ascii="Arial" w:cs="Arial" w:eastAsia="Arial" w:hAnsi="Arial"/>
                <w:sz w:val="18"/>
                <w:szCs w:val="18"/>
                <w:color w:val="auto"/>
                <w:w w:val="95"/>
              </w:rPr>
              <w:t>NASDAQ Capital Market</w:t>
            </w:r>
          </w:p>
        </w:tc>
        <w:tc>
          <w:tcPr>
            <w:tcW w:w="0" w:type="dxa"/>
            <w:vAlign w:val="bottom"/>
          </w:tcPr>
          <w:p>
            <w:pPr>
              <w:spacing w:after="0"/>
              <w:rPr>
                <w:sz w:val="1"/>
                <w:szCs w:val="1"/>
                <w:color w:val="auto"/>
              </w:rPr>
            </w:pPr>
          </w:p>
        </w:tc>
      </w:tr>
      <w:tr>
        <w:trPr>
          <w:trHeight w:val="230"/>
        </w:trPr>
        <w:tc>
          <w:tcPr>
            <w:tcW w:w="4760" w:type="dxa"/>
            <w:vAlign w:val="bottom"/>
          </w:tcPr>
          <w:p>
            <w:pPr>
              <w:jc w:val="center"/>
              <w:ind w:left="890"/>
              <w:spacing w:after="0"/>
              <w:rPr>
                <w:sz w:val="20"/>
                <w:szCs w:val="20"/>
                <w:color w:val="auto"/>
              </w:rPr>
            </w:pPr>
            <w:r>
              <w:rPr>
                <w:rFonts w:ascii="Arial" w:cs="Arial" w:eastAsia="Arial" w:hAnsi="Arial"/>
                <w:sz w:val="18"/>
                <w:szCs w:val="18"/>
                <w:color w:val="auto"/>
                <w:w w:val="90"/>
              </w:rPr>
              <w:t>(Title of each class)</w:t>
            </w:r>
          </w:p>
        </w:tc>
        <w:tc>
          <w:tcPr>
            <w:tcW w:w="5460" w:type="dxa"/>
            <w:vAlign w:val="bottom"/>
            <w:gridSpan w:val="2"/>
          </w:tcPr>
          <w:p>
            <w:pPr>
              <w:jc w:val="center"/>
              <w:ind w:left="207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392"/>
        </w:trPr>
        <w:tc>
          <w:tcPr>
            <w:tcW w:w="9200" w:type="dxa"/>
            <w:vAlign w:val="bottom"/>
            <w:gridSpan w:val="2"/>
          </w:tcPr>
          <w:p>
            <w:pPr>
              <w:jc w:val="center"/>
              <w:ind w:left="2150"/>
              <w:spacing w:after="0"/>
              <w:rPr>
                <w:sz w:val="20"/>
                <w:szCs w:val="20"/>
                <w:color w:val="auto"/>
              </w:rPr>
            </w:pPr>
            <w:r>
              <w:rPr>
                <w:rFonts w:ascii="Arial" w:cs="Arial" w:eastAsia="Arial" w:hAnsi="Arial"/>
                <w:sz w:val="18"/>
                <w:szCs w:val="18"/>
                <w:b w:val="1"/>
                <w:bCs w:val="1"/>
                <w:color w:val="auto"/>
                <w:w w:val="89"/>
              </w:rPr>
              <w:t>Securities registered pursuant to Section 12(g) of the Act: NONE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0" w:type="dxa"/>
            <w:vAlign w:val="bottom"/>
            <w:gridSpan w:val="2"/>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w:t>
            </w:r>
          </w:p>
        </w:tc>
        <w:tc>
          <w:tcPr>
            <w:tcW w:w="102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5"/>
        </w:trPr>
        <w:tc>
          <w:tcPr>
            <w:tcW w:w="9200" w:type="dxa"/>
            <w:vAlign w:val="bottom"/>
            <w:gridSpan w:val="2"/>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Yes</w:t>
            </w:r>
          </w:p>
        </w:tc>
        <w:tc>
          <w:tcPr>
            <w:tcW w:w="102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41"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w:t>
      </w:r>
      <w:r>
        <w:rPr>
          <w:rFonts w:ascii="MS PGothic" w:cs="MS PGothic" w:eastAsia="MS PGothic" w:hAnsi="MS PGothic"/>
          <w:sz w:val="18"/>
          <w:szCs w:val="18"/>
          <w:color w:val="auto"/>
        </w:rPr>
        <w:t>☐</w:t>
      </w:r>
    </w:p>
    <w:p>
      <w:pPr>
        <w:spacing w:after="0" w:line="143"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the Securities Act)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57"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56" w:right="259" w:bottom="1440" w:gutter="0" w:footer="0" w:header="0"/>
        </w:sectPr>
      </w:pPr>
    </w:p>
    <w:p>
      <w:pPr>
        <w:spacing w:after="0" w:line="181" w:lineRule="exact"/>
        <w:rPr>
          <w:sz w:val="24"/>
          <w:szCs w:val="24"/>
          <w:color w:val="auto"/>
        </w:rPr>
      </w:pPr>
    </w:p>
    <w:p>
      <w:pPr>
        <w:ind w:left="5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7" w:lineRule="exact"/>
        <w:rPr>
          <w:sz w:val="24"/>
          <w:szCs w:val="24"/>
          <w:color w:val="auto"/>
        </w:rPr>
      </w:pPr>
    </w:p>
    <w:p>
      <w:pPr>
        <w:sectPr>
          <w:pgSz w:w="11900" w:h="16838" w:orient="portrait"/>
          <w:cols w:equalWidth="0" w:num="2">
            <w:col w:w="2740" w:space="720"/>
            <w:col w:w="7940"/>
          </w:cols>
          <w:pgMar w:left="240" w:top="256" w:right="259" w:bottom="1440" w:gutter="0" w:footer="0" w:header="0"/>
          <w:type w:val="continuous"/>
        </w:sectPr>
      </w:pPr>
    </w:p>
    <w:p>
      <w:pPr>
        <w:spacing w:after="0" w:line="33" w:lineRule="exact"/>
        <w:rPr>
          <w:sz w:val="24"/>
          <w:szCs w:val="24"/>
          <w:color w:val="auto"/>
        </w:rPr>
      </w:pPr>
    </w:p>
    <w:p>
      <w:pPr>
        <w:ind w:left="540"/>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2">
            <w:col w:w="2740" w:space="720"/>
            <w:col w:w="7940"/>
          </w:cols>
          <w:pgMar w:left="240" w:top="256" w:right="259" w:bottom="1440" w:gutter="0" w:footer="0" w:header="0"/>
          <w:type w:val="continuous"/>
        </w:sectPr>
      </w:pPr>
    </w:p>
    <w:p>
      <w:pPr>
        <w:spacing w:after="0" w:line="33" w:lineRule="exact"/>
        <w:rPr>
          <w:sz w:val="24"/>
          <w:szCs w:val="24"/>
          <w:color w:val="auto"/>
        </w:rPr>
      </w:pPr>
    </w:p>
    <w:p>
      <w:pPr>
        <w:ind w:left="5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7" w:lineRule="exact"/>
        <w:rPr>
          <w:sz w:val="24"/>
          <w:szCs w:val="24"/>
          <w:color w:val="auto"/>
        </w:rPr>
      </w:pPr>
    </w:p>
    <w:p>
      <w:pPr>
        <w:sectPr>
          <w:pgSz w:w="11900" w:h="16838" w:orient="portrait"/>
          <w:cols w:equalWidth="0" w:num="2">
            <w:col w:w="2740" w:space="720"/>
            <w:col w:w="7940"/>
          </w:cols>
          <w:pgMar w:left="240" w:top="256" w:right="259" w:bottom="1440" w:gutter="0" w:footer="0" w:header="0"/>
          <w:type w:val="continuous"/>
        </w:sectPr>
      </w:pPr>
    </w:p>
    <w:p>
      <w:pPr>
        <w:spacing w:after="0" w:line="33" w:lineRule="exact"/>
        <w:rPr>
          <w:sz w:val="24"/>
          <w:szCs w:val="24"/>
          <w:color w:val="auto"/>
        </w:rPr>
      </w:pPr>
    </w:p>
    <w:p>
      <w:pPr>
        <w:ind w:left="54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7" w:lineRule="exact"/>
        <w:rPr>
          <w:sz w:val="24"/>
          <w:szCs w:val="24"/>
          <w:color w:val="auto"/>
        </w:rPr>
      </w:pPr>
    </w:p>
    <w:p>
      <w:pPr>
        <w:sectPr>
          <w:pgSz w:w="11900" w:h="16838" w:orient="portrait"/>
          <w:cols w:equalWidth="0" w:num="2">
            <w:col w:w="2740" w:space="720"/>
            <w:col w:w="7940"/>
          </w:cols>
          <w:pgMar w:left="240" w:top="256" w:right="259" w:bottom="1440" w:gutter="0" w:footer="0" w:header="0"/>
          <w:type w:val="continuous"/>
        </w:sectPr>
      </w:pPr>
    </w:p>
    <w:p>
      <w:pPr>
        <w:spacing w:after="0" w:line="33" w:lineRule="exact"/>
        <w:rPr>
          <w:sz w:val="24"/>
          <w:szCs w:val="24"/>
          <w:color w:val="auto"/>
        </w:rPr>
      </w:pPr>
    </w:p>
    <w:p>
      <w:pPr>
        <w:ind w:left="5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2740" w:space="720"/>
            <w:col w:w="7940"/>
          </w:cols>
          <w:pgMar w:left="240" w:top="256" w:right="259" w:bottom="1440" w:gutter="0" w:footer="0" w:header="0"/>
          <w:type w:val="continuous"/>
        </w:sectPr>
      </w:pPr>
    </w:p>
    <w:p>
      <w:pPr>
        <w:spacing w:after="0" w:line="386"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56" w:right="259" w:bottom="1440" w:gutter="0" w:footer="0" w:header="0"/>
          <w:type w:val="continuous"/>
        </w:sectPr>
      </w:pPr>
    </w:p>
    <w:bookmarkStart w:id="1" w:name="page2"/>
    <w:bookmarkEnd w:id="1"/>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tab/>
        <w:t xml:space="preserve">No </w:t>
      </w:r>
      <w:r>
        <w:rPr>
          <w:rFonts w:ascii="MS PGothic" w:cs="MS PGothic" w:eastAsia="MS PGothic" w:hAnsi="MS PGothic"/>
          <w:sz w:val="17"/>
          <w:szCs w:val="17"/>
          <w:color w:val="auto"/>
        </w:rPr>
        <w: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Based on the closing sales price of the Class A common stock on NASDAQ on June 29, 2018, the last business day of the Registrant’s second fiscal quarter, the aggregate market value of the voting stock held by non-affiliates of the Registrant was approximately $163 million. All executive officers and directors of the Registrant, and all stockholders holding more than 10% of the Registrant’s outstanding voting stock (other than institutional investors, such as registered investment companies, eligible to file beneficial ownership reports on Schedule 13G), have been deemed, solely for the purpose of the foregoing calculation, to be “affiliates” of the Registrant.</w:t>
      </w:r>
    </w:p>
    <w:p>
      <w:pPr>
        <w:spacing w:after="0" w:line="161" w:lineRule="exact"/>
        <w:rPr>
          <w:sz w:val="20"/>
          <w:szCs w:val="20"/>
          <w:color w:val="auto"/>
        </w:rPr>
      </w:pPr>
    </w:p>
    <w:p>
      <w:pPr>
        <w:ind w:right="1080"/>
        <w:spacing w:after="0" w:line="360" w:lineRule="auto"/>
        <w:rPr>
          <w:sz w:val="20"/>
          <w:szCs w:val="20"/>
          <w:color w:val="auto"/>
        </w:rPr>
      </w:pPr>
      <w:r>
        <w:rPr>
          <w:rFonts w:ascii="Arial" w:cs="Arial" w:eastAsia="Arial" w:hAnsi="Arial"/>
          <w:sz w:val="18"/>
          <w:szCs w:val="18"/>
          <w:color w:val="auto"/>
        </w:rPr>
        <w:t xml:space="preserve">The number of the Registrant’s common shares outstanding on March 13, 2019 was 22,209,599. No preferred shares are issued or outstanding. </w:t>
      </w:r>
      <w:r>
        <w:rPr>
          <w:rFonts w:ascii="Arial" w:cs="Arial" w:eastAsia="Arial" w:hAnsi="Arial"/>
          <w:sz w:val="18"/>
          <w:szCs w:val="18"/>
          <w:b w:val="1"/>
          <w:bCs w:val="1"/>
          <w:color w:val="auto"/>
        </w:rPr>
        <w:t>Documents incorporated by Reference</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Portions of the definitive proxy statement relating to the annual meeting of shareholders to be held May 21, 2019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80" w:type="dxa"/>
            <w:vAlign w:val="bottom"/>
            <w:gridSpan w:val="10"/>
          </w:tcPr>
          <w:p>
            <w:pPr>
              <w:ind w:left="44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r>
      <w:tr>
        <w:trPr>
          <w:trHeight w:val="581"/>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51"/>
        </w:trPr>
        <w:tc>
          <w:tcPr>
            <w:tcW w:w="312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CERTAIN IMPORTANT INFORMATION</w:t>
              </w:r>
            </w:hyperlink>
          </w:p>
        </w:tc>
        <w:tc>
          <w:tcPr>
            <w:tcW w:w="7280" w:type="dxa"/>
            <w:vAlign w:val="bottom"/>
            <w:gridSpan w:val="18"/>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1040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2280" w:type="dxa"/>
            <w:vAlign w:val="bottom"/>
            <w:tcBorders>
              <w:top w:val="single" w:sz="8" w:color="0000EE"/>
            </w:tcBorders>
            <w:gridSpan w:val="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7480" w:type="dxa"/>
            <w:vAlign w:val="bottom"/>
            <w:gridSpan w:val="21"/>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12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8120" w:type="dxa"/>
            <w:vAlign w:val="bottom"/>
            <w:gridSpan w:val="2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6080" w:type="dxa"/>
            <w:vAlign w:val="bottom"/>
            <w:gridSpan w:val="10"/>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678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120" w:type="dxa"/>
            <w:vAlign w:val="bottom"/>
            <w:gridSpan w:val="2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72"/>
        </w:trPr>
        <w:tc>
          <w:tcPr>
            <w:tcW w:w="228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72"/>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12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Shareholder Matters, and Issuer Purchases of Equity Securities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120" w:type="dxa"/>
            <w:vAlign w:val="bottom"/>
            <w:gridSpan w:val="2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166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8120" w:type="dxa"/>
            <w:vAlign w:val="bottom"/>
            <w:gridSpan w:val="2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Information about Market Risk</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380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Changes in and Disagreements with Accountants on Accounting and Financial Disclosure</w:t>
              </w:r>
            </w:hyperlink>
          </w:p>
        </w:tc>
        <w:tc>
          <w:tcPr>
            <w:tcW w:w="164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8120" w:type="dxa"/>
            <w:vAlign w:val="bottom"/>
            <w:gridSpan w:val="22"/>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Controls and Procedures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Other Information</w:t>
              </w:r>
            </w:hyperlink>
          </w:p>
        </w:tc>
        <w:tc>
          <w:tcPr>
            <w:tcW w:w="6360" w:type="dxa"/>
            <w:vAlign w:val="bottom"/>
            <w:gridSpan w:val="1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372"/>
        </w:trPr>
        <w:tc>
          <w:tcPr>
            <w:tcW w:w="2280" w:type="dxa"/>
            <w:vAlign w:val="bottom"/>
            <w:gridSpan w:val="4"/>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7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Directors, Executive Officers and Corporate Governance</w:t>
              </w:r>
            </w:hyperlink>
          </w:p>
        </w:tc>
        <w:tc>
          <w:tcPr>
            <w:tcW w:w="402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8120" w:type="dxa"/>
            <w:vAlign w:val="bottom"/>
            <w:gridSpan w:val="22"/>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Executive Compensation</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8120" w:type="dxa"/>
            <w:vAlign w:val="bottom"/>
            <w:gridSpan w:val="22"/>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Security Ownership of Certain Beneficial Owners and Management and Related Stockholder Matters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Certain Relationships and Related Transactions, and Director Independence</w:t>
              </w:r>
            </w:hyperlink>
          </w:p>
        </w:tc>
        <w:tc>
          <w:tcPr>
            <w:tcW w:w="8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Principal Accountant Fees and Services</w:t>
              </w:r>
            </w:hyperlink>
          </w:p>
        </w:tc>
        <w:tc>
          <w:tcPr>
            <w:tcW w:w="2680" w:type="dxa"/>
            <w:vAlign w:val="bottom"/>
            <w:gridSpan w:val="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372"/>
        </w:trPr>
        <w:tc>
          <w:tcPr>
            <w:tcW w:w="6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PART IV</w:t>
              </w:r>
            </w:hyperlink>
          </w:p>
        </w:tc>
        <w:tc>
          <w:tcPr>
            <w:tcW w:w="16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7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Exhibits and Financial Statement Schedules</w:t>
              </w:r>
            </w:hyperlink>
          </w:p>
        </w:tc>
        <w:tc>
          <w:tcPr>
            <w:tcW w:w="496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196" w:lineRule="exact"/>
              <w:rPr>
                <w:sz w:val="20"/>
                <w:szCs w:val="20"/>
                <w:color w:val="auto"/>
              </w:rPr>
            </w:pPr>
            <w:r>
              <w:rPr>
                <w:rFonts w:ascii="Arial" w:cs="Arial" w:eastAsia="Arial" w:hAnsi="Arial"/>
                <w:sz w:val="18"/>
                <w:szCs w:val="18"/>
                <w:color w:val="auto"/>
              </w:rPr>
              <w:t>Item 16.</w:t>
            </w:r>
          </w:p>
        </w:tc>
        <w:tc>
          <w:tcPr>
            <w:tcW w:w="8120" w:type="dxa"/>
            <w:vAlign w:val="bottom"/>
            <w:gridSpan w:val="22"/>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Form 10-K Summary</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CERTAIN IMPORTANT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annual report on Form 10-K:</w:t>
      </w:r>
    </w:p>
    <w:p>
      <w:pPr>
        <w:spacing w:after="0" w:line="198" w:lineRule="exact"/>
        <w:rPr>
          <w:sz w:val="20"/>
          <w:szCs w:val="20"/>
          <w:color w:val="auto"/>
        </w:rPr>
      </w:pPr>
    </w:p>
    <w:p>
      <w:pPr>
        <w:ind w:left="1300" w:hanging="644"/>
        <w:spacing w:after="0" w:line="25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“NI Holdings”, “the Company”, “we”, “us”, and “our” refer to NI Holdings, Inc., together with Nodak Insurance Company and its subsidiaries and its affiliate (Battle Creek Mutual Insurance Company) and Direct Auto Insurance Company (acquired August 31, 2018), for periods discussed after completion of the conversion, and for periods discussed prior to completion of the conversion refer to Nodak Mutual Insurance Company and all of its subsidiaries and Battle Creek Mutual Insurance Company;</w:t>
      </w:r>
    </w:p>
    <w:p>
      <w:pPr>
        <w:spacing w:after="0" w:line="146"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“Nodak Mutual Group” refers to Nodak Mutual Group, Inc., which is the majority shareholder of NI Holdings;</w:t>
      </w:r>
    </w:p>
    <w:p>
      <w:pPr>
        <w:spacing w:after="0" w:line="184" w:lineRule="exact"/>
        <w:rPr>
          <w:rFonts w:ascii="Arial" w:cs="Arial" w:eastAsia="Arial" w:hAnsi="Arial"/>
          <w:sz w:val="18"/>
          <w:szCs w:val="18"/>
          <w:color w:val="auto"/>
        </w:rPr>
      </w:pPr>
    </w:p>
    <w:p>
      <w:pPr>
        <w:ind w:left="1300" w:right="600" w:hanging="644"/>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“conversion” refers to the series of transactions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54"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“Nodak Stock” refers to Nodak Insurance Company, the successor company to Nodak Mutual Insurance Company after the conversion;</w:t>
      </w:r>
    </w:p>
    <w:p>
      <w:pPr>
        <w:spacing w:after="0" w:line="207" w:lineRule="exact"/>
        <w:rPr>
          <w:rFonts w:ascii="Arial" w:cs="Arial" w:eastAsia="Arial" w:hAnsi="Arial"/>
          <w:sz w:val="16"/>
          <w:szCs w:val="16"/>
          <w:color w:val="auto"/>
        </w:rPr>
      </w:pPr>
    </w:p>
    <w:p>
      <w:pPr>
        <w:ind w:left="1300" w:right="74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“Nodak Mutual” refers to Nodak Mutual Insurance Company, the predecessor company to Nodak Insurance Company prior to the conversion;</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“Nodak Insurance” refers to Nodak Stock or Nodak Mutual interchangeably;</w:t>
      </w:r>
    </w:p>
    <w:p>
      <w:pPr>
        <w:spacing w:after="0" w:line="198"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“members” refers to the policyholders of Nodak Insurance, who are the named insureds under insurance policies issued by Nodak Insurance;</w:t>
      </w:r>
    </w:p>
    <w:p>
      <w:pPr>
        <w:spacing w:after="0" w:line="129"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“Battle Creek” refers to Battle Creek Mutual Insurance Company. Battle Creek is not a subsidiary of Nodak Insurance, but all of its insurance policies are reinsured by Nodak Insurance through a 100% quota-share reinsurance agreement and Battle Creek is controlled by Nodak Insurance as a result of an affiliation agreement between Battle Creek and Nodak Insurance. Battle Creek is consolidated with Nodak Insurance for financial reporting purposes; and</w:t>
      </w:r>
    </w:p>
    <w:p>
      <w:pPr>
        <w:spacing w:after="0" w:line="146" w:lineRule="exact"/>
        <w:rPr>
          <w:rFonts w:ascii="Arial" w:cs="Arial" w:eastAsia="Arial" w:hAnsi="Arial"/>
          <w:sz w:val="18"/>
          <w:szCs w:val="18"/>
          <w:color w:val="auto"/>
        </w:rPr>
      </w:pPr>
    </w:p>
    <w:p>
      <w:pPr>
        <w:ind w:left="1300" w:right="60" w:hanging="644"/>
        <w:spacing w:after="0" w:line="25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 Auto” refers to Direct Auto Insurance Company. On August 31, 2018, NI Holdings completed the acquisition of 100% (directly or indirectly) of the common stock of Direct Auto from private shareholders. Direct Auto became a consolidated subsidiary of NI Holdings on this date. Direct Auto is a property and casualty insurance company specializing in non-standard automobile insurance in the state of Illinois.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4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of goals, intentions and expectations;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prospects and business strategy;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future costs, benefits and results.</w:t>
      </w:r>
    </w:p>
    <w:p>
      <w:pPr>
        <w:spacing w:after="0" w:line="19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forward-looking statements are subject to numerous assumptions, risks and uncertainties, including, among other things, the factors discussed under the heading “Risk Factors” that could affect the actual outcome of future events.</w:t>
      </w:r>
    </w:p>
    <w:p>
      <w:pPr>
        <w:spacing w:after="0" w:line="13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30"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material changes to the federal crop insurance program;</w:t>
      </w:r>
    </w:p>
    <w:p>
      <w:pPr>
        <w:spacing w:after="0" w:line="198" w:lineRule="exact"/>
        <w:rPr>
          <w:rFonts w:ascii="Arial" w:cs="Arial" w:eastAsia="Arial" w:hAnsi="Arial"/>
          <w:sz w:val="18"/>
          <w:szCs w:val="18"/>
          <w:color w:val="auto"/>
        </w:rPr>
      </w:pPr>
    </w:p>
    <w:p>
      <w:pPr>
        <w:ind w:left="5640" w:right="2800" w:hanging="4984"/>
        <w:spacing w:after="0" w:line="528" w:lineRule="auto"/>
        <w:tabs>
          <w:tab w:leader="none" w:pos="1298"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economic conditions in the markets in which we compete that are less favorable than expected;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184"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integrate Direct Auto;</w:t>
      </w:r>
    </w:p>
    <w:p>
      <w:pPr>
        <w:spacing w:after="0" w:line="184"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 including inflation, unemployment, interest rates and other factors;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and adequacy of loss reserves and trends in loss and loss adjustment expenses;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the coverage terms required by state laws with respect to minimum auto liability insurance, including higher minimum limits;</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obtain regulatory approval of, or to implement, premium rate increases;</w:t>
      </w:r>
    </w:p>
    <w:p>
      <w:pPr>
        <w:spacing w:after="0" w:line="184"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reinsurance coverage at reasonable prices or on terms that adequately protect us and to collect amounts that we believe we are entitled to under such reinsurance;</w:t>
      </w:r>
    </w:p>
    <w:p>
      <w:pPr>
        <w:spacing w:after="0" w:line="129" w:lineRule="exact"/>
        <w:rPr>
          <w:rFonts w:ascii="Arial" w:cs="Arial" w:eastAsia="Arial" w:hAnsi="Arial"/>
          <w:sz w:val="18"/>
          <w:szCs w:val="18"/>
          <w:color w:val="auto"/>
        </w:rPr>
      </w:pPr>
    </w:p>
    <w:p>
      <w:pPr>
        <w:ind w:left="1300" w:right="400" w:hanging="644"/>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potential impact on our reported net income that could result from the adoption of future accounting standards issued by the Public Company Accounting Oversight Board, the Financial Accounting Standards Board, or other standard-setting bodies;</w:t>
      </w:r>
    </w:p>
    <w:p>
      <w:pPr>
        <w:spacing w:after="0" w:line="119"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fraud, operational errors, systems malfunctions, or cybersecurity incidents;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litigation or arbitration results; and</w:t>
      </w:r>
    </w:p>
    <w:p>
      <w:pPr>
        <w:spacing w:after="0" w:line="198" w:lineRule="exact"/>
        <w:rPr>
          <w:rFonts w:ascii="Arial" w:cs="Arial" w:eastAsia="Arial" w:hAnsi="Arial"/>
          <w:sz w:val="18"/>
          <w:szCs w:val="18"/>
          <w:color w:val="auto"/>
        </w:rPr>
      </w:pPr>
    </w:p>
    <w:p>
      <w:pPr>
        <w:ind w:left="1300" w:right="50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4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except per share amounts, are in thousands.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6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Nodak Insurance was formed in 1946 to offer property and casualty insurance to members of the North Dakota Farm Bureau Federation (“North Dakota Farm Bureau”). Nodak Insurance’s bylaws provide that a person must be a member and remain a member of the North Dakota Farm Bureau in order to become and remain a policyholder of Nodak Insurance. Nodak Insurance’s bylaws also require that four members of the Board of Directors of Nodak Insurance must be members of the North Dakota Farm Bureau. Similarly, one-third of the members of the Board of Directors of Nodak Mutual Group must be persons designated by the North Dakota Farm Bureau.</w:t>
      </w:r>
    </w:p>
    <w:p>
      <w:pPr>
        <w:spacing w:after="0" w:line="14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North Dakota Farm Bureau has granted Nodak Insurance a nonexclusive, nontransferable license to use the name “Farm Bureau” and the “FB” logo and associated trademarks to market Nodak Insurance products, including insurance products. Nodak Insurance has held this license since the insurance company’s inception in 1946, and the current version of the license agreement has been in place since 2002. The current license agreement between the North Dakota Farm Bureau and Nodak Insurance renewed on October 1, 2018, with an expiration date of September 30, 2019. The agreement has historically been renewed annually by a vote of the Nodak Insurance Board of Directors. Under the current license agreement, Nodak Insurance is required to pay to the North Dakota Farm Bureau an annual royalty payment equal to 1.3% of Nodak Insurance’s written premiums (excluding multi-peril crop insurance premiums), subject to a minimum annual payment of $900 and a maximum annual payment of $1,341. The maximum royalty payment is adjusted annually based upon the June index month for the Consumer Price Index.</w:t>
      </w:r>
    </w:p>
    <w:p>
      <w:pPr>
        <w:spacing w:after="0" w:line="13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Nodak Insurance’s subsidiaries include American West Insurance Company (“American West”) and Primero Insurance Company (“Primero”). Battle Creek Mutual Insurance Company is an affiliate of Nodak Insurance. Nodak Insurance and Battle Creek have been assigned “A” ratings by A.M. Best Company, Inc. (“A.M. Best”), which is the third highest out of 15 possible ratings. American West is rated A-. Primero and Direct Auto are unrated.</w:t>
      </w:r>
    </w:p>
    <w:p>
      <w:pPr>
        <w:spacing w:after="0" w:line="13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August 31, 2018, NI Holdings completed the acquisition of 100% of the common stock of Direct Auto Insurance Company (“Direct Auto”) from private shareholders and Direct Auto became a consolidated subsidiary of the Company. The results of Direct Auto are included as part of the Company’s non-standard auto business segment following the closing date.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financial statements of NI Holdings presented herein include the financial position and results of operations of NI Holdings, Direct Auto (after the acquisition date of August 31, 2018), and Nodak Insurance, including Nodak Insurance’s subsidiaries American West and Primero, and its affiliate Battle Creek. Each of the five insurance companies is subject to examination and comprehensive regulation by the insurance department of its state of domicile.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chart of the corporate structure and a more complete description of each of the NI Holdings subsidiaries is included below.</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0" w:type="dxa"/>
            <w:vAlign w:val="bottom"/>
            <w:tcBorders>
              <w:top w:val="single" w:sz="8" w:color="auto"/>
              <w:left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gridSpan w:val="6"/>
          </w:tcPr>
          <w:p>
            <w:pPr>
              <w:jc w:val="center"/>
              <w:ind w:right="2020"/>
              <w:spacing w:after="0"/>
              <w:rPr>
                <w:sz w:val="20"/>
                <w:szCs w:val="20"/>
                <w:color w:val="auto"/>
              </w:rPr>
            </w:pPr>
            <w:r>
              <w:rPr>
                <w:rFonts w:ascii="Arial" w:cs="Arial" w:eastAsia="Arial" w:hAnsi="Arial"/>
                <w:sz w:val="18"/>
                <w:szCs w:val="18"/>
                <w:b w:val="1"/>
                <w:bCs w:val="1"/>
                <w:color w:val="auto"/>
              </w:rPr>
              <w:t>NI HOLDINGS, INC.</w:t>
            </w:r>
          </w:p>
        </w:tc>
        <w:tc>
          <w:tcPr>
            <w:tcW w:w="1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80" w:type="dxa"/>
            <w:vAlign w:val="bottom"/>
            <w:gridSpan w:val="7"/>
          </w:tcPr>
          <w:p>
            <w:pPr>
              <w:jc w:val="center"/>
              <w:ind w:right="1540"/>
              <w:spacing w:after="0"/>
              <w:rPr>
                <w:sz w:val="20"/>
                <w:szCs w:val="20"/>
                <w:color w:val="auto"/>
              </w:rPr>
            </w:pPr>
            <w:r>
              <w:rPr>
                <w:rFonts w:ascii="Arial" w:cs="Arial" w:eastAsia="Arial" w:hAnsi="Arial"/>
                <w:sz w:val="18"/>
                <w:szCs w:val="18"/>
                <w:b w:val="1"/>
                <w:bCs w:val="1"/>
                <w:color w:val="auto"/>
              </w:rPr>
              <w:t>ORGANIZATIONAL CHART</w:t>
            </w: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6"/>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6"/>
          </w:tcPr>
          <w:p>
            <w:pPr>
              <w:jc w:val="center"/>
              <w:ind w:right="1540"/>
              <w:spacing w:after="0"/>
              <w:rPr>
                <w:sz w:val="20"/>
                <w:szCs w:val="20"/>
                <w:color w:val="auto"/>
              </w:rPr>
            </w:pPr>
            <w:r>
              <w:rPr>
                <w:rFonts w:ascii="Arial" w:cs="Arial" w:eastAsia="Arial" w:hAnsi="Arial"/>
                <w:sz w:val="18"/>
                <w:szCs w:val="18"/>
                <w:color w:val="auto"/>
                <w:w w:val="93"/>
              </w:rPr>
              <w:t>Nodak Mutual Group, Inc.</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8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ind w:left="330"/>
              <w:spacing w:after="0"/>
              <w:rPr>
                <w:sz w:val="20"/>
                <w:szCs w:val="20"/>
                <w:color w:val="auto"/>
              </w:rPr>
            </w:pPr>
            <w:r>
              <w:rPr>
                <w:rFonts w:ascii="Arial" w:cs="Arial" w:eastAsia="Arial" w:hAnsi="Arial"/>
                <w:sz w:val="18"/>
                <w:szCs w:val="18"/>
                <w:color w:val="auto"/>
                <w:w w:val="90"/>
              </w:rPr>
              <w:t>≥ 55%</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ownership</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NI Holdings, Inc.</w:t>
            </w: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vMerge w:val="restart"/>
          </w:tcPr>
          <w:p>
            <w:pPr>
              <w:jc w:val="center"/>
              <w:ind w:left="330"/>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0" w:type="dxa"/>
            <w:vAlign w:val="bottom"/>
            <w:tcBorders>
              <w:lef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ind w:left="600"/>
              <w:spacing w:after="0"/>
              <w:rPr>
                <w:sz w:val="20"/>
                <w:szCs w:val="20"/>
                <w:color w:val="auto"/>
              </w:rPr>
            </w:pPr>
            <w:r>
              <w:rPr>
                <w:rFonts w:ascii="Arial" w:cs="Arial" w:eastAsia="Arial" w:hAnsi="Arial"/>
                <w:sz w:val="18"/>
                <w:szCs w:val="18"/>
                <w:color w:val="auto"/>
              </w:rPr>
              <w:t>ownership</w:t>
            </w: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46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4020" w:type="dxa"/>
            <w:vAlign w:val="bottom"/>
            <w:tcBorders>
              <w:top w:val="single" w:sz="8" w:color="auto"/>
              <w:bottom w:val="single" w:sz="8" w:color="auto"/>
              <w:right w:val="single" w:sz="8" w:color="auto"/>
            </w:tcBorders>
            <w:gridSpan w:val="6"/>
          </w:tcPr>
          <w:p>
            <w:pPr>
              <w:jc w:val="center"/>
              <w:ind w:right="1540"/>
              <w:spacing w:after="0"/>
              <w:rPr>
                <w:sz w:val="20"/>
                <w:szCs w:val="20"/>
                <w:color w:val="auto"/>
              </w:rPr>
            </w:pPr>
            <w:r>
              <w:rPr>
                <w:rFonts w:ascii="Arial" w:cs="Arial" w:eastAsia="Arial" w:hAnsi="Arial"/>
                <w:sz w:val="18"/>
                <w:szCs w:val="18"/>
                <w:color w:val="auto"/>
                <w:w w:val="89"/>
              </w:rPr>
              <w:t>Nodak Insurance Company</w:t>
            </w:r>
          </w:p>
        </w:tc>
        <w:tc>
          <w:tcPr>
            <w:tcW w:w="260" w:type="dxa"/>
            <w:vAlign w:val="bottom"/>
            <w:tcBorders>
              <w:right w:val="single" w:sz="8" w:color="auto"/>
            </w:tcBorders>
          </w:tcPr>
          <w:p>
            <w:pPr>
              <w:spacing w:after="0"/>
              <w:rPr>
                <w:sz w:val="18"/>
                <w:szCs w:val="18"/>
                <w:color w:val="auto"/>
              </w:rPr>
            </w:pPr>
          </w:p>
        </w:tc>
        <w:tc>
          <w:tcPr>
            <w:tcW w:w="254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2"/>
              </w:rPr>
              <w:t>Direct Auto Insurance Company</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8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500" w:type="dxa"/>
            <w:vAlign w:val="bottom"/>
            <w:tcBorders>
              <w:left w:val="single" w:sz="8" w:color="auto"/>
              <w:right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100%</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c>
          <w:tcPr>
            <w:tcW w:w="4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320" w:type="dxa"/>
            <w:vAlign w:val="bottom"/>
            <w:gridSpan w:val="2"/>
          </w:tcPr>
          <w:p>
            <w:pPr>
              <w:spacing w:after="0"/>
              <w:rPr>
                <w:sz w:val="20"/>
                <w:szCs w:val="20"/>
                <w:color w:val="auto"/>
              </w:rPr>
            </w:pPr>
          </w:p>
        </w:tc>
        <w:tc>
          <w:tcPr>
            <w:tcW w:w="1520" w:type="dxa"/>
            <w:vAlign w:val="bottom"/>
          </w:tcPr>
          <w:p>
            <w:pPr>
              <w:ind w:left="600"/>
              <w:spacing w:after="0"/>
              <w:rPr>
                <w:sz w:val="20"/>
                <w:szCs w:val="20"/>
                <w:color w:val="auto"/>
              </w:rPr>
            </w:pPr>
            <w:r>
              <w:rPr>
                <w:rFonts w:ascii="Arial" w:cs="Arial" w:eastAsia="Arial" w:hAnsi="Arial"/>
                <w:sz w:val="18"/>
                <w:szCs w:val="18"/>
                <w:color w:val="auto"/>
              </w:rPr>
              <w:t>ownership</w:t>
            </w:r>
          </w:p>
        </w:tc>
        <w:tc>
          <w:tcPr>
            <w:tcW w:w="46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Affiliation</w:t>
            </w:r>
          </w:p>
        </w:tc>
        <w:tc>
          <w:tcPr>
            <w:tcW w:w="1360" w:type="dxa"/>
            <w:vAlign w:val="bottom"/>
            <w:gridSpan w:val="2"/>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46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0" w:type="dxa"/>
            <w:vAlign w:val="bottom"/>
            <w:tcBorders>
              <w:left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8"/>
                <w:szCs w:val="18"/>
                <w:color w:val="auto"/>
              </w:rPr>
              <w:t>Nodak Agency, Inc.</w:t>
            </w:r>
          </w:p>
        </w:tc>
        <w:tc>
          <w:tcPr>
            <w:tcW w:w="260" w:type="dxa"/>
            <w:vAlign w:val="bottom"/>
            <w:tcBorders>
              <w:right w:val="single" w:sz="8" w:color="auto"/>
            </w:tcBorders>
          </w:tcPr>
          <w:p>
            <w:pPr>
              <w:spacing w:after="0"/>
              <w:rPr>
                <w:sz w:val="16"/>
                <w:szCs w:val="16"/>
                <w:color w:val="auto"/>
              </w:rPr>
            </w:pPr>
          </w:p>
        </w:tc>
        <w:tc>
          <w:tcPr>
            <w:tcW w:w="3060" w:type="dxa"/>
            <w:vAlign w:val="bottom"/>
            <w:tcBorders>
              <w:top w:val="single" w:sz="8" w:color="auto"/>
              <w:right w:val="single" w:sz="8" w:color="auto"/>
            </w:tcBorders>
            <w:gridSpan w:val="3"/>
            <w:vMerge w:val="restart"/>
          </w:tcPr>
          <w:p>
            <w:pPr>
              <w:ind w:left="220"/>
              <w:spacing w:after="0"/>
              <w:rPr>
                <w:sz w:val="20"/>
                <w:szCs w:val="20"/>
                <w:color w:val="auto"/>
              </w:rPr>
            </w:pPr>
            <w:r>
              <w:rPr>
                <w:rFonts w:ascii="Arial" w:cs="Arial" w:eastAsia="Arial" w:hAnsi="Arial"/>
                <w:sz w:val="18"/>
                <w:szCs w:val="18"/>
                <w:color w:val="auto"/>
                <w:w w:val="97"/>
              </w:rPr>
              <w:t>American West Insurance Company</w:t>
            </w:r>
          </w:p>
        </w:tc>
        <w:tc>
          <w:tcPr>
            <w:tcW w:w="260" w:type="dxa"/>
            <w:vAlign w:val="bottom"/>
            <w:tcBorders>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100" w:type="dxa"/>
            <w:vAlign w:val="bottom"/>
            <w:tcBorders>
              <w:top w:val="single" w:sz="8" w:color="auto"/>
              <w:right w:val="single" w:sz="8" w:color="auto"/>
            </w:tcBorders>
            <w:gridSpan w:val="2"/>
          </w:tcPr>
          <w:p>
            <w:pPr>
              <w:ind w:left="240"/>
              <w:spacing w:after="0" w:line="195" w:lineRule="exact"/>
              <w:rPr>
                <w:sz w:val="20"/>
                <w:szCs w:val="20"/>
                <w:color w:val="auto"/>
              </w:rPr>
            </w:pPr>
            <w:r>
              <w:rPr>
                <w:rFonts w:ascii="Arial" w:cs="Arial" w:eastAsia="Arial" w:hAnsi="Arial"/>
                <w:sz w:val="18"/>
                <w:szCs w:val="18"/>
                <w:color w:val="auto"/>
              </w:rPr>
              <w:t>Battle Creek Mutual</w:t>
            </w:r>
          </w:p>
        </w:tc>
        <w:tc>
          <w:tcPr>
            <w:tcW w:w="260" w:type="dxa"/>
            <w:vAlign w:val="bottom"/>
            <w:tcBorders>
              <w:right w:val="single" w:sz="8" w:color="auto"/>
            </w:tcBorders>
          </w:tcPr>
          <w:p>
            <w:pPr>
              <w:spacing w:after="0"/>
              <w:rPr>
                <w:sz w:val="16"/>
                <w:szCs w:val="16"/>
                <w:color w:val="auto"/>
              </w:rPr>
            </w:pPr>
          </w:p>
        </w:tc>
        <w:tc>
          <w:tcPr>
            <w:tcW w:w="254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2"/>
              </w:rPr>
              <w:t>Tri-State, Ltd</w:t>
            </w: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80" w:type="dxa"/>
            <w:vAlign w:val="bottom"/>
            <w:tcBorders>
              <w:left w:val="single" w:sz="8" w:color="auto"/>
              <w:right w:val="single" w:sz="8" w:color="auto"/>
            </w:tcBorders>
          </w:tcPr>
          <w:p>
            <w:pPr>
              <w:spacing w:after="0"/>
              <w:rPr>
                <w:sz w:val="10"/>
                <w:szCs w:val="10"/>
                <w:color w:val="auto"/>
              </w:rPr>
            </w:pPr>
          </w:p>
        </w:tc>
        <w:tc>
          <w:tcPr>
            <w:tcW w:w="2280" w:type="dxa"/>
            <w:vAlign w:val="bottom"/>
            <w:tcBorders>
              <w:right w:val="single" w:sz="8" w:color="auto"/>
            </w:tcBorders>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3060" w:type="dxa"/>
            <w:vAlign w:val="bottom"/>
            <w:tcBorders>
              <w:right w:val="single" w:sz="8" w:color="auto"/>
            </w:tcBorders>
            <w:gridSpan w:val="3"/>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Borders>
              <w:right w:val="single" w:sz="8" w:color="auto"/>
            </w:tcBorders>
            <w:gridSpan w:val="2"/>
            <w:vMerge w:val="restart"/>
          </w:tcPr>
          <w:p>
            <w:pPr>
              <w:ind w:left="260"/>
              <w:spacing w:after="0"/>
              <w:rPr>
                <w:sz w:val="20"/>
                <w:szCs w:val="20"/>
                <w:color w:val="auto"/>
              </w:rPr>
            </w:pPr>
            <w:r>
              <w:rPr>
                <w:rFonts w:ascii="Arial" w:cs="Arial" w:eastAsia="Arial" w:hAnsi="Arial"/>
                <w:sz w:val="18"/>
                <w:szCs w:val="18"/>
                <w:color w:val="auto"/>
              </w:rPr>
              <w:t>Insurance Company</w:t>
            </w:r>
          </w:p>
        </w:tc>
        <w:tc>
          <w:tcPr>
            <w:tcW w:w="260" w:type="dxa"/>
            <w:vAlign w:val="bottom"/>
            <w:tcBorders>
              <w:right w:val="single" w:sz="8" w:color="auto"/>
            </w:tcBorders>
          </w:tcPr>
          <w:p>
            <w:pPr>
              <w:spacing w:after="0"/>
              <w:rPr>
                <w:sz w:val="10"/>
                <w:szCs w:val="10"/>
                <w:color w:val="auto"/>
              </w:rPr>
            </w:pPr>
          </w:p>
        </w:tc>
        <w:tc>
          <w:tcPr>
            <w:tcW w:w="2540" w:type="dxa"/>
            <w:vAlign w:val="bottom"/>
            <w:tcBorders>
              <w:right w:val="single" w:sz="8" w:color="auto"/>
            </w:tcBorders>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0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28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46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54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Primero Insurance Company</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tables provide selected amounts from the Company’s consolidated statements of operations and balance sheets. Additional information is presented throughout this annual report.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written</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225,223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180,870</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195,720</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179,464</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152,756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 after non-controlling interest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31,081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15,991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458,492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376,988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278,703</w:t>
            </w:r>
          </w:p>
        </w:tc>
        <w:tc>
          <w:tcPr>
            <w:tcW w:w="100" w:type="dxa"/>
            <w:vAlign w:val="bottom"/>
            <w:shd w:val="clear" w:color="auto" w:fill="CCEEFF"/>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0"/>
                <w:szCs w:val="20"/>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275,753</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255,573</w:t>
            </w: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153,418</w:t>
            </w:r>
          </w:p>
        </w:tc>
      </w:tr>
    </w:tbl>
    <w:p>
      <w:pPr>
        <w:spacing w:after="0" w:line="380" w:lineRule="exact"/>
        <w:rPr>
          <w:sz w:val="20"/>
          <w:szCs w:val="20"/>
          <w:color w:val="auto"/>
        </w:rPr>
      </w:pPr>
    </w:p>
    <w:p>
      <w:pPr>
        <w:ind w:right="260" w:firstLine="648"/>
        <w:spacing w:after="0" w:line="256" w:lineRule="auto"/>
        <w:rPr>
          <w:sz w:val="20"/>
          <w:szCs w:val="20"/>
          <w:color w:val="auto"/>
        </w:rPr>
      </w:pPr>
      <w:r>
        <w:rPr>
          <w:rFonts w:ascii="Arial" w:cs="Arial" w:eastAsia="Arial" w:hAnsi="Arial"/>
          <w:sz w:val="16"/>
          <w:szCs w:val="16"/>
          <w:color w:val="auto"/>
        </w:rPr>
        <w:t>The executive offices of NI Holdings and Nodak Insurance are located at 1101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Avenue North, Fargo, North Dakota 58102, and the main office phone number is 701-298-4200. NI Holdings’ website address is </w:t>
      </w:r>
      <w:r>
        <w:rPr>
          <w:rFonts w:ascii="Arial" w:cs="Arial" w:eastAsia="Arial" w:hAnsi="Arial"/>
          <w:sz w:val="16"/>
          <w:szCs w:val="16"/>
          <w:i w:val="1"/>
          <w:iCs w:val="1"/>
          <w:color w:val="auto"/>
        </w:rPr>
        <w:t>www.niholdingsinc.com</w:t>
      </w:r>
      <w:r>
        <w:rPr>
          <w:rFonts w:ascii="Arial" w:cs="Arial" w:eastAsia="Arial" w:hAnsi="Arial"/>
          <w:sz w:val="16"/>
          <w:szCs w:val="16"/>
          <w:color w:val="auto"/>
        </w:rPr>
        <w:t>. Information contained on such website is not incorporated by reference into this Annual Report on Form 10-K, and such information should not be considered to be part of this Annual Report on Form 10-K.</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Nodak Insurance Company (“Nodak Insurance”)</w:t>
      </w:r>
    </w:p>
    <w:p>
      <w:pPr>
        <w:spacing w:after="0" w:line="18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Nodak Insurance writes multi-peril crop, crop hail, private passenger automobile, farmowners, homeowners, and commercial property and liability policies in North Dakota. Only members of the North Dakota Farm Bureau can purchase insurance coverage from Nodak Insurance. As of December 31, 2018, Nodak Insurance distributed its insurance products through 74 exclusive agents appointed by Nodak Insurance.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American West Insurance Company (“American West”)</w:t>
      </w:r>
    </w:p>
    <w:p>
      <w:pPr>
        <w:spacing w:after="0" w:line="18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American West is licensed to write insurance in eight states in the Midwest and Western regions of the United States, but currently issues policies in South Dakota, Minnesota, and North Dakota. American West currently issues multi-peril crop, crop hail, farmowners, private passenger auto, and homeowners insurance primarily in South Dakota. American West distributes its products through independent agents located in approximately 120 offices.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Battle Creek Mutual Insurance Company (“Battle Creek”)</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Battle Creek issues private passenger automobile, homeowners, and farmowners policies in Nebraska. Battle Creek distributes its policies through independent agents located in approximately 270 offices. Battle Creek became affiliated with Nodak Insurance in 2011, and Nodak Insurance provides underwriting, claims management, policy administration, and other administrative services to Battle Creek. Under a 100% quota-share reinsurance agreement, Battle Creek cedes 100% of its net premiums to Nodak Insurance and Nodak Insurance fully reinsures all of Battle Creek’s risk under its insurance policies. In connection with entering into the affiliation agreement, Nodak Insurance purchased a $3.0 million surplus note issued by Battle Creek. The surplus note bears interest at an annual rate of 1.0% and matures on December 30, 2040. Battle Creek must obtain the prior approval of the Nebraska Director of Insurance before making any payment of interest or principal on the surplus note.</w:t>
      </w:r>
    </w:p>
    <w:p>
      <w:pPr>
        <w:spacing w:after="0" w:line="1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Pursuant to the affiliation agreement, so long as the surplus note remains outstanding or the 100% quota-share reinsurance is in effect, Nodak Insurance is entitled to appoint two-thirds of the Board of Directors of Battle Creek. The affiliation agreement can be terminated by mutual written agreement of Battle Creek and Nodak Insurance or by either party if there is a material breach of the agreement by the other party and such breach is not cured within 15 days after written notice of such breach is given by the terminating party to the other party. If Battle Creek terminated the quota-share reinsurance agreement, it would not have sufficient capital to continue to operate.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Primero Insurance Company (“Primero”)</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Primero writes non-standard automobile insurance in Nevada, Arizona, North Dakota, and South Dakota. Primero was acquired by Nodak Insurance in 2014. Primero distributes its policies through independent agents located in approximately 335 offices in those four states.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 Auto Insurance Company (“Direct Auto”)</w:t>
      </w:r>
    </w:p>
    <w:p>
      <w:pPr>
        <w:spacing w:after="0" w:line="19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Direct Auto writes non-standard automobile insurance in Illinois. Direct Auto was acquired by NI Holdings on August 31, 2018. Direct Auto distributes its policies through independent agents located in approximately 200 offices, concentrated primarily in the Chicago area.</w:t>
      </w: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8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market our property and casualty products in the upper Midwest states of North Dakota, South Dakota, Nebraska, and Minnesota. We also offer non-standard auto insurance in the states of Nevada, Arizona, North Dakota, South Dakota, and Illinois. The following chart depicts our direct premiums written during the last two years and our relative market share within each of our states during the year ended December 31, 2017.</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180" w:type="dxa"/>
            <w:vAlign w:val="bottom"/>
            <w:gridSpan w:val="4"/>
          </w:tcPr>
          <w:p>
            <w:pPr>
              <w:ind w:left="152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tcPr>
          <w:p>
            <w:pPr>
              <w:spacing w:after="0"/>
              <w:rPr>
                <w:sz w:val="20"/>
                <w:szCs w:val="20"/>
                <w:color w:val="auto"/>
              </w:rPr>
            </w:pPr>
          </w:p>
        </w:tc>
        <w:tc>
          <w:tcPr>
            <w:tcW w:w="4180" w:type="dxa"/>
            <w:vAlign w:val="bottom"/>
            <w:gridSpan w:val="7"/>
          </w:tcPr>
          <w:p>
            <w:pPr>
              <w:ind w:left="680"/>
              <w:spacing w:after="0"/>
              <w:rPr>
                <w:sz w:val="20"/>
                <w:szCs w:val="20"/>
                <w:color w:val="auto"/>
              </w:rPr>
            </w:pPr>
            <w:r>
              <w:rPr>
                <w:rFonts w:ascii="Arial" w:cs="Arial" w:eastAsia="Arial" w:hAnsi="Arial"/>
                <w:sz w:val="18"/>
                <w:szCs w:val="18"/>
                <w:b w:val="1"/>
                <w:bCs w:val="1"/>
                <w:color w:val="auto"/>
              </w:rPr>
              <w:t>Year Ended December 31, 2017</w:t>
            </w:r>
          </w:p>
        </w:tc>
      </w:tr>
      <w:tr>
        <w:trPr>
          <w:trHeight w:val="191"/>
        </w:trPr>
        <w:tc>
          <w:tcPr>
            <w:tcW w:w="6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Direct Premiums</w:t>
            </w:r>
          </w:p>
        </w:tc>
        <w:tc>
          <w:tcPr>
            <w:tcW w:w="220" w:type="dxa"/>
            <w:vAlign w:val="bottom"/>
          </w:tcPr>
          <w:p>
            <w:pPr>
              <w:spacing w:after="0"/>
              <w:rPr>
                <w:sz w:val="16"/>
                <w:szCs w:val="16"/>
                <w:color w:val="auto"/>
              </w:rPr>
            </w:pPr>
          </w:p>
        </w:tc>
        <w:tc>
          <w:tcPr>
            <w:tcW w:w="15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Direct Premiums</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6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Written</w:t>
            </w: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Written</w:t>
            </w:r>
          </w:p>
        </w:tc>
        <w:tc>
          <w:tcPr>
            <w:tcW w:w="10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Market Size</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Rank in State</w:t>
            </w:r>
          </w:p>
        </w:tc>
      </w:tr>
      <w:tr>
        <w:trPr>
          <w:trHeight w:val="28"/>
        </w:trPr>
        <w:tc>
          <w:tcPr>
            <w:tcW w:w="3820" w:type="dxa"/>
            <w:vAlign w:val="bottom"/>
            <w:gridSpan w:val="2"/>
            <w:shd w:val="clear" w:color="auto" w:fill="CCEEFF"/>
          </w:tcPr>
          <w:p>
            <w:pPr>
              <w:ind w:left="100"/>
              <w:spacing w:after="0" w:line="29" w:lineRule="exact"/>
              <w:rPr>
                <w:sz w:val="20"/>
                <w:szCs w:val="20"/>
                <w:color w:val="auto"/>
              </w:rPr>
            </w:pPr>
            <w:r>
              <w:rPr>
                <w:rFonts w:ascii="Arial" w:cs="Arial" w:eastAsia="Arial" w:hAnsi="Arial"/>
                <w:sz w:val="3"/>
                <w:szCs w:val="3"/>
                <w:color w:val="auto"/>
              </w:rPr>
              <w:t>North Dakota</w:t>
            </w:r>
          </w:p>
        </w:tc>
        <w:tc>
          <w:tcPr>
            <w:tcW w:w="1520" w:type="dxa"/>
            <w:vAlign w:val="bottom"/>
            <w:shd w:val="clear" w:color="auto" w:fill="CCEEFF"/>
          </w:tcPr>
          <w:p>
            <w:pPr>
              <w:spacing w:after="0"/>
              <w:rPr>
                <w:sz w:val="2"/>
                <w:szCs w:val="2"/>
                <w:color w:val="auto"/>
              </w:rPr>
            </w:pPr>
          </w:p>
        </w:tc>
        <w:tc>
          <w:tcPr>
            <w:tcW w:w="180" w:type="dxa"/>
            <w:vAlign w:val="bottom"/>
            <w:shd w:val="clear" w:color="auto" w:fill="000000"/>
          </w:tcPr>
          <w:p>
            <w:pPr>
              <w:spacing w:after="0" w:line="29" w:lineRule="exact"/>
              <w:rPr>
                <w:sz w:val="20"/>
                <w:szCs w:val="20"/>
                <w:color w:val="auto"/>
              </w:rPr>
            </w:pPr>
            <w:r>
              <w:rPr>
                <w:rFonts w:ascii="Arial" w:cs="Arial" w:eastAsia="Arial" w:hAnsi="Arial"/>
                <w:sz w:val="3"/>
                <w:szCs w:val="3"/>
                <w:color w:val="auto"/>
              </w:rPr>
              <w:t>$</w:t>
            </w:r>
          </w:p>
        </w:tc>
        <w:tc>
          <w:tcPr>
            <w:tcW w:w="1260" w:type="dxa"/>
            <w:vAlign w:val="bottom"/>
            <w:shd w:val="clear" w:color="auto" w:fill="000000"/>
          </w:tcPr>
          <w:p>
            <w:pPr>
              <w:jc w:val="right"/>
              <w:spacing w:after="0" w:line="29" w:lineRule="exact"/>
              <w:rPr>
                <w:sz w:val="20"/>
                <w:szCs w:val="20"/>
                <w:color w:val="auto"/>
              </w:rPr>
            </w:pPr>
            <w:r>
              <w:rPr>
                <w:rFonts w:ascii="Arial" w:cs="Arial" w:eastAsia="Arial" w:hAnsi="Arial"/>
                <w:sz w:val="3"/>
                <w:szCs w:val="3"/>
                <w:color w:val="auto"/>
              </w:rPr>
              <w:t>143,761</w:t>
            </w: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line="29" w:lineRule="exact"/>
              <w:rPr>
                <w:sz w:val="20"/>
                <w:szCs w:val="20"/>
                <w:color w:val="auto"/>
              </w:rPr>
            </w:pPr>
            <w:r>
              <w:rPr>
                <w:rFonts w:ascii="Arial" w:cs="Arial" w:eastAsia="Arial" w:hAnsi="Arial"/>
                <w:sz w:val="3"/>
                <w:szCs w:val="3"/>
                <w:color w:val="auto"/>
              </w:rPr>
              <w:t>$</w:t>
            </w:r>
          </w:p>
        </w:tc>
        <w:tc>
          <w:tcPr>
            <w:tcW w:w="1120" w:type="dxa"/>
            <w:vAlign w:val="bottom"/>
            <w:shd w:val="clear" w:color="auto" w:fill="000000"/>
          </w:tcPr>
          <w:p>
            <w:pPr>
              <w:jc w:val="right"/>
              <w:spacing w:after="0" w:line="29" w:lineRule="exact"/>
              <w:rPr>
                <w:sz w:val="20"/>
                <w:szCs w:val="20"/>
                <w:color w:val="auto"/>
              </w:rPr>
            </w:pPr>
            <w:r>
              <w:rPr>
                <w:rFonts w:ascii="Arial" w:cs="Arial" w:eastAsia="Arial" w:hAnsi="Arial"/>
                <w:sz w:val="3"/>
                <w:szCs w:val="3"/>
                <w:color w:val="auto"/>
              </w:rPr>
              <w:t>138,950</w:t>
            </w: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jc w:val="right"/>
              <w:ind w:right="5"/>
              <w:spacing w:after="0" w:line="29" w:lineRule="exact"/>
              <w:rPr>
                <w:sz w:val="20"/>
                <w:szCs w:val="20"/>
                <w:color w:val="auto"/>
              </w:rPr>
            </w:pPr>
            <w:r>
              <w:rPr>
                <w:rFonts w:ascii="Arial" w:cs="Arial" w:eastAsia="Arial" w:hAnsi="Arial"/>
                <w:sz w:val="3"/>
                <w:szCs w:val="3"/>
                <w:color w:val="auto"/>
              </w:rPr>
              <w:t>$</w:t>
            </w:r>
          </w:p>
        </w:tc>
        <w:tc>
          <w:tcPr>
            <w:tcW w:w="1120" w:type="dxa"/>
            <w:vAlign w:val="bottom"/>
            <w:shd w:val="clear" w:color="auto" w:fill="000000"/>
          </w:tcPr>
          <w:p>
            <w:pPr>
              <w:jc w:val="right"/>
              <w:spacing w:after="0" w:line="29" w:lineRule="exact"/>
              <w:rPr>
                <w:sz w:val="20"/>
                <w:szCs w:val="20"/>
                <w:color w:val="auto"/>
              </w:rPr>
            </w:pPr>
            <w:r>
              <w:rPr>
                <w:rFonts w:ascii="Arial" w:cs="Arial" w:eastAsia="Arial" w:hAnsi="Arial"/>
                <w:sz w:val="3"/>
                <w:szCs w:val="3"/>
                <w:color w:val="auto"/>
              </w:rPr>
              <w:t>2,521,000</w:t>
            </w:r>
          </w:p>
        </w:tc>
        <w:tc>
          <w:tcPr>
            <w:tcW w:w="220" w:type="dxa"/>
            <w:vAlign w:val="bottom"/>
            <w:shd w:val="clear" w:color="auto" w:fill="CCEEFF"/>
          </w:tcPr>
          <w:p>
            <w:pPr>
              <w:spacing w:after="0"/>
              <w:rPr>
                <w:sz w:val="2"/>
                <w:szCs w:val="2"/>
                <w:color w:val="auto"/>
              </w:rPr>
            </w:pPr>
          </w:p>
        </w:tc>
        <w:tc>
          <w:tcPr>
            <w:tcW w:w="1240" w:type="dxa"/>
            <w:vAlign w:val="bottom"/>
            <w:shd w:val="clear" w:color="auto" w:fill="000000"/>
          </w:tcPr>
          <w:p>
            <w:pPr>
              <w:jc w:val="right"/>
              <w:spacing w:after="0" w:line="29" w:lineRule="exact"/>
              <w:rPr>
                <w:sz w:val="20"/>
                <w:szCs w:val="20"/>
                <w:color w:val="auto"/>
              </w:rPr>
            </w:pPr>
            <w:r>
              <w:rPr>
                <w:rFonts w:ascii="Arial" w:cs="Arial" w:eastAsia="Arial" w:hAnsi="Arial"/>
                <w:sz w:val="3"/>
                <w:szCs w:val="3"/>
                <w:color w:val="auto"/>
              </w:rPr>
              <w:t>4</w:t>
            </w:r>
          </w:p>
        </w:tc>
        <w:tc>
          <w:tcPr>
            <w:tcW w:w="160" w:type="dxa"/>
            <w:vAlign w:val="bottom"/>
            <w:shd w:val="clear" w:color="auto" w:fill="CCEEFF"/>
          </w:tcPr>
          <w:p>
            <w:pPr>
              <w:spacing w:after="0"/>
              <w:rPr>
                <w:sz w:val="2"/>
                <w:szCs w:val="2"/>
                <w:color w:val="auto"/>
              </w:rPr>
            </w:pPr>
          </w:p>
        </w:tc>
      </w:tr>
      <w:tr>
        <w:trPr>
          <w:trHeight w:val="195"/>
        </w:trPr>
        <w:tc>
          <w:tcPr>
            <w:tcW w:w="66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1240"/>
              <w:spacing w:after="0"/>
              <w:rPr>
                <w:sz w:val="20"/>
                <w:szCs w:val="20"/>
                <w:color w:val="auto"/>
              </w:rPr>
            </w:pPr>
            <w:r>
              <w:rPr>
                <w:rFonts w:ascii="Arial" w:cs="Arial" w:eastAsia="Arial" w:hAnsi="Arial"/>
                <w:sz w:val="15"/>
                <w:szCs w:val="15"/>
                <w:color w:val="auto"/>
              </w:rPr>
              <w:t>th</w:t>
            </w:r>
          </w:p>
        </w:tc>
      </w:tr>
      <w:tr>
        <w:trPr>
          <w:trHeight w:val="21"/>
        </w:trPr>
        <w:tc>
          <w:tcPr>
            <w:tcW w:w="3820" w:type="dxa"/>
            <w:vAlign w:val="bottom"/>
            <w:gridSpan w:val="2"/>
          </w:tcPr>
          <w:p>
            <w:pPr>
              <w:ind w:left="100"/>
              <w:spacing w:after="0" w:line="21" w:lineRule="exact"/>
              <w:rPr>
                <w:sz w:val="20"/>
                <w:szCs w:val="20"/>
                <w:color w:val="auto"/>
              </w:rPr>
            </w:pPr>
            <w:r>
              <w:rPr>
                <w:rFonts w:ascii="Arial" w:cs="Arial" w:eastAsia="Arial" w:hAnsi="Arial"/>
                <w:sz w:val="2"/>
                <w:szCs w:val="2"/>
                <w:color w:val="auto"/>
              </w:rPr>
              <w:t>Nebraska</w:t>
            </w: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tcPr>
          <w:p>
            <w:pPr>
              <w:jc w:val="right"/>
              <w:ind w:right="220"/>
              <w:spacing w:after="0" w:line="21" w:lineRule="exact"/>
              <w:rPr>
                <w:sz w:val="20"/>
                <w:szCs w:val="20"/>
                <w:color w:val="auto"/>
              </w:rPr>
            </w:pPr>
            <w:r>
              <w:rPr>
                <w:rFonts w:ascii="Arial" w:cs="Arial" w:eastAsia="Arial" w:hAnsi="Arial"/>
                <w:sz w:val="2"/>
                <w:szCs w:val="2"/>
                <w:color w:val="auto"/>
              </w:rPr>
              <w:t>37,819</w:t>
            </w:r>
          </w:p>
        </w:tc>
        <w:tc>
          <w:tcPr>
            <w:tcW w:w="240" w:type="dxa"/>
            <w:vAlign w:val="bottom"/>
          </w:tcPr>
          <w:p>
            <w:pPr>
              <w:spacing w:after="0" w:line="20" w:lineRule="exact"/>
              <w:rPr>
                <w:sz w:val="1"/>
                <w:szCs w:val="1"/>
                <w:color w:val="auto"/>
              </w:rPr>
            </w:pPr>
          </w:p>
        </w:tc>
        <w:tc>
          <w:tcPr>
            <w:tcW w:w="1340" w:type="dxa"/>
            <w:vAlign w:val="bottom"/>
            <w:gridSpan w:val="2"/>
          </w:tcPr>
          <w:p>
            <w:pPr>
              <w:jc w:val="right"/>
              <w:ind w:right="220"/>
              <w:spacing w:after="0" w:line="21" w:lineRule="exact"/>
              <w:rPr>
                <w:sz w:val="20"/>
                <w:szCs w:val="20"/>
                <w:color w:val="auto"/>
              </w:rPr>
            </w:pPr>
            <w:r>
              <w:rPr>
                <w:rFonts w:ascii="Arial" w:cs="Arial" w:eastAsia="Arial" w:hAnsi="Arial"/>
                <w:sz w:val="2"/>
                <w:szCs w:val="2"/>
                <w:color w:val="auto"/>
              </w:rPr>
              <w:t>33,358</w:t>
            </w:r>
          </w:p>
        </w:tc>
        <w:tc>
          <w:tcPr>
            <w:tcW w:w="100" w:type="dxa"/>
            <w:vAlign w:val="bottom"/>
          </w:tcPr>
          <w:p>
            <w:pPr>
              <w:spacing w:after="0" w:line="20" w:lineRule="exact"/>
              <w:rPr>
                <w:sz w:val="1"/>
                <w:szCs w:val="1"/>
                <w:color w:val="auto"/>
              </w:rPr>
            </w:pPr>
          </w:p>
        </w:tc>
        <w:tc>
          <w:tcPr>
            <w:tcW w:w="1340" w:type="dxa"/>
            <w:vAlign w:val="bottom"/>
            <w:gridSpan w:val="2"/>
          </w:tcPr>
          <w:p>
            <w:pPr>
              <w:jc w:val="right"/>
              <w:ind w:right="220"/>
              <w:spacing w:after="0" w:line="21" w:lineRule="exact"/>
              <w:rPr>
                <w:sz w:val="20"/>
                <w:szCs w:val="20"/>
                <w:color w:val="auto"/>
              </w:rPr>
            </w:pPr>
            <w:r>
              <w:rPr>
                <w:rFonts w:ascii="Arial" w:cs="Arial" w:eastAsia="Arial" w:hAnsi="Arial"/>
                <w:sz w:val="2"/>
                <w:szCs w:val="2"/>
                <w:color w:val="auto"/>
              </w:rPr>
              <w:t>4,842,000</w:t>
            </w:r>
          </w:p>
        </w:tc>
        <w:tc>
          <w:tcPr>
            <w:tcW w:w="1400" w:type="dxa"/>
            <w:vAlign w:val="bottom"/>
            <w:gridSpan w:val="2"/>
          </w:tcPr>
          <w:p>
            <w:pPr>
              <w:jc w:val="right"/>
              <w:ind w:right="160"/>
              <w:spacing w:after="0" w:line="21" w:lineRule="exact"/>
              <w:rPr>
                <w:sz w:val="20"/>
                <w:szCs w:val="20"/>
                <w:color w:val="auto"/>
              </w:rPr>
            </w:pPr>
            <w:r>
              <w:rPr>
                <w:rFonts w:ascii="Arial" w:cs="Arial" w:eastAsia="Arial" w:hAnsi="Arial"/>
                <w:sz w:val="2"/>
                <w:szCs w:val="2"/>
                <w:color w:val="auto"/>
              </w:rPr>
              <w:t>33</w:t>
            </w:r>
          </w:p>
        </w:tc>
      </w:tr>
      <w:tr>
        <w:trPr>
          <w:trHeight w:val="195"/>
        </w:trPr>
        <w:tc>
          <w:tcPr>
            <w:tcW w:w="6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40"/>
              <w:spacing w:after="0"/>
              <w:rPr>
                <w:sz w:val="20"/>
                <w:szCs w:val="20"/>
                <w:color w:val="auto"/>
              </w:rPr>
            </w:pPr>
            <w:r>
              <w:rPr>
                <w:rFonts w:ascii="Arial" w:cs="Arial" w:eastAsia="Arial" w:hAnsi="Arial"/>
                <w:sz w:val="15"/>
                <w:szCs w:val="15"/>
                <w:color w:val="auto"/>
              </w:rPr>
              <w:t>rd</w:t>
            </w:r>
          </w:p>
        </w:tc>
      </w:tr>
      <w:tr>
        <w:trPr>
          <w:trHeight w:val="168"/>
        </w:trPr>
        <w:tc>
          <w:tcPr>
            <w:tcW w:w="660" w:type="dxa"/>
            <w:vAlign w:val="bottom"/>
            <w:shd w:val="clear" w:color="auto" w:fill="CCEEFF"/>
          </w:tcPr>
          <w:p>
            <w:pPr>
              <w:ind w:left="100"/>
              <w:spacing w:after="0" w:line="168" w:lineRule="exact"/>
              <w:rPr>
                <w:sz w:val="20"/>
                <w:szCs w:val="20"/>
                <w:color w:val="auto"/>
              </w:rPr>
            </w:pPr>
            <w:r>
              <w:rPr>
                <w:rFonts w:ascii="Arial" w:cs="Arial" w:eastAsia="Arial" w:hAnsi="Arial"/>
                <w:sz w:val="18"/>
                <w:szCs w:val="18"/>
                <w:color w:val="auto"/>
              </w:rPr>
              <w:t>Illinois</w:t>
            </w:r>
          </w:p>
        </w:tc>
        <w:tc>
          <w:tcPr>
            <w:tcW w:w="3160" w:type="dxa"/>
            <w:vAlign w:val="bottom"/>
            <w:shd w:val="clear" w:color="auto" w:fill="CCEEFF"/>
          </w:tcPr>
          <w:p>
            <w:pPr>
              <w:jc w:val="right"/>
              <w:ind w:right="2905"/>
              <w:spacing w:after="0" w:line="168" w:lineRule="exact"/>
              <w:rPr>
                <w:sz w:val="20"/>
                <w:szCs w:val="20"/>
                <w:color w:val="auto"/>
              </w:rPr>
            </w:pPr>
            <w:r>
              <w:rPr>
                <w:rFonts w:ascii="Arial" w:cs="Arial" w:eastAsia="Arial" w:hAnsi="Arial"/>
                <w:sz w:val="15"/>
                <w:szCs w:val="15"/>
                <w:color w:val="auto"/>
                <w:w w:val="87"/>
              </w:rPr>
              <w:t>(1)</w:t>
            </w: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8"/>
                <w:szCs w:val="18"/>
                <w:color w:val="auto"/>
              </w:rPr>
              <w:t>14,072</w:t>
            </w:r>
          </w:p>
        </w:tc>
        <w:tc>
          <w:tcPr>
            <w:tcW w:w="2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8"/>
                <w:szCs w:val="18"/>
                <w:color w:val="auto"/>
              </w:rPr>
              <w:t>24,907,000</w:t>
            </w:r>
          </w:p>
        </w:tc>
        <w:tc>
          <w:tcPr>
            <w:tcW w:w="14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8"/>
                <w:szCs w:val="18"/>
                <w:color w:val="auto"/>
              </w:rPr>
              <w:t>80</w:t>
            </w:r>
          </w:p>
        </w:tc>
      </w:tr>
      <w:tr>
        <w:trPr>
          <w:trHeight w:val="95"/>
        </w:trPr>
        <w:tc>
          <w:tcPr>
            <w:tcW w:w="660" w:type="dxa"/>
            <w:vAlign w:val="bottom"/>
            <w:shd w:val="clear" w:color="auto" w:fill="CCEEFF"/>
          </w:tcPr>
          <w:p>
            <w:pPr>
              <w:spacing w:after="0"/>
              <w:rPr>
                <w:sz w:val="8"/>
                <w:szCs w:val="8"/>
                <w:color w:val="auto"/>
              </w:rPr>
            </w:pPr>
          </w:p>
        </w:tc>
        <w:tc>
          <w:tcPr>
            <w:tcW w:w="316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gridSpan w:val="2"/>
            <w:shd w:val="clear" w:color="auto" w:fill="CCEEFF"/>
          </w:tcPr>
          <w:p>
            <w:pPr>
              <w:ind w:left="1240"/>
              <w:spacing w:after="0" w:line="95" w:lineRule="exact"/>
              <w:rPr>
                <w:sz w:val="20"/>
                <w:szCs w:val="20"/>
                <w:color w:val="auto"/>
              </w:rPr>
            </w:pPr>
            <w:r>
              <w:rPr>
                <w:rFonts w:ascii="Arial" w:cs="Arial" w:eastAsia="Arial" w:hAnsi="Arial"/>
                <w:sz w:val="10"/>
                <w:szCs w:val="10"/>
                <w:color w:val="auto"/>
              </w:rPr>
              <w:t>th</w:t>
            </w:r>
          </w:p>
        </w:tc>
      </w:tr>
      <w:tr>
        <w:trPr>
          <w:trHeight w:val="15"/>
        </w:trPr>
        <w:tc>
          <w:tcPr>
            <w:tcW w:w="3820" w:type="dxa"/>
            <w:vAlign w:val="bottom"/>
            <w:gridSpan w:val="2"/>
          </w:tcPr>
          <w:p>
            <w:pPr>
              <w:ind w:left="100"/>
              <w:spacing w:after="0"/>
              <w:rPr>
                <w:sz w:val="20"/>
                <w:szCs w:val="20"/>
                <w:color w:val="auto"/>
              </w:rPr>
            </w:pPr>
            <w:r>
              <w:rPr>
                <w:rFonts w:ascii="Arial" w:cs="Arial" w:eastAsia="Arial" w:hAnsi="Arial"/>
                <w:sz w:val="1"/>
                <w:szCs w:val="1"/>
                <w:color w:val="auto"/>
              </w:rPr>
              <w:t>South Dakota</w:t>
            </w: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
                <w:szCs w:val="1"/>
                <w:color w:val="auto"/>
              </w:rPr>
              <w:t>12,980</w:t>
            </w:r>
          </w:p>
        </w:tc>
        <w:tc>
          <w:tcPr>
            <w:tcW w:w="240" w:type="dxa"/>
            <w:vAlign w:val="bottom"/>
          </w:tcPr>
          <w:p>
            <w:pPr>
              <w:spacing w:after="0" w:line="20" w:lineRule="exact"/>
              <w:rPr>
                <w:sz w:val="1"/>
                <w:szCs w:val="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
                <w:szCs w:val="1"/>
                <w:color w:val="auto"/>
              </w:rPr>
              <w:t>8,227</w:t>
            </w:r>
          </w:p>
        </w:tc>
        <w:tc>
          <w:tcPr>
            <w:tcW w:w="100" w:type="dxa"/>
            <w:vAlign w:val="bottom"/>
          </w:tcPr>
          <w:p>
            <w:pPr>
              <w:spacing w:after="0" w:line="20" w:lineRule="exact"/>
              <w:rPr>
                <w:sz w:val="1"/>
                <w:szCs w:val="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
                <w:szCs w:val="1"/>
                <w:color w:val="auto"/>
              </w:rPr>
              <w:t>2,421,000</w:t>
            </w:r>
          </w:p>
        </w:tc>
        <w:tc>
          <w:tcPr>
            <w:tcW w:w="1400" w:type="dxa"/>
            <w:vAlign w:val="bottom"/>
            <w:gridSpan w:val="2"/>
          </w:tcPr>
          <w:p>
            <w:pPr>
              <w:jc w:val="right"/>
              <w:ind w:right="160"/>
              <w:spacing w:after="0"/>
              <w:rPr>
                <w:sz w:val="20"/>
                <w:szCs w:val="20"/>
                <w:color w:val="auto"/>
              </w:rPr>
            </w:pPr>
            <w:r>
              <w:rPr>
                <w:rFonts w:ascii="Arial" w:cs="Arial" w:eastAsia="Arial" w:hAnsi="Arial"/>
                <w:sz w:val="1"/>
                <w:szCs w:val="1"/>
                <w:color w:val="auto"/>
              </w:rPr>
              <w:t>46</w:t>
            </w:r>
          </w:p>
        </w:tc>
      </w:tr>
      <w:tr>
        <w:trPr>
          <w:trHeight w:val="195"/>
        </w:trPr>
        <w:tc>
          <w:tcPr>
            <w:tcW w:w="6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40"/>
              <w:spacing w:after="0"/>
              <w:rPr>
                <w:sz w:val="20"/>
                <w:szCs w:val="20"/>
                <w:color w:val="auto"/>
              </w:rPr>
            </w:pPr>
            <w:r>
              <w:rPr>
                <w:rFonts w:ascii="Arial" w:cs="Arial" w:eastAsia="Arial" w:hAnsi="Arial"/>
                <w:sz w:val="15"/>
                <w:szCs w:val="15"/>
                <w:color w:val="auto"/>
              </w:rPr>
              <w:t>th</w:t>
            </w:r>
          </w:p>
        </w:tc>
      </w:tr>
      <w:tr>
        <w:trPr>
          <w:trHeight w:val="21"/>
        </w:trPr>
        <w:tc>
          <w:tcPr>
            <w:tcW w:w="3820" w:type="dxa"/>
            <w:vAlign w:val="bottom"/>
            <w:gridSpan w:val="2"/>
            <w:shd w:val="clear" w:color="auto" w:fill="CCEEFF"/>
          </w:tcPr>
          <w:p>
            <w:pPr>
              <w:ind w:left="100"/>
              <w:spacing w:after="0" w:line="21" w:lineRule="exact"/>
              <w:rPr>
                <w:sz w:val="20"/>
                <w:szCs w:val="20"/>
                <w:color w:val="auto"/>
              </w:rPr>
            </w:pPr>
            <w:r>
              <w:rPr>
                <w:rFonts w:ascii="Arial" w:cs="Arial" w:eastAsia="Arial" w:hAnsi="Arial"/>
                <w:sz w:val="2"/>
                <w:szCs w:val="2"/>
                <w:color w:val="auto"/>
              </w:rPr>
              <w:t>Minnesota</w:t>
            </w: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80" w:type="dxa"/>
            <w:vAlign w:val="bottom"/>
            <w:gridSpan w:val="2"/>
            <w:shd w:val="clear" w:color="auto" w:fill="CCEEFF"/>
          </w:tcPr>
          <w:p>
            <w:pPr>
              <w:jc w:val="right"/>
              <w:ind w:right="220"/>
              <w:spacing w:after="0" w:line="21" w:lineRule="exact"/>
              <w:rPr>
                <w:sz w:val="20"/>
                <w:szCs w:val="20"/>
                <w:color w:val="auto"/>
              </w:rPr>
            </w:pPr>
            <w:r>
              <w:rPr>
                <w:rFonts w:ascii="Arial" w:cs="Arial" w:eastAsia="Arial" w:hAnsi="Arial"/>
                <w:sz w:val="2"/>
                <w:szCs w:val="2"/>
                <w:color w:val="auto"/>
              </w:rPr>
              <w:t>5,137</w:t>
            </w:r>
          </w:p>
        </w:tc>
        <w:tc>
          <w:tcPr>
            <w:tcW w:w="2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220"/>
              <w:spacing w:after="0" w:line="21" w:lineRule="exact"/>
              <w:rPr>
                <w:sz w:val="20"/>
                <w:szCs w:val="20"/>
                <w:color w:val="auto"/>
              </w:rPr>
            </w:pPr>
            <w:r>
              <w:rPr>
                <w:rFonts w:ascii="Arial" w:cs="Arial" w:eastAsia="Arial" w:hAnsi="Arial"/>
                <w:sz w:val="2"/>
                <w:szCs w:val="2"/>
                <w:color w:val="auto"/>
              </w:rPr>
              <w:t>5,945</w:t>
            </w:r>
          </w:p>
        </w:tc>
        <w:tc>
          <w:tcPr>
            <w:tcW w:w="10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220"/>
              <w:spacing w:after="0" w:line="21" w:lineRule="exact"/>
              <w:rPr>
                <w:sz w:val="20"/>
                <w:szCs w:val="20"/>
                <w:color w:val="auto"/>
              </w:rPr>
            </w:pPr>
            <w:r>
              <w:rPr>
                <w:rFonts w:ascii="Arial" w:cs="Arial" w:eastAsia="Arial" w:hAnsi="Arial"/>
                <w:sz w:val="2"/>
                <w:szCs w:val="2"/>
                <w:color w:val="auto"/>
              </w:rPr>
              <w:t>11,586,000</w:t>
            </w:r>
          </w:p>
        </w:tc>
        <w:tc>
          <w:tcPr>
            <w:tcW w:w="1400" w:type="dxa"/>
            <w:vAlign w:val="bottom"/>
            <w:gridSpan w:val="2"/>
            <w:shd w:val="clear" w:color="auto" w:fill="CCEEFF"/>
          </w:tcPr>
          <w:p>
            <w:pPr>
              <w:jc w:val="right"/>
              <w:ind w:right="160"/>
              <w:spacing w:after="0" w:line="21" w:lineRule="exact"/>
              <w:rPr>
                <w:sz w:val="20"/>
                <w:szCs w:val="20"/>
                <w:color w:val="auto"/>
              </w:rPr>
            </w:pPr>
            <w:r>
              <w:rPr>
                <w:rFonts w:ascii="Arial" w:cs="Arial" w:eastAsia="Arial" w:hAnsi="Arial"/>
                <w:sz w:val="2"/>
                <w:szCs w:val="2"/>
                <w:color w:val="auto"/>
              </w:rPr>
              <w:t>106</w:t>
            </w:r>
          </w:p>
        </w:tc>
      </w:tr>
      <w:tr>
        <w:trPr>
          <w:trHeight w:val="195"/>
        </w:trPr>
        <w:tc>
          <w:tcPr>
            <w:tcW w:w="66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1240"/>
              <w:spacing w:after="0"/>
              <w:rPr>
                <w:sz w:val="20"/>
                <w:szCs w:val="20"/>
                <w:color w:val="auto"/>
              </w:rPr>
            </w:pPr>
            <w:r>
              <w:rPr>
                <w:rFonts w:ascii="Arial" w:cs="Arial" w:eastAsia="Arial" w:hAnsi="Arial"/>
                <w:sz w:val="15"/>
                <w:szCs w:val="15"/>
                <w:color w:val="auto"/>
              </w:rPr>
              <w:t>th</w:t>
            </w:r>
          </w:p>
        </w:tc>
      </w:tr>
      <w:tr>
        <w:trPr>
          <w:trHeight w:val="21"/>
        </w:trPr>
        <w:tc>
          <w:tcPr>
            <w:tcW w:w="660" w:type="dxa"/>
            <w:vAlign w:val="bottom"/>
          </w:tcPr>
          <w:p>
            <w:pPr>
              <w:ind w:left="100"/>
              <w:spacing w:after="0" w:line="21" w:lineRule="exact"/>
              <w:rPr>
                <w:sz w:val="20"/>
                <w:szCs w:val="20"/>
                <w:color w:val="auto"/>
              </w:rPr>
            </w:pPr>
            <w:r>
              <w:rPr>
                <w:rFonts w:ascii="Arial" w:cs="Arial" w:eastAsia="Arial" w:hAnsi="Arial"/>
                <w:sz w:val="2"/>
                <w:szCs w:val="2"/>
                <w:color w:val="auto"/>
              </w:rPr>
              <w:t>Nevada</w:t>
            </w: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tcPr>
          <w:p>
            <w:pPr>
              <w:jc w:val="right"/>
              <w:ind w:right="220"/>
              <w:spacing w:after="0" w:line="21" w:lineRule="exact"/>
              <w:rPr>
                <w:sz w:val="20"/>
                <w:szCs w:val="20"/>
                <w:color w:val="auto"/>
              </w:rPr>
            </w:pPr>
            <w:r>
              <w:rPr>
                <w:rFonts w:ascii="Arial" w:cs="Arial" w:eastAsia="Arial" w:hAnsi="Arial"/>
                <w:sz w:val="2"/>
                <w:szCs w:val="2"/>
                <w:color w:val="auto"/>
              </w:rPr>
              <w:t>9,105</w:t>
            </w:r>
          </w:p>
        </w:tc>
        <w:tc>
          <w:tcPr>
            <w:tcW w:w="240" w:type="dxa"/>
            <w:vAlign w:val="bottom"/>
          </w:tcPr>
          <w:p>
            <w:pPr>
              <w:spacing w:after="0" w:line="20" w:lineRule="exact"/>
              <w:rPr>
                <w:sz w:val="1"/>
                <w:szCs w:val="1"/>
                <w:color w:val="auto"/>
              </w:rPr>
            </w:pPr>
          </w:p>
        </w:tc>
        <w:tc>
          <w:tcPr>
            <w:tcW w:w="1340" w:type="dxa"/>
            <w:vAlign w:val="bottom"/>
            <w:gridSpan w:val="2"/>
          </w:tcPr>
          <w:p>
            <w:pPr>
              <w:jc w:val="right"/>
              <w:ind w:right="220"/>
              <w:spacing w:after="0" w:line="21" w:lineRule="exact"/>
              <w:rPr>
                <w:sz w:val="20"/>
                <w:szCs w:val="20"/>
                <w:color w:val="auto"/>
              </w:rPr>
            </w:pPr>
            <w:r>
              <w:rPr>
                <w:rFonts w:ascii="Arial" w:cs="Arial" w:eastAsia="Arial" w:hAnsi="Arial"/>
                <w:sz w:val="2"/>
                <w:szCs w:val="2"/>
                <w:color w:val="auto"/>
              </w:rPr>
              <w:t>6,390</w:t>
            </w:r>
          </w:p>
        </w:tc>
        <w:tc>
          <w:tcPr>
            <w:tcW w:w="100" w:type="dxa"/>
            <w:vAlign w:val="bottom"/>
          </w:tcPr>
          <w:p>
            <w:pPr>
              <w:spacing w:after="0" w:line="20" w:lineRule="exact"/>
              <w:rPr>
                <w:sz w:val="1"/>
                <w:szCs w:val="1"/>
                <w:color w:val="auto"/>
              </w:rPr>
            </w:pPr>
          </w:p>
        </w:tc>
        <w:tc>
          <w:tcPr>
            <w:tcW w:w="1340" w:type="dxa"/>
            <w:vAlign w:val="bottom"/>
            <w:gridSpan w:val="2"/>
          </w:tcPr>
          <w:p>
            <w:pPr>
              <w:jc w:val="right"/>
              <w:ind w:right="220"/>
              <w:spacing w:after="0" w:line="21" w:lineRule="exact"/>
              <w:rPr>
                <w:sz w:val="20"/>
                <w:szCs w:val="20"/>
                <w:color w:val="auto"/>
              </w:rPr>
            </w:pPr>
            <w:r>
              <w:rPr>
                <w:rFonts w:ascii="Arial" w:cs="Arial" w:eastAsia="Arial" w:hAnsi="Arial"/>
                <w:sz w:val="2"/>
                <w:szCs w:val="2"/>
                <w:color w:val="auto"/>
              </w:rPr>
              <w:t>5,145,000</w:t>
            </w:r>
          </w:p>
        </w:tc>
        <w:tc>
          <w:tcPr>
            <w:tcW w:w="1400" w:type="dxa"/>
            <w:vAlign w:val="bottom"/>
            <w:gridSpan w:val="2"/>
          </w:tcPr>
          <w:p>
            <w:pPr>
              <w:jc w:val="right"/>
              <w:ind w:right="160"/>
              <w:spacing w:after="0" w:line="21" w:lineRule="exact"/>
              <w:rPr>
                <w:sz w:val="20"/>
                <w:szCs w:val="20"/>
                <w:color w:val="auto"/>
              </w:rPr>
            </w:pPr>
            <w:r>
              <w:rPr>
                <w:rFonts w:ascii="Arial" w:cs="Arial" w:eastAsia="Arial" w:hAnsi="Arial"/>
                <w:sz w:val="2"/>
                <w:szCs w:val="2"/>
                <w:color w:val="auto"/>
              </w:rPr>
              <w:t>82</w:t>
            </w:r>
          </w:p>
        </w:tc>
      </w:tr>
      <w:tr>
        <w:trPr>
          <w:trHeight w:val="195"/>
        </w:trPr>
        <w:tc>
          <w:tcPr>
            <w:tcW w:w="6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40"/>
              <w:spacing w:after="0"/>
              <w:rPr>
                <w:sz w:val="20"/>
                <w:szCs w:val="20"/>
                <w:color w:val="auto"/>
              </w:rPr>
            </w:pPr>
            <w:r>
              <w:rPr>
                <w:rFonts w:ascii="Arial" w:cs="Arial" w:eastAsia="Arial" w:hAnsi="Arial"/>
                <w:sz w:val="15"/>
                <w:szCs w:val="15"/>
                <w:color w:val="auto"/>
                <w:w w:val="83"/>
              </w:rPr>
              <w:t>nd</w:t>
            </w:r>
          </w:p>
        </w:tc>
      </w:tr>
      <w:tr>
        <w:trPr>
          <w:trHeight w:val="21"/>
        </w:trPr>
        <w:tc>
          <w:tcPr>
            <w:tcW w:w="3820" w:type="dxa"/>
            <w:vAlign w:val="bottom"/>
            <w:gridSpan w:val="2"/>
            <w:shd w:val="clear" w:color="auto" w:fill="CCEEFF"/>
          </w:tcPr>
          <w:p>
            <w:pPr>
              <w:ind w:left="100"/>
              <w:spacing w:after="0" w:line="21" w:lineRule="exact"/>
              <w:rPr>
                <w:sz w:val="20"/>
                <w:szCs w:val="20"/>
                <w:color w:val="auto"/>
              </w:rPr>
            </w:pPr>
            <w:r>
              <w:rPr>
                <w:rFonts w:ascii="Arial" w:cs="Arial" w:eastAsia="Arial" w:hAnsi="Arial"/>
                <w:sz w:val="2"/>
                <w:szCs w:val="2"/>
                <w:color w:val="auto"/>
              </w:rPr>
              <w:t>Arizona</w:t>
            </w: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80" w:type="dxa"/>
            <w:vAlign w:val="bottom"/>
            <w:gridSpan w:val="2"/>
            <w:shd w:val="clear" w:color="auto" w:fill="CCEEFF"/>
          </w:tcPr>
          <w:p>
            <w:pPr>
              <w:jc w:val="right"/>
              <w:ind w:right="220"/>
              <w:spacing w:after="0" w:line="21" w:lineRule="exact"/>
              <w:rPr>
                <w:sz w:val="20"/>
                <w:szCs w:val="20"/>
                <w:color w:val="auto"/>
              </w:rPr>
            </w:pPr>
            <w:r>
              <w:rPr>
                <w:rFonts w:ascii="Arial" w:cs="Arial" w:eastAsia="Arial" w:hAnsi="Arial"/>
                <w:sz w:val="2"/>
                <w:szCs w:val="2"/>
                <w:color w:val="auto"/>
              </w:rPr>
              <w:t>2,349</w:t>
            </w:r>
          </w:p>
        </w:tc>
        <w:tc>
          <w:tcPr>
            <w:tcW w:w="2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220"/>
              <w:spacing w:after="0" w:line="21" w:lineRule="exact"/>
              <w:rPr>
                <w:sz w:val="20"/>
                <w:szCs w:val="20"/>
                <w:color w:val="auto"/>
              </w:rPr>
            </w:pPr>
            <w:r>
              <w:rPr>
                <w:rFonts w:ascii="Arial" w:cs="Arial" w:eastAsia="Arial" w:hAnsi="Arial"/>
                <w:sz w:val="2"/>
                <w:szCs w:val="2"/>
                <w:color w:val="auto"/>
              </w:rPr>
              <w:t>2,368</w:t>
            </w:r>
          </w:p>
        </w:tc>
        <w:tc>
          <w:tcPr>
            <w:tcW w:w="10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220"/>
              <w:spacing w:after="0" w:line="21" w:lineRule="exact"/>
              <w:rPr>
                <w:sz w:val="20"/>
                <w:szCs w:val="20"/>
                <w:color w:val="auto"/>
              </w:rPr>
            </w:pPr>
            <w:r>
              <w:rPr>
                <w:rFonts w:ascii="Arial" w:cs="Arial" w:eastAsia="Arial" w:hAnsi="Arial"/>
                <w:sz w:val="2"/>
                <w:szCs w:val="2"/>
                <w:color w:val="auto"/>
              </w:rPr>
              <w:t>10,961,000</w:t>
            </w:r>
          </w:p>
        </w:tc>
        <w:tc>
          <w:tcPr>
            <w:tcW w:w="1400" w:type="dxa"/>
            <w:vAlign w:val="bottom"/>
            <w:gridSpan w:val="2"/>
            <w:shd w:val="clear" w:color="auto" w:fill="CCEEFF"/>
          </w:tcPr>
          <w:p>
            <w:pPr>
              <w:jc w:val="right"/>
              <w:ind w:right="160"/>
              <w:spacing w:after="0" w:line="21" w:lineRule="exact"/>
              <w:rPr>
                <w:sz w:val="20"/>
                <w:szCs w:val="20"/>
                <w:color w:val="auto"/>
              </w:rPr>
            </w:pPr>
            <w:r>
              <w:rPr>
                <w:rFonts w:ascii="Arial" w:cs="Arial" w:eastAsia="Arial" w:hAnsi="Arial"/>
                <w:sz w:val="2"/>
                <w:szCs w:val="2"/>
                <w:color w:val="auto"/>
              </w:rPr>
              <w:t>159</w:t>
            </w:r>
          </w:p>
        </w:tc>
      </w:tr>
      <w:tr>
        <w:trPr>
          <w:trHeight w:val="215"/>
        </w:trPr>
        <w:tc>
          <w:tcPr>
            <w:tcW w:w="66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5"/>
                <w:szCs w:val="15"/>
                <w:color w:val="auto"/>
              </w:rPr>
              <w:t>th</w:t>
            </w:r>
          </w:p>
        </w:tc>
      </w:tr>
      <w:tr>
        <w:trPr>
          <w:trHeight w:val="263"/>
        </w:trPr>
        <w:tc>
          <w:tcPr>
            <w:tcW w:w="3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direct premiums written</w:t>
            </w:r>
          </w:p>
        </w:tc>
        <w:tc>
          <w:tcPr>
            <w:tcW w:w="15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225,223</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195,238</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r>
      <w:tr>
        <w:trPr>
          <w:trHeight w:val="197"/>
        </w:trPr>
        <w:tc>
          <w:tcPr>
            <w:tcW w:w="66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ind w:left="100" w:right="6240" w:firstLine="5"/>
        <w:spacing w:after="0" w:line="323" w:lineRule="auto"/>
        <w:tabs>
          <w:tab w:leader="none" w:pos="355" w:val="left"/>
        </w:tabs>
        <w:numPr>
          <w:ilvl w:val="0"/>
          <w:numId w:val="6"/>
        </w:numPr>
        <w:rPr>
          <w:rFonts w:ascii="Arial" w:cs="Arial" w:eastAsia="Arial" w:hAnsi="Arial"/>
          <w:sz w:val="16"/>
          <w:szCs w:val="16"/>
          <w:color w:val="auto"/>
        </w:rPr>
      </w:pPr>
      <w:r>
        <w:rPr>
          <w:rFonts w:ascii="Arial" w:cs="Arial" w:eastAsia="Arial" w:hAnsi="Arial"/>
          <w:sz w:val="16"/>
          <w:szCs w:val="16"/>
          <w:color w:val="auto"/>
        </w:rPr>
        <w:t>Direct Auto’s full year 2017 direct written premiums were $36,227 for purposes of determining its market share in the state of Illinois.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Growth Strategy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we have many opportunities to increase business in our primary markets organically. Strategies we employ to grow organically include:</w:t>
      </w:r>
    </w:p>
    <w:p>
      <w:pPr>
        <w:spacing w:after="0" w:line="208" w:lineRule="exact"/>
        <w:rPr>
          <w:sz w:val="20"/>
          <w:szCs w:val="20"/>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emphasis on our relationship with the North Dakota Farm Bureau, a key advocacy group for agricultural and rural interests which enjoys a high and favorable profile throughout the state;</w:t>
      </w:r>
    </w:p>
    <w:p>
      <w:pPr>
        <w:spacing w:after="0" w:line="143"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the cost advantage created by our low expense ratio compared to peers (28.0% expense ratio in 2018 compared to an average expense ratio of our peers of 36.6% in 2017) to selectively expand market share in our primary markets;</w:t>
      </w:r>
    </w:p>
    <w:p>
      <w:pPr>
        <w:spacing w:after="0" w:line="129" w:lineRule="exact"/>
        <w:rPr>
          <w:rFonts w:ascii="Arial" w:cs="Arial" w:eastAsia="Arial" w:hAnsi="Arial"/>
          <w:sz w:val="18"/>
          <w:szCs w:val="18"/>
          <w:color w:val="auto"/>
        </w:rPr>
      </w:pPr>
    </w:p>
    <w:p>
      <w:pPr>
        <w:ind w:left="1300" w:right="24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expansion and enhancement of agency relationships in Nebraska and South Dakota, including the use of technology such as mobile apps, online quoting, and policy issuance initiatives to make it easy for independent agents and insureds to do business with us;</w:t>
      </w:r>
    </w:p>
    <w:p>
      <w:pPr>
        <w:spacing w:after="0" w:line="83" w:lineRule="exact"/>
        <w:rPr>
          <w:rFonts w:ascii="Arial" w:cs="Arial" w:eastAsia="Arial" w:hAnsi="Arial"/>
          <w:sz w:val="16"/>
          <w:szCs w:val="16"/>
          <w:color w:val="auto"/>
        </w:rPr>
      </w:pPr>
    </w:p>
    <w:p>
      <w:pPr>
        <w:ind w:left="1300" w:right="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selective expansion of Primero in its core markets of Nevada and Arizona as well as expansion of the non-standard auto product in our core upper Midwest market area;</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growth in Direct Auto non-standard auto business;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excellent claims service for all insureds;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selective expansion of our insurance products in states where we currently operate and those states where we hold insurance licenses.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Growth Strategy</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acquired Direct Auto in 2018 and integration of this business into our operations is in progress. We successfully acquired Primero in 2014 and acquired control of Battle Creek in 2011. American West was acquired in 2001. With the additional capital we raised through our initial public offering, we desire to make additional selective acquisitions that complement our strategy. Areas of current interest include acquisition of a commercial writer and geographic expansion of existing product lines. The acquisition of a commercial writer would help us to better balance our book of business among personal lines insurance, multi-peril</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crop insurance, and commercial lines insurance in which we currently write only a limited amount of business. Selective geographic expansion would help to diversify our weather-related risks and assist us in maintaining competitive expense levels.</w:t>
      </w:r>
    </w:p>
    <w:p>
      <w:pPr>
        <w:spacing w:after="0" w:line="13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completion of our initial public offering supplied the additional capital needed to support substantial increases in premium volume, which we expect to result from the implementation of both our organic and external growth strategies.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Passenger Auto</w:t>
      </w:r>
    </w:p>
    <w:p>
      <w:pPr>
        <w:spacing w:after="0" w:line="198"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Nodak Insurance, Battle Creek, and American West each write private passenger auto insurance to provide protection against liability for bodily injury and property damage arising from automobile accidents and protection against loss from damage to automobiles owned by the insured. Private passenger auto accounted for $67,038 (29.8%) of direct premiums written by the Company on a consolidated basis during 2018.</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Non-standard Auto</w:t>
      </w:r>
    </w:p>
    <w:p>
      <w:pPr>
        <w:spacing w:after="0" w:line="18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Primero and Direct Auto write non-standard auto insurance with a focus on minimum-limit auto liability coverage. Direct premiums written on non-standard auto insurance during 2018 were $27,423 (12.2%) of direct premiums written by the Company on a consolidated basis during 2018.</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Home and Farm</w:t>
      </w:r>
    </w:p>
    <w:p>
      <w:pPr>
        <w:spacing w:after="0" w:line="18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Nodak Insurance, Battle Creek, and American West each write homeowners and farmowners policies to provide coverage for damage to buildings, equipment, and contents for a variety of perils, including fire, lightning, wind, hail, and theft. These policies also cover liability arising from injury to other persons or their property while on the insured’s premises. Home and farm accounted for $74,547 (33.1%) of direct premiums written by the Company on a consolidated basis during 2018.</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Crop</w:t>
      </w:r>
    </w:p>
    <w:p>
      <w:pPr>
        <w:spacing w:after="0" w:line="19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Crop hail and multi-peril crop insurance policies are also offered by Nodak Insurance, American West, and Battle Creek. Multi-peril crop insurance is a federal program that protects against crop yield losses from all types of natural causes including drought, excessive moisture, freeze, and disease. Crop hail insurance is a private insurance product designed to provide protection against losses to farmer’s crops due primarily to hail damage. Collectively, crop insurance accounted for $47,504 (21.1%) of direct premiums written by the Company on a consolidated basis during 2018.</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Other</w:t>
      </w:r>
    </w:p>
    <w:p>
      <w:pPr>
        <w:spacing w:after="0" w:line="18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addition to the products described above, Nodak Insurance and American West write commercial multi-peril policies and excess liability coverages. Collectively, these other coverages accounted for $8,711 (3.8%) of the direct premiums written by the Company on a consolidated basis during 2018. This segment also includes an assumed reinsurance block of business, with $4,135 of assumed premiums written on a consolidated basis during 2018.</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Crop Insurance</w:t>
      </w:r>
    </w:p>
    <w:p>
      <w:pPr>
        <w:spacing w:after="0" w:line="18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Crop insurance is purchased by agricultural producers, including farmers, ranchers, and others to protect themselves against either the loss of their crops (yield) due to natural disasters, such as hail, drought, and floods, or the loss of revenue due to declines in the prices of agricultural products. The two general categories of crop insurance are generally referred to as “crop-yield insurance” and “crop-revenue insurance”. Crop-yield insurance protects against a reduction in the yield per acre from the historical average yield in a specified area, such as a county or National Oceanic and Atmospheric Administration weather grid, while crop-revenue insurance provides protection against declines in the price of the particular crop. Most of the multi-peril crop insurance policies written today combine both yield and revenue protection, with the revenue component providing the policyholder with the option to calculate price-based losses on the higher of the prevailing price when the crop is planted or the price at harvest.</w:t>
      </w:r>
    </w:p>
    <w:p>
      <w:pPr>
        <w:spacing w:after="0" w:line="15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Beginning in 1980, the U.S. Congress expanded the federal crop insurance program to cover more crops and regions of the country. More importantly, Congress permitted private sector insurers to market and administer federal insurance policies in exchange for an opportunity to earn a profit while bearing a portion of the insurance risk. Congress also authorized a premium subsidy for the farmers and ranchers. As a result, there was a rapid increase in the acres insured from approximately 26 million acres in 1980 to 100 million acres in 1990. The Federal Crop Insurance Reform Act of 1994 made participation in the crop insurance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program mandatory for farmers to be eligible to participate in other government support programs and provided a minimum level of free catastrophic risk coverage for insured and noninsured crops.</w:t>
      </w:r>
    </w:p>
    <w:p>
      <w:pPr>
        <w:spacing w:after="0" w:line="130"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In 2018, the federal crop insurance program covered approximately 23.6 million acres in North Dakota, 18.3 million acres in South Dakota, 17.6 million acres in Minnesota, and 335.4 million acres nationwide. In 2018, Nodak Insurance multi-peril crop insurance policies covered approximately 1.8 million acres in North Dakota. During the same period, American West crop insurance policies covered approximately 13,000 acres in South Dakota and approximately 139,000 acres in Minnesota. Nodak Insurance, through its Battle Creek affiliate, writes a very small amount of multi-peril crop insurance in Nebraska.</w:t>
      </w:r>
    </w:p>
    <w:p>
      <w:pPr>
        <w:spacing w:after="0" w:line="16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American Farm Bureau Insurance Services (“AFBIS”) underwrites all of the multi-peril crop and crop hail insurance policies written by Nodak Insurance, American West, and Battle Creek, as well as several other state Farm Bureau-affiliated insurers. AFBIS also processes and administers all claims made by policyholders under such policies. We reimburse AFBIS for its actual loss adjustment expense with respect to the policies issued by us and pay AFBIS a percentage of the premiums we received with respect to such policies. Nodak Insurance is a shareholder of AFBIS, as is each of the other insurers for whom AFBIS provides such services. AFBIS targets a three percent return on capital and pays all remaining profits to Nodak Insurance and the other shareholders of AFBIS. Nodak Insurance did not receive any material distributions from AFBIS during the years ended December 31, 2016 through 2018.</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21 to the Consolidated Financial Statements for the Company’s segment disclosures.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marketing philosophy is to sell profitable business in our core states, using a focused, cost-effective distribution system. Nodak Insurance distributes its insurance products through exclusive agents in North Dakota, while American West, Battle Creek, Primero, and Direct Auto rely on independent producers. We view these independent producers as important partners because they are in a position to recommend either our insurance products or those of a competitor to their customers. We consider our relationships with these producers to be good.</w:t>
      </w:r>
    </w:p>
    <w:p>
      <w:pPr>
        <w:spacing w:after="0" w:line="14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review our producers with respect to both premium volume and profitability. Our exclusive agents in Nodak Insurance are hired and trained by our sales staff in North Dakota, while the independent producers in our other companies are appointed by the underwriting or marketing staff for each respective company. We hold regular training sessions when we introduce new products or product changes, or we identify specific topics that may help our producers more effectively market our products.</w:t>
      </w:r>
    </w:p>
    <w:p>
      <w:pPr>
        <w:spacing w:after="0" w:line="14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year ended December 31, 2018, no individual producer was responsible for more than 5% of the Company’s direct premiums written by our insurance companies. Direct Auto had six agencies generate more than 5% of their 2018 annual production.</w:t>
      </w:r>
    </w:p>
    <w:p>
      <w:pPr>
        <w:spacing w:after="0" w:line="13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Producers are compensated through a fixed base commission structure. Agents receive commission as a percentage of premiums (generally 5% to 40%, with a wide variation by product) as their primary compensation from us. The Risk Management Agency of the United States Department of Agriculture (“RMA”) establishes the maximum commission that can be paid to producers with respect to crop insurance policies. Battle Creek and American West pay profit sharing commissions to their agencies based on various annual agency premium thresholds and the difference between the agency’s loss ratio and the loss ratio goal established by the insurance company. The commission is paid with respect to all property and casualty (non-crop) business earned within the calendar year. Nodak Insurance pays a profit sharing commission to its agents only with respect to farmowners business originated by such agents.</w:t>
      </w:r>
    </w:p>
    <w:p>
      <w:pPr>
        <w:spacing w:after="0" w:line="138"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Our marketing efforts are further supported by our claims philosophy, which is designed to provide prompt and efficient service and claims processing, resulting in a positive experience for producers and policyholders. We believe that these positive experiences result in higher policyholder retention and new business opportunities when communicated by producers and policyholders to potential customers. While we rely on our independent agents for distribution and customer support, underwriting and claim handling responsibilities are retained by us. Many of our agents have had direct relationships with us for a number of years.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Risk Assessment and Pricing</w:t>
      </w:r>
    </w:p>
    <w:p>
      <w:pPr>
        <w:spacing w:after="0" w:line="202"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Our underwriting philosophy is aimed at consistently generating profits through sound risk selection and pricing discipline. Through our management and underwriting staff, we regularly establish rates and rating classifications for our insureds based on loss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and loss adjustment expense (“LAE”) experience we have developed over the years. We have various rating classifications based on location, type of business, and other risk factors.</w:t>
      </w:r>
    </w:p>
    <w:p>
      <w:pPr>
        <w:spacing w:after="0" w:line="13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nature of our business requires that we remain sensitive to the marketplace and the pricing strategies of our competitors. Using the market information as our background, we normally set our prices based on our estimated future costs. From time to time, we may reduce our discounts or apply a premium surcharge to achieve an appropriate return. Pricing flexibility allows us to provide a fair rate commensurate with the assumed risk. If our pricing strategy cannot yield sufficient premium to cover our costs on a particular type of risk, we may determine not to underwrite that risk. It is our philosophy not to sacrifice profitability for premium growth.</w:t>
      </w:r>
    </w:p>
    <w:p>
      <w:pPr>
        <w:spacing w:after="0" w:line="16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competitive strategy in underwriting is to provide very high quality service to our producers and insureds by responding quickly and effectively to information requests and policy submissions. We maintain information on all aspects of our business, which is regularly reviewed to determine both agency and policyholder profitability. Specific information regarding individual insureds is monitored to assist us in making decisions about policy renewals or modifications.</w:t>
      </w:r>
    </w:p>
    <w:p>
      <w:pPr>
        <w:spacing w:after="0" w:line="14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underwriting staff includes 22 employees with over 360 combined years of experience in property and casualty underwriting. They are located primarily at our home office in Fargo, North Dakota, as well as our office in Battle Creek, Nebraska, and underwrite coverage issued by Nodak Insurance, American West and Battle Creek. Primero employs an additional 3 underwriters and Direct Auto employs 4 underwriters in connection with their non-standard auto insurance business. All of our crop insurance is underwritten by AFBIS, as described in an earlier section.</w:t>
      </w:r>
    </w:p>
    <w:p>
      <w:pPr>
        <w:spacing w:after="0" w:line="13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strive to be disciplined in our pricing by pursuing rate increases to maintain or improve our underwriting profitability while still being able to attract and retain customers. We utilize pricing reviews that we believe will help us price risks more accurately, improve account retention, and support the production of profitable new business. Our pricing reviews involve evaluating our claims experience and loss trends on a periodic basis to identify changes in the frequency and severity of our claims. We then consider whether our premium rates are adequate relative to the level of underwriting risk as well as the sufficiency of our underwriting guidelines.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and Litigation Management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claims management philosophy involves:</w:t>
      </w:r>
    </w:p>
    <w:p>
      <w:pPr>
        <w:spacing w:after="0" w:line="19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aggressive closure of claims through prompt and thorough investigation of the facts related to the claim;</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equitable settlement of meritorious claims;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vigorous defense of unfounded claims as to coverage, liability, or the amount claimed.</w:t>
      </w:r>
    </w:p>
    <w:p>
      <w:pPr>
        <w:spacing w:after="0" w:line="198"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Our claims team supports our underwriting strategy by working to provide a timely, good faith claims handling response to our policyholders. Claims excellence is achieved by timely investigation and handling of claims, settlement of meritorious claims for equitable amounts, maintenance of adequate case reserves, and control of claims loss adjustment expenses.</w:t>
      </w:r>
    </w:p>
    <w:p>
      <w:pPr>
        <w:spacing w:after="0" w:line="14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Claims on insurance policies are received directly from the insured or through our producers. Our claims department supports our producer relationship strategy by working to provide a consistently responsive level of claim service to our policyholders.</w:t>
      </w:r>
    </w:p>
    <w:p>
      <w:pPr>
        <w:spacing w:after="0" w:line="13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claims staff is comprised of 45 employees with over 760 years of combined experience in processing property and casualty insurance claims. They are located primarily at our home office in Fargo, North Dakota, but also throughout our coverage areas of North Dakota, South Dakota, and Nebraska. Primero also employs 12 claims personnel and Direct Auto employs 29 claims personnel in connection with the non-standard auto insurance business. All claims made under our multi-peril crop and crop hail insurance policies are processed and administered by AFBIS.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89"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Our insurance operations rely on software to provide the information management systems platform that runs our policy underwriting, policy issuance, claims processing, and accounting functions. These systems permit us to integrate the accounting and reporting functions of all of our insurance operations. We utilize offsite servers for our information systems with daily backup of data. We have adopted a disaster recovery plan, and other risk mitigation practices, tailored to meet our needs and geographic location. We seek to invest continuously in new technology to maximize our business opportunities while protecting our interests and those of our clients.</w:t>
      </w: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Company is subject to significant risks, in addition to the normal risks of a property and casualty insurance company. These risks are discussed in more detail in the “Item 1A. Risk Factors” section of this Report.</w:t>
      </w:r>
    </w:p>
    <w:p>
      <w:pPr>
        <w:spacing w:after="0" w:line="14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consider an enterprise-wide risk management program to be an integral part of managing our business and a key element in our approach to corporate governance. Our Enterprise Risk Management Committee (the “ERMC”) is responsible for the alignment of operational risk management strategies as the coordination point for enterprise-level direction setting with regard to risk management issues. The ERMC regularly monitors risk reports and metrics regarding a variety of continuing and emerging risks that may adversely affect the Company, its policyholders, or other stakeholders. The Audit Committee of the Board of Directors oversees risk management and regularly receives reports from the ERMC.</w:t>
      </w:r>
    </w:p>
    <w:p>
      <w:pPr>
        <w:spacing w:after="0" w:line="132"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Cybersecurity risk is an important and evolving focus for the Company. The increased sophistication and activities of unauthorized parties attempting to access our systems is an ever-present risk. Cybersecurity risks may also arise from human error, fraud, or malice on the part of employees or third parties who have authorized access to the Company’s systems or information.</w:t>
      </w:r>
    </w:p>
    <w:p>
      <w:pPr>
        <w:spacing w:after="0" w:line="14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Our cybersecurity strategy employs a variety of tactics to monitor and assess threat levels, remediate our exposures, and enhance our systems and applications security. The Company collaborates with a third party cybersecurity advisor to provide periodic assessments and recommendations. The Company also requires monthly online security training to be completed by employees.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Ceded</w:t>
      </w:r>
    </w:p>
    <w:p>
      <w:pPr>
        <w:spacing w:after="0" w:line="18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reinsure a portion of our exposure and pay to the reinsurers a portion of the premiums received on all policies reinsured. Insurance policies written by us are reinsured with other insurance companies principally to:</w:t>
      </w:r>
    </w:p>
    <w:p>
      <w:pPr>
        <w:spacing w:after="0" w:line="143"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our net liability exposure on individual risks;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stabilize our underwriting results;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underwriting capacity.</w:t>
      </w:r>
    </w:p>
    <w:p>
      <w:pPr>
        <w:spacing w:after="0" w:line="198"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Reinsurance does not legally discharge us, as the insurance company issuing the policy, from primary liability for the full amount due under the reinsured policies, even though the assuming reinsurer is obligated to reimburse the company issuing the policy to the extent of the coverage ceded.</w:t>
      </w:r>
    </w:p>
    <w:p>
      <w:pPr>
        <w:spacing w:after="0" w:line="83"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 primary factor in the selection of reinsurers from whom we purchase reinsurance is their financial strength. Our reinsurance arrangements are generally renegotiated annually or bi-annually. For the year ended December 31, 2018, NI Holdings ceded to reinsurers $30,394 of written premiums, compared to $16,665 of written premiums for the year ended December 31, 2017 and $30,748 of written premiums for the year ended December 31, 2016. The higher levels of premiums ceded in 2018 and 2016 were primarily due to additional sharing of multi-peril crop insurance premiums with the federal government as a result of the excellent loss experience in those years.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chart below illustrates the reinsurance coverage under our excess of loss treaty for individual casualty risks during the years 2016 through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Retained by</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Ceded Under</w:t>
            </w:r>
          </w:p>
        </w:tc>
      </w:tr>
      <w:tr>
        <w:trPr>
          <w:trHeight w:val="268"/>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Losses Incurred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Nodak Insurance</w:t>
            </w:r>
          </w:p>
        </w:tc>
        <w:tc>
          <w:tcPr>
            <w:tcW w:w="100" w:type="dxa"/>
            <w:vAlign w:val="bottom"/>
          </w:tcPr>
          <w:p>
            <w:pPr>
              <w:spacing w:after="0"/>
              <w:rPr>
                <w:sz w:val="23"/>
                <w:szCs w:val="23"/>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Reinsurance Treaty</w:t>
            </w:r>
          </w:p>
        </w:tc>
      </w:tr>
      <w:tr>
        <w:trPr>
          <w:trHeight w:val="203"/>
        </w:trPr>
        <w:tc>
          <w:tcPr>
            <w:tcW w:w="8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Up to $600</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$11,400 in excess of $600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chart below illustrates the reinsurance coverage under our excess of loss treaty for individual property risks during the years 2016 through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Retained by</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Ceded Under</w:t>
            </w:r>
          </w:p>
        </w:tc>
      </w:tr>
      <w:tr>
        <w:trPr>
          <w:trHeight w:val="248"/>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Losses Incurred</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Nodak Insurance</w:t>
            </w: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Reinsurance Treaty</w:t>
            </w:r>
          </w:p>
        </w:tc>
      </w:tr>
      <w:tr>
        <w:trPr>
          <w:trHeight w:val="210"/>
        </w:trPr>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to $500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$19,500 in excess of $500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a group, during the years ended December 31, 2018 and 2017, Nodak Insurance, American West, and Battle Creek retained $10,000 of weather-related losses from catastrophic events and had reinsurance under various reinsurance agreements up to $74,600 in excess of the $10,000 retained risk. For 2019, the catastrophe retention amount remains at $10,000 while the catastrophic reinsurance increased to $78,600. Prior to January 1, 2017, the group collectively retained the first $5,000 of weather related losses.</w:t>
      </w:r>
    </w:p>
    <w:p>
      <w:pPr>
        <w:spacing w:after="0" w:line="1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insolvency or inability of any reinsurer to meet its obligations to us could have a material adverse effect on our results of operations or financial condition. NI Holdings’ reinsurance providers, the majority of whom are longstanding partners that understand our business, are all carefully selected with the help of our reinsurance brokers. We monitor the solvency of reinsurers through regular review of their financial statements and their A.M. Best ratings. All of our current reinsurance partners have at least an “A-” financial strength rating from A.M. Best. We dropped one reinsurance partner, Maiden Reinsurance North America, from our program during 2018, due to a ratings decrease by A.M. Best to “B++”. According to A.M. Best, companies with a financial strength rating of “A-” or better “have an excellent ability to meet their ongoing obligations to policyholders.” We have experienced no significant difficulties collecting amounts due from reinsurers.</w:t>
      </w:r>
    </w:p>
    <w:p>
      <w:pPr>
        <w:spacing w:after="0" w:line="162"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Reinsurance for multi-peril crop insurance is provided by the Federal Crop Insurance Corporation (“FCIC”). Insurers can assign each policy issued to either its “assigned risk” or “commercial” fund. The FCIC retains an increasing percentage of underwriting losses at successively higher loss ratios while ceding an increasing percentage of the premium at lower loss ratios. The commercial fund permits insurers to retain more of the underwriting gains and losses, while the assigned risk fund cedes up to 80% of the risk to the FCIC. The exact treatment of the commercial fund varies by state groups. In Group 1, which includes Illinois, Indiana, Iowa, Minnesota and Nebraska, the FCIC retains a larger share of the underwriting gains and a smaller portion of the underwriting losses when compared to all other states. Aggregate stop loss reinsurance is purchased for crop hail and multi-peril insurance. During 2018, we purchased fifty percentage points of coverage above a 100% direct loss ratio for crop hail and we purchased forty-five percentage points of coverage for multi-peril crop above a 105% loss ratio after the FCIC reinsurance protection. This represents the worst loss exposure given the FCIC formula, thereby capping the multi-peril crop loss ratio at 105%.</w:t>
      </w:r>
    </w:p>
    <w:p>
      <w:pPr>
        <w:spacing w:after="0" w:line="14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the largest amounts of loss and LAE recoverable by the Company from reinsurers as of December 31, 2018 and the current A.M. Best rating of each as of February 12,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Loss &amp; LAE</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Recoverable On</w:t>
            </w:r>
          </w:p>
        </w:tc>
        <w:tc>
          <w:tcPr>
            <w:tcW w:w="16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Percentage of</w:t>
            </w:r>
          </w:p>
        </w:tc>
        <w:tc>
          <w:tcPr>
            <w:tcW w:w="1360" w:type="dxa"/>
            <w:vAlign w:val="bottom"/>
          </w:tcPr>
          <w:p>
            <w:pPr>
              <w:spacing w:after="0"/>
              <w:rPr>
                <w:sz w:val="18"/>
                <w:szCs w:val="18"/>
                <w:color w:val="auto"/>
              </w:rPr>
            </w:pPr>
          </w:p>
        </w:tc>
      </w:t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Reinsurance Company</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Unpaid Claims</w:t>
            </w:r>
          </w:p>
        </w:tc>
        <w:tc>
          <w:tcPr>
            <w:tcW w:w="16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Total Recoverable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A.M. Best Rating</w:t>
            </w:r>
          </w:p>
        </w:tc>
      </w:tr>
      <w:tr>
        <w:trPr>
          <w:trHeight w:val="210"/>
        </w:trPr>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American Agricultural Insurance Company</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Aspen Insurance UK Limited</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Employers Mutual Casualty Company</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Everest Reinsurance Company</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A+</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Crop Insurance Corporation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NR</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General Reinsurance Company</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A++</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Hannover Rueck SE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Maiden Reinsurance North America</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B++</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Munich Reinsurance of America</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Partner Reinsurance Company Ltd</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QBE Reinsurance Corporation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Scor Reinsurance Company</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A+</w:t>
            </w:r>
          </w:p>
        </w:tc>
      </w:tr>
      <w:tr>
        <w:trPr>
          <w:trHeight w:val="23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Toa Reinsurance Company of America</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223"/>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Total reinsurance recoverables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w:t>
            </w:r>
          </w:p>
        </w:tc>
        <w:tc>
          <w:tcPr>
            <w:tcW w:w="2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Assumed</w:t>
      </w:r>
    </w:p>
    <w:p>
      <w:pPr>
        <w:spacing w:after="0" w:line="18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Nodak Insurance assumes 100% of the risk under policies written by Battle Creek. In addition, Nodak Insurance is required by statute to participate in certain residual market pools. This participation requires Nodak Insurance to assume business for property exposures that are not insured in the voluntary marketplace. Nodak Insurance participates in these residual markets pro rata on a market share basis.</w:t>
      </w:r>
    </w:p>
    <w:p>
      <w:pPr>
        <w:spacing w:after="0" w:line="14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Additionally, through American Agriculture Insurance Company (affiliated with the American Farm Bureau Federation), Nodak Insurance participates in both domestic and international property insurance pools. Annually, Nodak Insurance reviews the available pools and selects the pools in which it will participate. No multi-peril crop or crop hail insurance policies are included in such pools. Participation in such pools provides Nodak Insurance with the opportunity to diversify its risk while increasing its annual net premiums earned. In 2018, 2017 and 2016, Nodak Insurance assumed $3,945, $3,959, and $3,634, respectively, of written premiums from such pools.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Beginning on January 1, 2016, Nodak Insurance assumed 100% of the crop hail premiums and losses from American West and Rural Mutual Insurance Company (a company affiliated with the Wisconsin Farm Bureau Federation). The business was then pooled annually with Nodak Insurance’s crop hail business and proportionately retroceded back to each participant. This crop hail pool allows Nodak Insurance and American West to diversify their crop insurance risk across an additional geographic region.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Unpaid Loss and Loss Adjustment Expense</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NI Holdings is required by applicable insurance laws and regulations to maintain reserves for unpaid losses and LAE. Our liability for unpaid losses and LAE consists of (1) case reserves, which are reserves for claims that have been reported to us, and (2) reserves for claims that have been incurred but not yet been reported and for the future development of case reserves (“IBNR”). The laws and regulations require that provision be made for the ultimate cost of those claims without regard to how long it takes to settle them or the time value of money. The determination of reserves involves actuarial and statistical projections of what we expect to be the cost of the ultimate settlement and administration of such claims. The liability for unpaid losses and LAE is set based on facts and circumstances then known, estimates of future trends in claims severity, and other variable factors such as inflation and changing judicial theories of liability.</w:t>
      </w:r>
    </w:p>
    <w:p>
      <w:pPr>
        <w:spacing w:after="0" w:line="14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Estimating the ultimate liability for unpaid losses and LAE is an inherently uncertain process. Therefore, the liability for unpaid losses and LAE does not represent an exact calculation of that liability. Our reserving policy recognizes this uncertainty by maintaining reserves at a level providing for the possibility of adverse development relative to the estimation process.</w:t>
      </w:r>
    </w:p>
    <w:p>
      <w:pPr>
        <w:spacing w:after="0" w:line="15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When a claim is reported to us, our claims personnel establish a case reserve for the estimated amount of the ultimate payment to the extent it can be determined or estimated. This estimate reflects an informed judgment based upon general insurance reserving practices and on the experience and knowledge of our claims staff. In estimating the appropriate reserve, our claims staff considers the nature and value of the specific claim, the severity of injury or damage, and the policy provisions relating to the type of loss, to the extent determinable at the time. Case reserves are adjusted by our claims staff as more information becomes available. It is our policy to settle each claim as expeditiously as possible.</w:t>
      </w:r>
    </w:p>
    <w:p>
      <w:pPr>
        <w:spacing w:after="0" w:line="13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maintain IBNR reserves to provide for already incurred claims that have not yet been reported and development on reported claims. The IBNR reserve is determined by estimating our ultimate net liability for both reported and IBNR claims, and then subtracting the case reserves and paid losses and LAE for reported claims.</w:t>
      </w:r>
    </w:p>
    <w:p>
      <w:pPr>
        <w:spacing w:after="0" w:line="14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Each quarter, NI Holdings computes its estimated ultimate liability using its methodologies and procedures. However, because the establishment of loss reserves is an inherently uncertain process, we cannot assure you that ultimate losses will not exceed the established loss reserves. Adjustments in aggregate reserves, if any, are reflected in the operating results of the period during which such adjustments are made.</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provides a reconciliation of beginning and ending unpaid losses and LAE reserve balances of NI Holdings for the years ended December 31, 2018, 2017 and 2016.</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year:</w:t>
      </w:r>
    </w:p>
    <w:p>
      <w:pPr>
        <w:spacing w:after="0" w:line="23" w:lineRule="exact"/>
        <w:rPr>
          <w:sz w:val="20"/>
          <w:szCs w:val="20"/>
          <w:color w:val="auto"/>
        </w:rPr>
      </w:pPr>
    </w:p>
    <w:p>
      <w:pPr>
        <w:ind w:left="140" w:right="2200"/>
        <w:spacing w:after="0" w:line="250"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balance at beginning of year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425"/>
        </w:trPr>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45,890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59,632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45,342</w:t>
            </w:r>
          </w:p>
        </w:tc>
      </w:tr>
      <w:tr>
        <w:trPr>
          <w:trHeight w:val="230"/>
        </w:trPr>
        <w:tc>
          <w:tcPr>
            <w:tcW w:w="2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4,128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5,109</w:t>
            </w:r>
          </w:p>
        </w:tc>
      </w:t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-582295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-299720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380" w:space="720"/>
            <w:col w:w="432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Acquired unpaid losses and loss adjustment expenses related to:</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Prior years</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23,172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acquired</w:t>
            </w:r>
          </w:p>
        </w:tc>
        <w:tc>
          <w:tcPr>
            <w:tcW w:w="1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Current year</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119,677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132,812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123,264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Prior years</w:t>
            </w: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(10,101)</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incurred</w:t>
            </w:r>
          </w:p>
        </w:tc>
        <w:tc>
          <w:tcPr>
            <w:tcW w:w="12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119,088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122,711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118,508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Paid related to:</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104,769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Prior years</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24,753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28,620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15,529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1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116,928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Liability for unpaid losses and loss adjustment expenses</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87,121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45,890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Reinsurance recoverables on losses</w:t>
            </w: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4,128</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Net balance at end of year</w:t>
            </w:r>
          </w:p>
        </w:tc>
        <w:tc>
          <w:tcPr>
            <w:tcW w:w="1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estimation process for determining the liability for unpaid losses and LAE inherently results in adjustments each year for claims incurred (but not paid) in preceding years. Negative amounts reported for claims incurred related to prior years are a result of claims being settled for amounts less than originally estimated (favorable development). Positive amounts reported for claims incurred related to prior years are a result of claims being settled for amounts greater than originally estimated (unfavorable or adverse development).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6" w:name="page17"/>
    <w:bookmarkEnd w:id="16"/>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following table shows the development of NI Holding’s liability for unpaid loss and LAE from 2008 through 2018. The top line of the table shows the liabilities at the balance sheet date, including losses incurred but not yet reported. The upper portion of the table shows the cumulative amounts subsequently paid as of successive years with respect to the liability. The lower portion of the table shows the re-estimated amount of the previously recorded liability based on experience as of the end of each succeeding year. The estimates fluctuate as more information becomes known about the frequency and severity of claims for individual years. The redundancy (deficiency) exists when the re-estimated liability for each reporting period is less (greater) than the prior liability estimate. The “cumulative redundancy (deficiency)” depicted in the table, for any particular calendar year, represents the aggregate change in the initial estimates over all subsequent calendar years.</w:t>
      </w:r>
    </w:p>
    <w:p>
      <w:pPr>
        <w:spacing w:after="0" w:line="13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Gross deficiencies and redundancies may be significantly more or less than net deficiencies and redundancies due to the nature and extent of applicable reinsurance.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ind w:left="180"/>
              <w:spacing w:after="0"/>
              <w:rPr>
                <w:sz w:val="20"/>
                <w:szCs w:val="20"/>
                <w:color w:val="auto"/>
              </w:rPr>
            </w:pPr>
            <w:r>
              <w:rPr>
                <w:rFonts w:ascii="Arial" w:cs="Arial" w:eastAsia="Arial" w:hAnsi="Arial"/>
                <w:sz w:val="18"/>
                <w:szCs w:val="18"/>
                <w:b w:val="1"/>
                <w:bCs w:val="1"/>
                <w:color w:val="auto"/>
              </w:rPr>
              <w:t>As of December 31, 2018</w:t>
            </w: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Liability for unpaid loss and</w:t>
            </w: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LAE, net of reinsurance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recoverables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$ 29,698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$ 30,908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$ 28,266</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$ 23,302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$ 25,466</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$ 42,058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$ 44,842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$ 40,233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$ 52,440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$ 41,762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$ 84,889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20"/>
              <w:spacing w:after="0" w:line="201" w:lineRule="exact"/>
              <w:rPr>
                <w:sz w:val="20"/>
                <w:szCs w:val="20"/>
                <w:color w:val="auto"/>
              </w:rPr>
            </w:pPr>
            <w:r>
              <w:rPr>
                <w:rFonts w:ascii="Arial" w:cs="Arial" w:eastAsia="Arial" w:hAnsi="Arial"/>
                <w:sz w:val="18"/>
                <w:szCs w:val="18"/>
                <w:color w:val="auto"/>
              </w:rPr>
              <w:t>Cumulative amount of liability</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paid through</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One year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12,247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11,691</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16,249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18,166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28,426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22,725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Two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17,278</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16,323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12,362</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9,053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8,654</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20,899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20,802</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20,612</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33,315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Three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16,408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15,104</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21,224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23,204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Four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17,619</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17,552</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15,536</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13,195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11,631</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22,993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25,192</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Five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17,838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16,662</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13,092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12,295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23,567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Six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17,955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18,682</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16,627</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13,311</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12,668</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Seven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18,405</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16,629</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Eight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18,139</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18,324</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16,726</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Nine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18,405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Ten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17,968</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estimated after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One year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22,989</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26,363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24,049</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18,691</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22,337</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34,074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35,926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34,880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42,145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41,686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Two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23,492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19,815</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20,144</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18,788</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30,380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33,058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28,431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42,813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Three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21,931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20,763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20,518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17,678</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16,620</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28,871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28,526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29,243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21,516</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19,356</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16,294</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15,459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25,852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28,933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Five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20,031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20,724</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18,403</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15,184</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13,864</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26,120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Six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19,836</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17,841</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14,443</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14,014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Seven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19,251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19,306</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17,429</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14,279</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Eight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18,696</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19,011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17,274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Nine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18,485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18,892</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Ten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20"/>
              <w:spacing w:after="0" w:line="201" w:lineRule="exact"/>
              <w:rPr>
                <w:sz w:val="20"/>
                <w:szCs w:val="20"/>
                <w:color w:val="auto"/>
              </w:rPr>
            </w:pPr>
            <w:r>
              <w:rPr>
                <w:rFonts w:ascii="Arial" w:cs="Arial" w:eastAsia="Arial" w:hAnsi="Arial"/>
                <w:sz w:val="18"/>
                <w:szCs w:val="18"/>
                <w:color w:val="auto"/>
              </w:rPr>
              <w:t>Cumulative total redundancy</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(deficiency)</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liability – end of year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53,770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51,413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39,332</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38,852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38,007</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46,900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50,518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45,342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59,632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45,890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Reinsurance recoverable</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24,072</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20,505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11,066</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15,550</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12,541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4,842</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5,676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5,109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7,192</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4,128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liability – end of year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30,908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28,266</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23,302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25,466</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42,058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44,842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40,233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52,440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41,762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Gross re-estimated liability –</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latest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31,362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26,293</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29,266</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23,793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29,602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34,031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33,417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51,288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45,732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20"/>
              <w:spacing w:after="0" w:line="201" w:lineRule="exact"/>
              <w:rPr>
                <w:sz w:val="20"/>
                <w:szCs w:val="20"/>
                <w:color w:val="auto"/>
              </w:rPr>
            </w:pPr>
            <w:r>
              <w:rPr>
                <w:rFonts w:ascii="Arial" w:cs="Arial" w:eastAsia="Arial" w:hAnsi="Arial"/>
                <w:sz w:val="18"/>
                <w:szCs w:val="18"/>
                <w:color w:val="auto"/>
              </w:rPr>
              <w:t>Re-estimated reinsurance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320"/>
              <w:spacing w:after="0"/>
              <w:rPr>
                <w:sz w:val="20"/>
                <w:szCs w:val="20"/>
                <w:color w:val="auto"/>
              </w:rPr>
            </w:pPr>
            <w:r>
              <w:rPr>
                <w:rFonts w:ascii="Arial" w:cs="Arial" w:eastAsia="Arial" w:hAnsi="Arial"/>
                <w:sz w:val="18"/>
                <w:szCs w:val="18"/>
                <w:color w:val="auto"/>
              </w:rPr>
              <w:t>recoverables – latest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16,114</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12,470</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9,019</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14,987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9,779</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3,482</w:t>
            </w: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5,098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4,174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8,475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4,046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Net re-estimated liability -</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latest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18,386</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18,892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17,274</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14,279</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14,014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26,120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28,933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29,243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42,813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41,686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cumulative redundancy</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(deficiency)</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20,051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13,039</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9,586</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14,214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17,298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NI Holdings’ investments in fixed income and equity securities are classified as available for sale and are carried at fair value with unrealized gains and losses reflected as a component of equity, net of income taxes. The goal of the Company’s investment activities is to complement and support its overall mission. As such, the investment portfolio is structured to maximize after-tax investment income and price appreciation while maintaining the portfolio’s target risk profile.</w:t>
      </w:r>
    </w:p>
    <w:p>
      <w:pPr>
        <w:spacing w:after="0" w:line="16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Company’s overall investment objectives are (i) growth and preservation of capital, (ii) achieving favorable returns on invested assets through investment in high quality income producing assets, and (iii) assuring proper levels of liquidity to fund expected operating needs. See “Item 7A. Quantitative and Qualitative Information about Market Risk” for discussion about specific risks concerning investments.</w:t>
      </w:r>
    </w:p>
    <w:p>
      <w:pPr>
        <w:spacing w:after="0" w:line="14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 addition to any investments prohibited by the insurance laws and regulations of North Dakota and any other applicable states, NI Holdings’ investment policies prohibit the following investments and investing activities:</w:t>
      </w:r>
    </w:p>
    <w:p>
      <w:pPr>
        <w:spacing w:after="0" w:line="130"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commodities and futures contracts;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options (except covered call options);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non-investment grade debt obligations (determined at time of purchase);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only, principal only, and residual tranche collateralized mortgage obligations;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 placements;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trading;</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partnerships, other than publicly traded master limited partnerships;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convertible securities;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venture capital investments;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real estate properties;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securities lending;</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portfolio leveraging (i.e., margin transactions);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 selling.</w:t>
      </w:r>
    </w:p>
    <w:p>
      <w:pPr>
        <w:spacing w:after="0" w:line="198"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The Executive Committee of NI Holdings’ Board of Directors approves the Company’s investment policy and reviews it periodically. The investment portfolio is managed by Conning, Inc., Disciplined Growth Investors, and CIBC Personal Wealth Management.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NI Holdings’ investments.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2018</w:t>
            </w: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4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Cost or</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Cost or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U.S. Government and agencies</w:t>
            </w:r>
          </w:p>
        </w:tc>
        <w:tc>
          <w:tcPr>
            <w:tcW w:w="14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19,183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19,208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9,531</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9,649</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52,782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52,698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82,595</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Corporate securities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95,290</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94,142</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88,474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89,451</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50,283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28,524</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19,520</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19,315</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11,170</w:t>
            </w:r>
          </w:p>
        </w:tc>
        <w:tc>
          <w:tcPr>
            <w:tcW w:w="80" w:type="dxa"/>
            <w:vAlign w:val="bottom"/>
          </w:tcPr>
          <w:p>
            <w:pPr>
              <w:spacing w:after="0"/>
              <w:rPr>
                <w:sz w:val="18"/>
                <w:szCs w:val="18"/>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19,617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19,323</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15,369</w:t>
            </w:r>
          </w:p>
        </w:tc>
        <w:tc>
          <w:tcPr>
            <w:tcW w:w="80" w:type="dxa"/>
            <w:vAlign w:val="bottom"/>
            <w:shd w:val="clear" w:color="auto" w:fill="CCEEFF"/>
          </w:tcPr>
          <w:p>
            <w:pPr>
              <w:spacing w:after="0"/>
              <w:rPr>
                <w:sz w:val="19"/>
                <w:szCs w:val="19"/>
                <w:color w:val="auto"/>
              </w:rPr>
            </w:pPr>
          </w:p>
        </w:tc>
      </w:tr>
      <w:tr>
        <w:trPr>
          <w:trHeight w:val="210"/>
        </w:trPr>
        <w:tc>
          <w:tcPr>
            <w:tcW w:w="4740" w:type="dxa"/>
            <w:vAlign w:val="bottom"/>
          </w:tcPr>
          <w:p>
            <w:pPr>
              <w:ind w:left="260"/>
              <w:spacing w:after="0"/>
              <w:rPr>
                <w:sz w:val="20"/>
                <w:szCs w:val="20"/>
                <w:color w:val="auto"/>
              </w:rPr>
            </w:pPr>
            <w:r>
              <w:rPr>
                <w:rFonts w:ascii="Arial" w:cs="Arial" w:eastAsia="Arial" w:hAnsi="Arial"/>
                <w:sz w:val="18"/>
                <w:szCs w:val="18"/>
                <w:color w:val="auto"/>
              </w:rPr>
              <w:t>Total fixed income securities</w:t>
            </w:r>
          </w:p>
        </w:tc>
        <w:tc>
          <w:tcPr>
            <w:tcW w:w="1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257,294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38,139</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48,498</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47,561</w:t>
            </w:r>
          </w:p>
        </w:tc>
        <w:tc>
          <w:tcPr>
            <w:tcW w:w="80" w:type="dxa"/>
            <w:vAlign w:val="bottom"/>
            <w:shd w:val="clear" w:color="auto" w:fill="CCEEFF"/>
          </w:tcPr>
          <w:p>
            <w:pPr>
              <w:spacing w:after="0"/>
              <w:rPr>
                <w:sz w:val="19"/>
                <w:szCs w:val="19"/>
                <w:color w:val="auto"/>
              </w:rPr>
            </w:pPr>
          </w:p>
        </w:tc>
      </w:tr>
      <w:tr>
        <w:trPr>
          <w:trHeight w:val="223"/>
        </w:trPr>
        <w:tc>
          <w:tcPr>
            <w:tcW w:w="4740" w:type="dxa"/>
            <w:vAlign w:val="bottom"/>
          </w:tcPr>
          <w:p>
            <w:pPr>
              <w:ind w:left="20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295,433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303,467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264,006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8" w:name="page19"/>
    <w:bookmarkEnd w:id="1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as of December 31, 2018. Actual maturities could differ from contractual maturities because issuers of the securities may have the right to call or prepay certain obligations, which may or may not include call or prepayment penalties.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7"/>
          </w:tcPr>
          <w:p>
            <w:pPr>
              <w:ind w:left="240"/>
              <w:spacing w:after="0"/>
              <w:rPr>
                <w:sz w:val="20"/>
                <w:szCs w:val="20"/>
                <w:color w:val="auto"/>
              </w:rPr>
            </w:pPr>
            <w:r>
              <w:rPr>
                <w:rFonts w:ascii="Arial" w:cs="Arial" w:eastAsia="Arial" w:hAnsi="Arial"/>
                <w:sz w:val="18"/>
                <w:szCs w:val="18"/>
                <w:b w:val="1"/>
                <w:bCs w:val="1"/>
                <w:color w:val="auto"/>
              </w:rPr>
              <w:t>December 31, 2018</w:t>
            </w:r>
          </w:p>
        </w:tc>
      </w:tr>
      <w:tr>
        <w:trPr>
          <w:trHeight w:val="223"/>
        </w:trPr>
        <w:tc>
          <w:tcPr>
            <w:tcW w:w="874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gridSpan w:val="2"/>
          </w:tcPr>
          <w:p>
            <w:pPr>
              <w:spacing w:after="0"/>
              <w:rPr>
                <w:sz w:val="19"/>
                <w:szCs w:val="19"/>
                <w:color w:val="auto"/>
              </w:rPr>
            </w:pP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One through five years</w:t>
            </w:r>
          </w:p>
        </w:tc>
        <w:tc>
          <w:tcPr>
            <w:tcW w:w="3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96,900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96,614</w:t>
            </w:r>
          </w:p>
        </w:tc>
        <w:tc>
          <w:tcPr>
            <w:tcW w:w="8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Five through ten years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51,351</w:t>
            </w:r>
          </w:p>
        </w:tc>
        <w:tc>
          <w:tcPr>
            <w:tcW w:w="8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Greater than ten years</w:t>
            </w:r>
          </w:p>
        </w:tc>
        <w:tc>
          <w:tcPr>
            <w:tcW w:w="3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5,620</w:t>
            </w:r>
          </w:p>
        </w:tc>
        <w:tc>
          <w:tcPr>
            <w:tcW w:w="80" w:type="dxa"/>
            <w:vAlign w:val="bottom"/>
          </w:tcPr>
          <w:p>
            <w:pPr>
              <w:spacing w:after="0"/>
              <w:rPr>
                <w:sz w:val="18"/>
                <w:szCs w:val="18"/>
                <w:color w:val="auto"/>
              </w:rPr>
            </w:pPr>
          </w:p>
        </w:tc>
      </w:tr>
      <w:tr>
        <w:trPr>
          <w:trHeight w:val="23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Mortgage/asset-backed securities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88,921</w:t>
            </w:r>
          </w:p>
        </w:tc>
        <w:tc>
          <w:tcPr>
            <w:tcW w:w="80" w:type="dxa"/>
            <w:vAlign w:val="bottom"/>
            <w:shd w:val="clear" w:color="auto" w:fill="CCEEFF"/>
          </w:tcPr>
          <w:p>
            <w:pPr>
              <w:spacing w:after="0"/>
              <w:rPr>
                <w:sz w:val="19"/>
                <w:szCs w:val="19"/>
                <w:color w:val="auto"/>
              </w:rPr>
            </w:pPr>
          </w:p>
        </w:tc>
      </w:tr>
      <w:tr>
        <w:trPr>
          <w:trHeight w:val="223"/>
        </w:trPr>
        <w:tc>
          <w:tcPr>
            <w:tcW w:w="8740" w:type="dxa"/>
            <w:vAlign w:val="bottom"/>
          </w:tcPr>
          <w:p>
            <w:pPr>
              <w:ind w:left="140"/>
              <w:spacing w:after="0"/>
              <w:rPr>
                <w:sz w:val="20"/>
                <w:szCs w:val="20"/>
                <w:color w:val="auto"/>
              </w:rPr>
            </w:pPr>
            <w:r>
              <w:rPr>
                <w:rFonts w:ascii="Arial" w:cs="Arial" w:eastAsia="Arial" w:hAnsi="Arial"/>
                <w:sz w:val="18"/>
                <w:szCs w:val="18"/>
                <w:color w:val="auto"/>
              </w:rPr>
              <w:t>Total debt securities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257,294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At December 31, 2018, the average maturity of NI Holdings’ fixed income investment portfolio, excluding the Direct Auto portfolio, was 4.38 years and the average duration was 3.46 years. As a result, the fair value of investments may fluctuate significantly in response to changes in interest rates. In addition, NI Holdings may experience investment losses to the extent our liquidity needs require the disposition of fixed income securities in unfavorable interest rate environments.</w:t>
      </w:r>
    </w:p>
    <w:p>
      <w:pPr>
        <w:spacing w:after="0" w:line="146"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NI Holdings uses quoted values and other data provided by independent pricing services as inputs in its process for determining fair values of its investments. The pricing services cover substantially all of the securities in the portfolio for which publicly quoted values are not available. The pricing services’ evaluations represent an exit price, which is a good faith opinion as to what a buyer in the marketplace would pay for a security in a current sale. The pricing is based on observable inputs either directly or indirectly, such as quoted prices in markets that are active, quoted prices for similar securities at the measurement date, or other inputs that are observable.</w:t>
      </w:r>
    </w:p>
    <w:p>
      <w:pPr>
        <w:spacing w:after="0" w:line="14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NI Holdings’ investment managers provide pricing information that they utilize, together with information obtained from independent pricing services, to determine the fair value of its fixed income securities. After a detailed review of the information obtained from the pricing services at December 31, 2018 and 2017, no adjustment was made to the values provided.</w:t>
      </w:r>
    </w:p>
    <w:p>
      <w:pPr>
        <w:spacing w:after="0" w:line="15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cash and invested assets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337,407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7,069</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Investment expenses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2,204</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Best Ratings</w:t>
      </w:r>
    </w:p>
    <w:p>
      <w:pPr>
        <w:spacing w:after="0" w:line="202"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A.M. Best rates insurance companies based on factors of concern to policyholders. The rating evaluates the claims paying ability of a company, and is not a recommendation of the merits of an investment in our common stock, or the common stock of any other insurer.</w:t>
      </w:r>
    </w:p>
    <w:p>
      <w:pPr>
        <w:spacing w:after="0" w:line="13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Nodak Insurance and Battle Creek are rated “A” by A.M. Best, which is the third highest out of 15 possible ratings. A.M. Best has affirmed a stable financial strength outlook to both Nodak Insurance and Battle Creek. American West is rated “A-” with a stable financial strength outlook. Primero and Direct Auto are unrated because the nature of the non-standard auto business is not ratings sensitive. In its evaluation of a company, A.M. Best’s Credit Rating Methodology (“BCRM”) builds on a focus of balance sheet strength, operating performance, the business profile, and enterprise risk management. More specifically, the components of the BCRM include:</w:t>
      </w:r>
    </w:p>
    <w:p>
      <w:pPr>
        <w:spacing w:after="0" w:line="14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profitability, leverage, and liquidity;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its book of business, product and geographic diversity, distribution channels, competition, and market position;</w:t>
      </w:r>
    </w:p>
    <w:p>
      <w:pPr>
        <w:sectPr>
          <w:pgSz w:w="11900" w:h="16838" w:orient="portrait"/>
          <w:cols w:equalWidth="0" w:num="1">
            <w:col w:w="11420"/>
          </w:cols>
          <w:pgMar w:left="240" w:top="233" w:right="23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and appropriateness of its reinsurance program;</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and management of its assets and liabilities;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its reserves and surplus;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capital structure;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pricing sophistication and data quality;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regulatory, event, and product risks;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experience and competence of its management;</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risk identification, management, appetite, and tolerances;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governance and risk culture.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unable to maintain at least an “A-” rating from A.M. Best, it may impair our ability to compete effectively.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property casualty and crop insurance markets are highly competitive. NI Holdings competes with stock insurance companies, mutual companies, and other underwriting organizations. Our largest competitors in North Dakota for private passenger auto and homeowners are Progressive Casualty Insurance Company, State Farm Mutual Insurance Company, American Family Insurance, QBE Insurance Group, Farmers Union Mutual Insurance, and Auto-Owners Insurance. In South Dakota and Nebraska, we have small market shares and our competitors are the large national and regional companies as well as Farmers Mutual of Nebraska. Based on 2017 data, Nodak Insurance is the second largest writer of farmowners insurance in North Dakota. Our largest competitors are Farmers Union Mutual Insurance, North Star Mutual Insurance Company, and American Family Insurance. In Nebraska and South Dakota, we have a small farmowners market share, which is dominated by the large national and regional carriers. Certain of these competitors have substantially greater financial, technical, and operating resources than we do and may be able to offer lower rates or higher commissions to their producers.</w:t>
      </w:r>
    </w:p>
    <w:p>
      <w:pPr>
        <w:spacing w:after="0" w:line="12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Total industry-reported premiums written for multi-peril crop insurance in 2018 was $875,821 in North Dakota and $575,723 in Minnesota. In North Dakota, our multi-peril crop insurance direct premiums written were $37,374, $39,270, and $38,708 for the years ended December 31, 2018, 2017 and 2016, respectively. In Minnesota, our multi-peril crop insurance direct premiums written were $3,980, $4,534, and $3,504 for the years ended December 31, 2018, 2017 and 2016, respectively. NI Holdings wrote less than $500 in multi-peril crop insurance in Nebraska and South Dakota for each of the last three years. The principal competitors in our markets for multi-peril crop insurance are QBE Insurance Group, Chubb Corporation, Rural Community Insurance Services, CGB Enterprises, and Great American Insurance Group.</w:t>
      </w:r>
    </w:p>
    <w:p>
      <w:pPr>
        <w:spacing w:after="0" w:line="151"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premium rates for multi-peril crop insurance are established by the RMA, and, accordingly, we compete with other insurance companies on factors such as agency relationships, claim service, and market reputation in the crop insurance market. We believe that our relationship with the North Dakota Farm Bureau and our leading market share are significant factors in maintaining our market share of the crop insurance business in North Dakota.</w:t>
      </w:r>
    </w:p>
    <w:p>
      <w:pPr>
        <w:spacing w:after="0" w:line="106"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With respect to writing property and casualty insurance, we compete on a number of factors such as pricing, agency relationships, policy support, claim service, and market reputation. Like other writers of property and casualty insurance, our policy terms vary from state to state based on the prescribed minimum liability limits in each state, as established by state law. We believe our company differentiates itself from many larger companies competing for this business by focusing on ease of doing business and providing excellent claims service with local, knowledgeable employees.</w:t>
      </w:r>
    </w:p>
    <w:p>
      <w:pPr>
        <w:spacing w:after="0" w:line="11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To compete successfully in the property and casualty insurance market, we rely on our ability to identify insureds that are most likely to produce an underwriting profit, operate with a disciplined underwriting approach, practice prudent claims management, reserve appropriately for unpaid claims, and provide quality service and competitive commissions to our independent and captive agents.</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are subject to extensive regulation, particularly at the state level. The method, extent, and substance of such regulation varies by state, but generally has its source in statutes and regulations that establish standards and requirements for conducting the business of insurance and that delegate regulatory authority to state insurance regulatory agencies. In general, such regulation is intended for the protection of those who purchase or use insurance products, not the companies that write the policies. These laws and regulations have a significant impact on our business and relate to a wide variety of matters including accounting methods, agent and company licensure, claims procedures, corporate governance, examinations, investing practices, policy forms, pricing, trade practices, reserve adequacy, and underwriting standards.</w:t>
      </w:r>
    </w:p>
    <w:p>
      <w:pPr>
        <w:spacing w:after="0" w:line="13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State insurance laws and regulations require our insurance company subsidiaries to file financial statements with state insurance departments everywhere they do business, and the operations of such companies and their respective accounts are subject to examination by those departments at any time. Our insurance company subsidiaries prepare statutory-basis financial statements in accordance with accounting practices and procedures prescribed or permitted by the state in which they are domiciled. North Dakota generally conforms to National Association of Insurance Commissioners (“NAIC”) practices and procedures, so its examination reports and other filings generally are accepted by other states.</w:t>
      </w:r>
    </w:p>
    <w:p>
      <w:pPr>
        <w:spacing w:after="0" w:line="13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Premium rate regulation varies greatly among jurisdictions and lines of insurance. In the states in which our insurance company subsidiaries write insurance, premium rates for the various lines of insurance are subject to either prior approval or limited review upon implementation. The premium rates for multi-peril crop insurance are established by the RMA. See “Item 1. Business — Crop Insurance.”</w:t>
      </w:r>
    </w:p>
    <w:p>
      <w:pPr>
        <w:spacing w:after="0" w:line="15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Many jurisdictions have laws and regulations that limit an insurer’s ability to withdraw from a particular market. For example, states may limit an insurer’s ability to cancel or non-renew policies. Laws and regulations that limit cancellation and non-renewal may restrict our ability to exit unprofitable marketplaces in a timely manner.</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Crop Insurance</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multi-peril crop insurance business is overseen by the federal government through the RMA. The RMA outlines policy language, establishes premium rates, and develops loss adjustment procedures for insurance programs under the federal crop insurance program. In addition, through the FCIC, the RMA provides premium subsidies to farmers and sets the commission percentages that can be paid to agents. All participating insurance carriers are subject to the same Standard Reinsurance Agreement (“SRA”), which outlines items such as reporting requirements and claims handling procedures, proportional and non-proportional reinsurance terms, and the level of administrative and operating reimbursement paid to insurers. The RMA also provides oversight to the approved insurance providers (“AIPs”). The AIPs are required to use the policies, premium rates, and loss adjustment procedures set by the RMA without modification and are required to issue a policy to any eligible applicant regardless of risk or profitability. The RMA conducts audits of AIPs with respect to claims and loss adjustment procedures.</w:t>
      </w:r>
    </w:p>
    <w:p>
      <w:pPr>
        <w:spacing w:after="0" w:line="1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American Agricultural Insurance Company is the AIP through which we issue multi-peril crop insurance policies, and is the holder of the SRA with the FCIC.</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Examinations</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Examinations are conducted every three to five years by the Departments of Insurance where the insurance companies are domiciled. Nodak Insurance and American West were last examined by the North Dakota Insurance Department as of December 31, 2016. The final examination report for American West included a finding related to intercompany expense charges between the two companies, which offset in consolidation. The underlying cause of this finding has been resolved.</w:t>
      </w:r>
    </w:p>
    <w:p>
      <w:pPr>
        <w:spacing w:after="0" w:line="16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Battle Creek was last examined by the Nebraska Insurance Department as of December 31, 2016, and the last examination of Primero by the Nevada Insurance Department was as of December 31, 2016. Neither examination resulted in any adjustments to their financial positions, nor were there any substantive matters raised in the final examination reports.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Direct Auto was last examined by the Illinois Department of Insurance as of December 31, 2017, for which an examination report has not yet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NAIC Risk-Based Capital Requirements</w:t>
      </w:r>
    </w:p>
    <w:p>
      <w:pPr>
        <w:spacing w:after="0" w:line="19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North Dakota and most other states have adopted the NAIC system of risk-based capital requirements that require insurance companies to calculate and report information under a risk-based formula. These risk-based capital requirements attempt to measure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statutory capital and surplus needs based on the risks in a company’s mix of products and investment portfolio. Under the formula, a company first determines its “authorized control level” risk-based capital. This authorized control level takes into account (i) the risk with respect to the insurer’s assets; (ii) the risk of adverse insurance experience with respect to the insurer’s liabilities and obligations; (iii) the interest rate risk with respect to the insurer’s business; and (iv) all other business risks and such other relevant risks as are set forth in the risk-based capital instructions. A company’s “total adjusted capital” is the sum of statutory capital and surplus and such other items as the risk-based capital instructions may provide. The formula is designed to allow state insurance regulators to identify weakly capitalized companies.</w:t>
      </w:r>
    </w:p>
    <w:p>
      <w:pPr>
        <w:spacing w:after="0" w:line="15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requirements provide for four different levels of regulatory attention. The “company action level” is triggered if a company’s total adjusted capital is less than 2.0 times its authorized control level but greater than or equal to 1.5 times its authorized control level. At the company action level, the company must submit a comprehensive plan to the regulatory authority that discusses proposed corrective actions to improve the capital position. The “regulatory action level” is triggered if a company’s total adjusted capital is less than 1.5 times but greater than or equal to 1.0 times its authorized control level. At the regulatory action level, the regulatory authority will perform a special examination of the company and issue an order specifying corrective actions that must be followed. The “authorized control level” is triggered if a company’s total adjusted capital is less than 1.0 times but greater than or equal to 0.7 times its authorized control level. At this level, the regulatory authority may take action it deems necessary, including placing the company under regulatory control. The “mandatory control level” is triggered if a company’s total adjusted capital is less than 0.7 times its authorized control level. At this level, the regulatory authority is mandated to place the company under its control. The capital levels of our insurance company subsidiaries have never triggered any of these regulatory capital levels. We cannot guarantee, however, that the capital requirements applicable to such companies will not increase in the future.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NAIC Ratios</w:t>
      </w:r>
    </w:p>
    <w:p>
      <w:pPr>
        <w:spacing w:after="0" w:line="18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NAIC has also developed a set of 13 financial ratios referred to as the Insurance Regulatory Information System (“IRIS”). Based on statutory-basis financial statements filed with state insurance regulators, the NAIC annually calculates these IRIS ratios to assist state insurance regulators in monitoring the financial condition of insurance companies. The NAIC has established an acceptable range for each of the IRIS financial ratios. If four or more of its IRIS ratios fall outside the range deemed acceptable by the NAIC, an insurance company may receive inquiries from individual state insurance departments. During each of the years ended December 31, 2018, 2017 and 2016, none of our insurance company subsidiaries produced results outside the acceptable range for more than three of the IRIS tests.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Enterprise Risk Assessment</w:t>
      </w:r>
    </w:p>
    <w:p>
      <w:pPr>
        <w:spacing w:after="0" w:line="19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2012, the NAIC adopted various changes to its Model Regulations, herein known as the “NAIC Amendments”. The NAIC Amendments, when adopted by the various states, are designed to respond to perceived gaps in the regulation of insurance holding company systems in the United States. The NAIC Amendments include a requirement that an insurance holding company system’s ultimate controlling person submit annually to its lead state insurance regulator an “enterprise risk report”. This enterprise risk report identifies the activities, circumstances, or events involving one or more affiliates of an insurer that, if not remedied properly, are likely to have a material adverse effect upon the financial condition or liquidity of the insurer or its insurance holding company system as a whole. While the NAIC Amendments have not been adopted in whole by the North Dakota Insurance Department, North Dakota currently requires insurers domiciled in North Dakota to include an enterprise risk assessment in its annual report. The NAIC Amendments also include provisions requiring a controlling person to submit prior notice to its domiciliary insurance regulator of its divestiture of control, having detailed minimum requirements for cost sharing and management agreements between an insurer and its affiliates, and expanding of the agreements between an insurer and its affiliates to be filed with its domiciliary insurance regulator.</w:t>
      </w:r>
    </w:p>
    <w:p>
      <w:pPr>
        <w:spacing w:after="0" w:line="13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2012, the NAIC also adopted the Own Risk Solvency Assessment (“ORSA”) Model Act. The ORSA Model Act, when adopted by the various states, will require an insurance holding company system’s chief risk officer to submit at least annually to its lead state insurance regulator a confidential report detailing its own internal solvency assessment. Such an assessment is to be tailored to the nature, scale, and complexity of an insurer. This assessment will include the material and relevant risks identified by the insurer associated with an insurer’s current business plan and the sufficiency of capital resources to support those risks. Although our insurance company subsidiaries are exempt from ORSA because of their size, NI Holdings intends to incorporate those elements of ORSA that it believes constitute “best practices” into its annual internal enterprise risk assessment.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Conduct Regulation</w:t>
      </w:r>
    </w:p>
    <w:p>
      <w:pPr>
        <w:spacing w:after="0" w:line="198"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State insurance laws and regulations include numerous provisions governing trade practices and the marketplace activities of insurers, including provisions governing the form and content of disclosure to consumers, illustrations, advertising, sales practices, and complaint handling. State regulatory authorities generally enforce these provisions through periodic market conduct examinations.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Guaranty Fund Laws</w:t>
      </w:r>
    </w:p>
    <w:p>
      <w:pPr>
        <w:spacing w:after="0" w:line="18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All states have guaranty fund laws under which insurers doing business in the state can be assessed to fund policyholder liabilities of insolvent insurance companies. Under these laws, an insurer is subject to assessment depending upon its market share in the state of a given line of business. For the years ended December 31, 2018, 2017 and 2016, we paid no assessments pursuant to state insurance guaranty association laws, although we expect that Direct Auto may pay nominal assessments in the State of Illinois in the future. We establish reserves relating to insurance companies that are subject to insolvency proceedings when it becomes probable that we will be subject to an assessment and the amount of such assessment can be estimated. We cannot predict the amount and timing of any future assessments under these laws.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Federal Regulation</w:t>
      </w:r>
    </w:p>
    <w:p>
      <w:pPr>
        <w:spacing w:after="0" w:line="1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U.S. federal government generally has not directly regulated the insurance industry except for certain areas of the market, such as insurance for crops, flood, nuclear, and terrorism risks. However, the federal government has undertaken initiatives or considered legislation in several areas that may affect the insurance industry, including tort reform, corporate governance, and the taxation of reinsurance companies. The Dodd-Frank Act established the Federal Insurance Office, which is authorized to study, monitor, and report to Congress on the insurance industry and to recommend that the Financial Stability Oversight Council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United States, including by increasing national uniformity through either a federal charter or effective action by the states. Changes to federal legislation and administrative policies in several areas, including changes in federal taxation, can also significantly affect the insurance industry and us.</w:t>
      </w:r>
    </w:p>
    <w:p>
      <w:pPr>
        <w:spacing w:after="0" w:line="126"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We are also subject to the Fair and Accurate Credit Transactions Act of 2003 (“FACTA”) and the Health Insurance Portability and Accountability Act of 1996 (“HIPAA”), both of which require us to protect the privacy of our customers’ information, including health and credit information.</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Privacy</w:t>
      </w:r>
    </w:p>
    <w:p>
      <w:pPr>
        <w:spacing w:after="0" w:line="18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are subject to numerous U.S. federal and state laws governing the collection, disclosure, and protection of personal and confidential information of our clients or employees. These laws and regulations are increasing in complexity and number, change frequently, and may conflict. Congress, state legislatures, and regulatory authorities are expected to consider additional regulation relating to privacy and other aspects of customer information.</w:t>
      </w:r>
    </w:p>
    <w:p>
      <w:pPr>
        <w:spacing w:after="0" w:line="10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mandated by the Gramm-Leach-Bliley Act (“GLBA”), states have promulgated laws and regulations that require financial institutions, including insurance companies, to take steps to protect the privacy of certain consumer and customer information. The NAIC has adopted several provisions to facilitate the implementation of the GLBA, including the Privacy of Consumer Financial and Health Information Model Regulation and the Standards for Safeguarding Customer Information Model Regulation. Several states adopted similar provisions regarding the safeguarding of customer information. NI Holdings and its subsidiaries have implemented procedures to comply with the Gramm-Leach-Bliley Act’s related privacy requirements.</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October 2017, the NAIC adopted the Insurance Data Security Model Law (“IDSML”), which would require insurers, insurance producers, and other entities required to be licensed under state insurance laws to develop and maintain a written information security program, conduct risk assessments, oversee the data security practices of third-party service providers, and other related requirements. It is not clear whether, and to what extent, legislatures or insurance regulators in the states in which we, or our subsidiaries, operate will enact the IDMSL. Such enactments and regulations could raise compliance costs and subject us to the risk of regulatory enforcement actions, penalties, and reputational harm. Any such events could potentially have an adverse impact on our business, financial condition, or results of operations.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Office of Foreign Asset Control</w:t>
      </w:r>
    </w:p>
    <w:p>
      <w:pPr>
        <w:spacing w:after="0" w:line="185"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The Treasury Department’s Office of Foreign Asset Control (“OFAC”) maintains a list of “Specifically Designated Nationals and Blocked Persons” (“the SDN List”). The SDN List identifies persons and entities that the government believes are associated with terrorists, rogue nations, or drug traffickers. OFAC’s regulations prohibit insurers, among others, from doing business with persons or entities on the SDN List. If the insurer finds and confirms a match, the insurer must take steps to block or reject the transaction, notify the affected person, and file a report with OFAC.</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Jumpstart Our Business Startups Act of 2012</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an emerging growth company (“EGC”), as defined in the Jumpstart Our Business Startups Act of 2012 (“the JOBS Act”), and we may take advantage of certain exemptions from various reporting requirements that are applicable to other public companies that are not emerging growth companies, such as reduced public company reporting, accounting, and corporate governance requirements. We currently intend to avail ourselves of the reduced disclosure obligations available under the JOBS Act.</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Section 107 of the JOBS Act also provides that an EGC can take advantage of the extended transition period provided in Section 7(a)(2)(B) of the Securities Act for complying with new or revised accounting standards.</w:t>
      </w:r>
    </w:p>
    <w:p>
      <w:pPr>
        <w:spacing w:after="0" w:line="13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will remain an EGC for up to five years following our initial public offering (“IPO”), or until the earliest of (i) the last day of the first fiscal year in which our annual gross revenue exceeds $1.07 billion, (ii) the date that we become a “large accelerated filer” as defined in Rule 12b-2 under the Securities Exchange Act of 1934, as amended (“the Exchange Act”), which would occur if the market value of our common stock that is held by non-affiliates exceeds $700 million as of the last business day of our most recently completed second fiscal quarter, or (iii) the date on which we have issued more than $1.07 billion in non-convertible debt during the preceding three year period.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North Dakota law sets the maximum amount of dividends that may be paid by Nodak Insurance to NI Holdings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As of December 31, 2018, the amount available for payment of dividends by Nodak Insurance in 2019 without the prior approval of the North Dakota Insurance Department is $17,588. “Extraordinary dividends” in excess of the foregoing limitations may only be paid with prior notice to, and approval of, the North Dakota Insurance Department.</w:t>
      </w:r>
    </w:p>
    <w:p>
      <w:pPr>
        <w:spacing w:after="0" w:line="13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Illinois law sets the maximum amount of dividends that may be paid by Direct Auto to NI Holdings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As of December 31, 2018, the amount available for payment of dividends by Direct Auto in 2019 without the prior approval of the Illinois Department of Insurance is $6,653. Dividends in excess of this amount are considered “extraordinary” and are subject to the approval of the Illinois Department of Insurance.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“Item 5. Market for the Registrant’s Common Equity, Related Stockholder Matters and Issuer Purchases of Equity Securities — Dividend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Policy.”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Holding Company Laws</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Most states, including North Dakota, have enacted legislation that regulates insurance holding company systems. Each insurance company in a holding company system is required to register with the insurance supervisory agency of its state of domicile and furnish certain information, including information concerning the operations of companies within the holding company group that may materially affect the operations, management, or financial condition of the insurers within the group. Pursuant to these laws, the North Dakota Insurance Department requires disclosure of material transactions involving an insurance company and its affiliates, and requires prior notice and/or approval of certain transactions, such as extraordinary dividends distributed by the insurance company. Under these laws, the North Dakota Insurance Department will have the right to examine us at any time.</w:t>
      </w:r>
    </w:p>
    <w:p>
      <w:pPr>
        <w:spacing w:after="0" w:line="138"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All transactions within our consolidated group affecting our insurance company subsidiaries must be fair and equitable. Notice of certain material transactions between NI Holdings and any person or entity in our holding company system will be required to be given to the North Dakota Insurance Department. Certain transactions cannot be completed without the prior approval of the North Dakota Insurance Department.</w:t>
      </w:r>
    </w:p>
    <w:p>
      <w:pPr>
        <w:spacing w:after="0" w:line="1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Approval of the state insurance commissioner is required prior to any transaction affecting the control of an insurer domiciled in that state. In North Dakota, the acquisition of 10% or more of the outstanding voting securities of an insurer or its holding company is presumed to be a change in control. North Dakota law also prohibits any person or entity from (i) making a tender offer for, or a request or invitation for tenders of, or seeking to acquire or acquiring any voting security of a North Dakota insurer if, after the acquisition, the person or entity would be in control of the insurer, or (ii) effecting or attempting to effect an acquisition of control of or merger with a North Dakota insurer, unless the offer, request, invitation, acquisition, effectuation, or attempt has received the prior approval of the North Dakota Insurance Department.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2018, NI Holdings and its subsidiaries had 178 total employees. None of these employees are covered by a collective bargaining agreement, and we believe that our employee relations are good.</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An investment in the Company’s common shares involves certain risks. The following is a discussion of the most significant risks and uncertainties that may affect the Company’s business, financial condition, and future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Catastrophic or other significant natural or man-made losses may negatively affect our financial condition and operating results.</w:t>
      </w:r>
    </w:p>
    <w:p>
      <w:pPr>
        <w:spacing w:after="0" w:line="20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a property and casualty insurer, we are subject to claims from catastrophes that may have a significant negative impact on operating and financial results. We have experienced catastrophe losses, and can be expected to experience catastrophe losses in the future. Catastrophe losses can be caused by various events, including snow storms, ice storms, freezing temperatures, earthquakes, tornadoes, wind, hail, fires, and other natural or man-made disasters. The frequency, number, and severity of these losses are unpredictable. The extent of losses from a catastrophe is a function of both the total amount of insured exposure in the area affected by the event and the severity of the event.</w:t>
      </w:r>
    </w:p>
    <w:p>
      <w:pPr>
        <w:spacing w:after="0" w:line="14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Approximately 63.8% of NI Holdings’ consolidated direct premiums written in 2018 were written in North Dakota, compared to 71.2% in 2017. Because NI Holdings’ business is concentrated in North Dakota, adverse developments from severe weather events such as hailstorms, flooding, or droughts affecting a large portion of North Dakota would have a disproportionately greater effect on NI Holdings’ financial condition and results of operations than if its business were less geographically concentrated. The incidence and severity of such events are inherently unpredictable. In recent years, changing climate conditions have increased, and may continue to increase, the unpredictability, severity, and frequency of tornados and other storms, droughts, floods, and other extreme climatic events.</w:t>
      </w:r>
    </w:p>
    <w:p>
      <w:pPr>
        <w:spacing w:after="0" w:line="15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attempt to reduce our exposure to catastrophe losses through the underwriting process and by obtaining reinsurance coverage. However, in the event that we experience catastrophe losses, we cannot assure you that our unearned premiums, liabilities for unpaid losses and LAE, and reinsurance will be adequate to cover these risks. In addition, because accounting rules do not permit insurers to reserve for catastrophic events until they occur, claims from catastrophic events could cause substantial volatility in our financial results for any fiscal quarter or year and could have a material adverse effect on our financial condition or results of operations. Our ability to write new business also could be adversely affected.</w:t>
      </w:r>
    </w:p>
    <w:p>
      <w:pPr>
        <w:spacing w:after="0" w:line="13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financial condition and results of operations also are affected periodically by losses caused by natural perils such as those described above that are not deemed a catastrophe. If a number of these events occur in a short time period, it may materially affect our financial condition and results of operations.</w:t>
      </w:r>
    </w:p>
    <w:p>
      <w:pPr>
        <w:spacing w:after="0" w:line="150"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Any downgrade in our A.M. Best rating could affect our ability to write new business or renew our existing business, which would lead to a decrease in revenue and net income.</w:t>
      </w:r>
    </w:p>
    <w:p>
      <w:pPr>
        <w:spacing w:after="0" w:line="1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Third-party rating agencies, such as A.M. Best, periodically assess and rate the claims-paying ability of insurers based on criteria established by the rating agencies. Ratings assigned by A.M. Best are an important factor influencing the competitive position of insurance companies. A.M. Best ratings, which are reviewed at least annually, represent independent opinions of financial strength and ability to meet obligations to policyholders and are not directed toward the protection of investors. Therefore, our A.M. Best rating should not be relied upon as a basis for an investment decision to purchase our common stock.</w:t>
      </w:r>
    </w:p>
    <w:p>
      <w:pPr>
        <w:spacing w:after="0" w:line="1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Nodak Insurance holds a financial strength rating of “A” (Excellent) by A.M. Best, the third highest rating out of 15 rating classifications. Nodak Insurance has held an “A” rating since 2013. Our most recent rating by A.M. Best was issued on April 10, 2018. Battle Creek also holds an “A” rating and American West holds an “A-” rating. Financial strength ratings are used by producers and customers as a means of assessing the financial strength and quality of insurers. If our financial position deteriorates, we may not maintain our favorable financial strength rating from A.M. Best. A downgrade of our rating could severely limit or prevent us from writing desirable business or from renewing our existing business. In addition, a downgrade could negatively affect our ability to implement our strategy because it could cause our current or potential producers to choose other more highly rated competitors or reduce our ability to obtain reinsurance. See “Item 1. Business — A.M. Best Rating.”</w:t>
      </w:r>
    </w:p>
    <w:p>
      <w:pPr>
        <w:spacing w:after="0" w:line="147"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A significant percentage of NI Holdings’ written premiums and net profits are generated from its multi-peril crop insurance business, and the loss of such business as a result of a termination of or substantial changes to the Federal crop insurance program would have a material adverse effect on our revenues and net income.</w:t>
      </w:r>
    </w:p>
    <w:p>
      <w:pPr>
        <w:spacing w:after="0" w:line="14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 2018, 2017 and 2016, NI Holdings’ direst premiums written generated from its multi-peril crop insurance line of business were 18.5%, 22.6%, and 23.6%, respectively. Through the Federal Crop Insurance Corporation, the United States government subsidizes insurance companies by assuming an increasingly higher portion of losses incurred by farmers as a result of weather-related</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and other perils as well as commodity price fluctuations. The United States government also subsidizes the premium cost to farmers for multi-peril crop yield and revenue insurance. Without this risk assumption, losses incurred by insurance companies would be higher. Without the premium subsidy, the number of farmers purchasing multi-peril crop insurance would decline significantly. Periodically, members of the United States Congress propose to reduce significantly the government’s involvement in the federal crop insurance program in an effort to reduce government spending. If legislation is adopted to reduce the amount of risk the government assumes, the amount of insurance premium subsidy provided to farmers or otherwise reduce the coverage provided under multi-peril crop insurance policies, losses would increase and purchases of multi-peril crop insurance could experience a significant decline nationwide and in our market area. Such changes could have a material adverse effect on our revenues and income.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results may fluctuate as a result of many factors, including cyclical changes in the insurance industry.</w:t>
      </w:r>
    </w:p>
    <w:p>
      <w:pPr>
        <w:spacing w:after="0" w:line="202" w:lineRule="exact"/>
        <w:rPr>
          <w:sz w:val="20"/>
          <w:szCs w:val="20"/>
          <w:color w:val="auto"/>
        </w:rPr>
      </w:pPr>
    </w:p>
    <w:p>
      <w:pPr>
        <w:ind w:right="520" w:firstLine="648"/>
        <w:spacing w:after="0" w:line="302" w:lineRule="auto"/>
        <w:rPr>
          <w:sz w:val="20"/>
          <w:szCs w:val="20"/>
          <w:color w:val="auto"/>
        </w:rPr>
      </w:pPr>
      <w:r>
        <w:rPr>
          <w:rFonts w:ascii="Arial" w:cs="Arial" w:eastAsia="Arial" w:hAnsi="Arial"/>
          <w:sz w:val="16"/>
          <w:szCs w:val="16"/>
          <w:color w:val="auto"/>
        </w:rPr>
        <w:t>Results of companies in the insurance industry, and particularly the property and casualty insurance industry, historically have been subject to significant fluctuations and uncertainties and have fluctuated in cyclical periods of low premium rates and excess underwriting capacity resulting from increased competition (a so-called “soft market”), followed by periods of high premium rates and a shortage of underwriting capacity resulting from decreased competition (a so-called “hard market”). The industry’s profitability can be affected significantly by:</w:t>
      </w:r>
    </w:p>
    <w:p>
      <w:pPr>
        <w:spacing w:after="0" w:line="11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estimates of rising levels of actual costs that are not known by companies at the time they price their products;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volatile and unpredictable developments, including man-made and natural catastrophes;</w:t>
      </w:r>
    </w:p>
    <w:p>
      <w:pPr>
        <w:spacing w:after="0" w:line="198"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reserves resulting from the general claims and legal environments as different types of claims arise and judicial interpretations relating to the scope of insurers’ liability develop; and</w:t>
      </w:r>
    </w:p>
    <w:p>
      <w:pPr>
        <w:spacing w:after="0" w:line="129"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interest rates, inflationary pressures and other changes in the investment environment, which affect returns on invested capital and may affect the ultimate payout of losses.</w:t>
      </w:r>
    </w:p>
    <w:p>
      <w:pPr>
        <w:spacing w:after="0" w:line="13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Fluctuations in underwriting capacity, demand and competition, and the impact on our business of the other factors identified above, could have a negative impact on our results of operations and financial condition. Based on our analysis of the underwriting capacity and price competition in the current market, we believe that we are generally in a stable phase of the insurance industry cycle. If other insurers seek to expand the kinds or amounts of insurance coverage they offer, this could result in increased underwriting capacity and competition and declining pricing as some insurers seek to maintain market share at the expense of underwriting discipline.</w:t>
      </w:r>
    </w:p>
    <w:p>
      <w:pPr>
        <w:spacing w:after="0" w:line="157"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Competition for potential acquisitions from other property and casualty insurers could increase the price that NI Holdings will be required to pay in connection with future acquisitions.</w:t>
      </w:r>
    </w:p>
    <w:p>
      <w:pPr>
        <w:spacing w:after="0" w:line="1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Over-capacity in the property and casualty market has led other market participants to seek acquisitions in order to generate revenue growth. These market conditions may cause significant competition for acquisitions and increase the price for acquisitions. This competitive market could impede execution of NI Holdings’ external growth strategy.</w:t>
      </w:r>
    </w:p>
    <w:p>
      <w:pPr>
        <w:spacing w:after="0" w:line="137" w:lineRule="exact"/>
        <w:rPr>
          <w:sz w:val="20"/>
          <w:szCs w:val="20"/>
          <w:color w:val="auto"/>
        </w:rPr>
      </w:pPr>
    </w:p>
    <w:p>
      <w:pPr>
        <w:ind w:right="820" w:firstLine="648"/>
        <w:spacing w:after="0" w:line="282" w:lineRule="auto"/>
        <w:rPr>
          <w:sz w:val="20"/>
          <w:szCs w:val="20"/>
          <w:color w:val="auto"/>
        </w:rPr>
      </w:pPr>
      <w:r>
        <w:rPr>
          <w:rFonts w:ascii="Arial" w:cs="Arial" w:eastAsia="Arial" w:hAnsi="Arial"/>
          <w:sz w:val="18"/>
          <w:szCs w:val="18"/>
          <w:b w:val="1"/>
          <w:bCs w:val="1"/>
          <w:color w:val="auto"/>
        </w:rPr>
        <w:t>Integration of existing businesses and future acquisitions may require a significant investment of management’s time and distract management from the day-to-day operations of NI Holdings’ business.</w:t>
      </w:r>
    </w:p>
    <w:p>
      <w:pPr>
        <w:spacing w:after="0" w:line="13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NI Holdings previously spent considerable time and effort integrating Battle Creek and Primero in the areas of sales and marketing, operations, financial reporting, and employee benefits. Direct Auto and future acquisitions will require additional integration, particularly to realize the anticipated coordination designed to drive revenue growth, reduce costs, and ensure operational efficiency and compliance. NI Holdings’ management staff is small, and there can be no assurance that acquisitions will be successfully executed and integrated in a timely manner.</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may not be able to manage our growth effectively.</w:t>
      </w:r>
    </w:p>
    <w:p>
      <w:pPr>
        <w:spacing w:after="0" w:line="1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intend to grow our business in the future, which could require additional capital, systems development, and skilled personnel. We cannot assure you that we will be able to locate profitable business opportunities, meet our capital needs, expand our systems and our internal controls effectively, allocate our human resources optimally, identify qualified employees or agents, or incorporate effectively the components of any businesses we may acquire in our effort to achieve growth. The failure to manage our growth effectively and maintain underwriting discipline could have a material adverse effect on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We may not be able to grow our business if our insurance company subsidiaries cannot maintain and grow their agent relationships, or if consumers seek other distribution methods offered by our competitors.</w:t>
      </w:r>
    </w:p>
    <w:p>
      <w:pPr>
        <w:spacing w:after="0" w:line="1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ability to retain existing agents, and to attract new agents, is essential to the continued growth of our business. If independent agents find it easier to do business with our competitors, our agent base may erode and, as a result, be unable to retain existing business or generate sufficient new business. While we believe that we have good relationships with our independent agents, we cannot be certain that these agents will continue to sell our products instead of our competitors’ products.</w:t>
      </w:r>
    </w:p>
    <w:p>
      <w:pPr>
        <w:spacing w:after="0" w:line="16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While our products are sold through either independent or captive agents, our competitors may sell insurance through other delivery models, including the internet, direct marketing, or other emerging alternative distribution methods. To the extent that current and potential policyholders change their insurance shopping preferences, this may have an adverse effect on our ability to grow, our financial position, and our results of operations.</w:t>
      </w:r>
    </w:p>
    <w:p>
      <w:pPr>
        <w:spacing w:after="0" w:line="10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Our success depends on the ability of our insurance company subsidiaries to underwrite risks accurately and to price our commercial and personal lines insurance products accordingly.</w:t>
      </w:r>
    </w:p>
    <w:p>
      <w:pPr>
        <w:spacing w:after="0" w:line="1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nature of the insurance business is such that pricing must be determined before the underlying costs are fully known. This requires significant reliance on estimates and assumptions in setting prices. If our insurance subsidiaries fail to assess accurately the risks that they assume in our commercial and personal lines products, they may fail to charge adequate premium rates, which could affect our profitability and have a material adverse effect on our financial condition, results of operations, or cash flows. Their ability to assess their policyholder risks and to price their products accurately is subject to a number of risks and uncertainties, including, but not limited to:</w:t>
      </w:r>
    </w:p>
    <w:p>
      <w:pPr>
        <w:spacing w:after="0" w:line="161"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other providers of property and casualty insurance;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regulation by insurance regulatory authorities;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selection and implementation of appropriate rating formulae or other pricing methodologies;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sufficient reliable data;</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inherent in estimates and assumptions generally;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changes in claim results;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incorrect or incomplete analysis of available data;</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accurately predict policyholder retention, investment yields, and the duration of liability for losses and LAE;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unanticipated effects of court decisions, legislation, or regulation, including those related to legal liability for damages by our insureds.</w:t>
      </w:r>
    </w:p>
    <w:p>
      <w:pPr>
        <w:spacing w:after="0" w:line="21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These risks and uncertainties could cause our insurance subsidiaries to underprice their policies, which would negatively affect their results of operations, or to overprice their policies, which could reduce their competitiveness. Either such event could have a material adverse effect on their financial condition, results of operations, and cash flows.</w:t>
      </w:r>
    </w:p>
    <w:p>
      <w:pPr>
        <w:spacing w:after="0" w:line="14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federal crop insurance program, each insurer is required to accept every application for multi-peril crop insurance that they receive, and the premiums and the policy terms are set by the RMA, which is the federal government agency administering the federal crop insurance program. Accordingly, no policy underwriting is necessary in connection with our multi-peril crop insurance line of business. We, and several other crop insurers, rely on AFBIS to underwrite our crop hail insurance line of business. Unlike the multi-peril crop business, however, we have the ability to decline to issue any crop hail insurance policy if we believe the policy will expose us to too much risk in a particular geographic area or if we are unwilling to insure the crop that the policy would cover. If we accept the application for crop hail insurance, however, we could incur losses if AFBIS fails to adequately underwrite and price such coverage.</w:t>
      </w:r>
    </w:p>
    <w:p>
      <w:pPr>
        <w:spacing w:after="0" w:line="14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Our results and financial condition may be affected by a failure to establish adequate liabilities for unpaid losses and LAE or by adverse development of prior year reserves.</w:t>
      </w:r>
    </w:p>
    <w:p>
      <w:pPr>
        <w:spacing w:after="0" w:line="13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NI Holdings maintains reserves to cover amounts it estimates will be needed to pay for unpaid losses and for the expenses necessary to settle insured claims. Estimating liabilities for unpaid losses and LAE is a difficult and complex process involving many variables and subjective judgments. The liability for unpaid losses and LAE is the largest liability of NI Holdings and represents the financial statement item most sensitive to estimation and judgment. In developing its estimates of unpaid losses and LAE, NI</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Holdings has evaluated and considered actuarial projection techniques based on its assessment of facts and circumstances then known, historical loss experience data, and estimates of anticipated trends. This process assumes that past experience, adjusted for the effects of current developments, changes in operations, and anticipated trends, constitutes an appropriate basis for predicting future events. While NI Holdings believes that its liability for unpaid losses and LAE is appropriate, to the extent that such reserves prove to be inadequate or excessive in the future, we would adjust them and incur a charge or credit to earnings, as the case may be, in the period the reserves are adjusted. Any such adjustment could have a material impact on our financial condition and results of operations. There can be no assurance that the estimates of such liabilities will not change in the future. For additional information on our liability for unpaid losses and LAE, see “Item 7. Management’s Discussion and Analysis of Financial Condition and Results of Operations.”</w:t>
      </w:r>
    </w:p>
    <w:p>
      <w:pPr>
        <w:spacing w:after="0" w:line="123"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spacing w:after="0" w:line="15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exposed to many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We could be materially adversely affected if one or more of our employees cause a significant operational breakdown or failure, either as a result of human error or intentional sabotage or fraudulent manipulation of our operations or systems.</w:t>
      </w:r>
    </w:p>
    <w:p>
      <w:pPr>
        <w:spacing w:after="0" w:line="11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Third parties with whom we do business, including vendors that provide services or security solutions for our operations, could also be sources of operational and information security risk to us, including from breakdowns, failures, or capacity constraints of their own systems or employees. While we attempt to manage the informational and operational risks that arise from our use of third party providers by reviewing and assessing such providers’ cybersecurity controls, as appropriate, we cannot assure that our attempts to do so will always be successful. Any problems caused by third party providers could diminish our ability to operate our business, or cause financial loss, potential liability to insureds, inability to secure insurance, reputational damage, or regulatory intervention, which could materially adversely affect us.</w:t>
      </w:r>
    </w:p>
    <w:p>
      <w:pPr>
        <w:spacing w:after="0" w:line="15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rely heavily on our operating systems in connection with issuing policies, paying claims, and providing the information we need to conduct our business. We also rely on the operating systems of AFBIS in connection with various processes with respect to our multi-peril crop line of business. We may be subject to disruptions of such operating systems arising from events that are wholly or partially beyond our control, which may include, for example, electrical or telecommunications outages, natural or man-made disasters, such as earthquakes, floods or tornados, or events arising from terrorist acts. Such disruptions may give rise to losses in service to insureds and loss or liability to us. In addition, there is the risk that our controls and procedures as well as our business continuity, disaster recovery, and data security systems prove to be inadequate. The computer systems and network systems others and we use could be vulnerable to unforeseen problems. These problems may arise in both our internally developed systems and the systems of third-party service providers. In addition, our computer systems and network infrastructure present security risks and could be susceptible to hacking, computer viruses, or data breaches. Any such failure could affect our operations and could materially adversely affect our results of operations by requiring us to expend significant resources to correct the defect, as well as by exposing us to litigation or losses not covered by insurance. Although we have business continuity plans and other safeguards in place, our business operations may be adversely affected by significant and widespread disruption to our physical infrastructure or operating systems and those of third-party service providers that support our business. As we continue to expand internet and mobile strategies and to build and maintain an integrated digital enterprise, these risks are likely to increase.</w:t>
      </w:r>
    </w:p>
    <w:p>
      <w:pPr>
        <w:spacing w:after="0" w:line="1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rely on the secure processing, transmission, and storage of confidential information in our computer systems and networks. Our technologies, systems, and networks may become the target of cyber-attacks or information security breaches that could result in the unauthorized release, gathering, monitoring, misuse, loss or destruction of our or our insureds’ confidential, proprietary and other information, or otherwise disrupt our or our insureds’ or other third parties’ business operations, which in turn may result in legal claims, regulatory scrutiny and liability, reputational damage, the incurrence of costs to eliminate or mitigate further exposure, and the loss of customers. Although to date we have not experienced any material losses relating to cyber-attacks or other information security breaches, there can be no assurance that we will not suffer such losses in the future. Our risk and exposure to these matters remains heightened because of, among other things, the evolving nature and increasing frequency and sophistication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cyber-threats continue to evolve, we may be required to expend significant additional resources to continue to modify or enhance our protective measures or to investigate and remediate any information security vulnerabilities.</w:t>
      </w:r>
    </w:p>
    <w:p>
      <w:pPr>
        <w:spacing w:after="0" w:line="142"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Disruptions or failures in the physical infrastructure or operating systems that support our business and customers, or cyber-attacks or security breaches of the networks, systems, or devices that our customers use to access our products and services could result in customer attrition, reputational damage, reimbursement or other compensation costs, and/or additional compliance costs, any of which could materially adversely affect our financial condition or results of operations.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compromise of personal, confidential or proprietary information could also subject us to legal liability or regulatory action, including fines, penalties or intervention, under evolving cyber-security, data protection and privacy laws and regulations enacted by the U.S. federal and state governments. Such laws and regulations have become increasingly widespread and demanding in recent years. As noted above, in October 2017, the NAIC adopted the IDSML, which would require insurers and other regulated insurance entities to comply with detailed information security obligations. Enactment of the IDSML or similar statute by the legislatures of the states in which we or our subsidiaries operate may result in increased compliance costs and the risk of regulatory enforcement actions and penalties. If incurred, such regulatory penalties could harm our reputation. Any such events could have an adverse impact on our business, financial condition or results of operations.</w:t>
      </w:r>
    </w:p>
    <w:p>
      <w:pPr>
        <w:spacing w:after="0" w:line="13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Our revenues and financial results may fluctuate with interest rates, investment results, equity market fluctuations, and developments in the securities markets.</w:t>
      </w:r>
    </w:p>
    <w:p>
      <w:pPr>
        <w:spacing w:after="0" w:line="13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NI Holdings invests the premiums it receives from policyholders until cash is needed to pay insured claims or other expenses. Investment securities represent one of the largest categories of assets of NI Holdings. The fair value of its investment holdings is affected by general economic conditions, and changes in the financial and credit markets. NI Holdings relies on the investment income produced by its investment portfolio to contribute to its profitability. Changes in interest rates and credit quality may result in fluctuations in the income derived from, the valuation of, and in the case of declines in credit quality, payment defaults on our fixed income securities. Such conditions could give rise to significant realized and unrealized investment losses or the impairment of securities whose decreases in value are deemed other-than-temporary.</w:t>
      </w:r>
    </w:p>
    <w:p>
      <w:pPr>
        <w:spacing w:after="0" w:line="13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continues to allocate a portion of its investment portfolio to equity securities, as we believe the long-term investment returns remain attractive. These securities are subject to general economic conditions, specific industry dynamics, and individual company financial results. Recent history has also demonstrated that these securities are subject to short-term market fluctuations, more so than fixed income securities. Effective January 1, 2019, the changes in the market values of our equity securities will be recorded as a component of our net income. In the past, these changes, along with the corresponding changes in our fixed income securities, were recorded, net of income taxes, in other comprehensive income. This accounting standard change will create an increased level of volatility in our reported operating results going forward and may distract from the long-term investment philosophy that we currently employ.</w:t>
      </w:r>
    </w:p>
    <w:p>
      <w:pPr>
        <w:spacing w:after="0" w:line="14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Any significant or long-running negative changes in the fixed income or equity markets could have a material adverse effect on our financial condition, results of operations, or cash flows. The investment portfolio of NI Holdings is also subject to credit and cash flow risk, including risks associated with its investments in asset-backed and mortgage-backed securities. Because the Company’s investment portfolio is the largest component of its assets and a multiple of its equity, adverse changes in economic conditions could result in other-than-temporary impairments that are material to our financial condition and operating results. Such economic changes could arise from overall changes in the financial markets or specific changes to industries, companies, or municipalities in which we maintain investment holdings. See “Item 7. Quantitative and Qualitative Information about Market Risk.”</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 or results of operations.</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part of our growth strategy, we will continue to evaluate opportunities to acquire other property and casualty insurers and insurance-related fee income businesses. Acquisitions that we may make or implement in the future entail a number of risks that could materially adversely affect our business and operating results, including:</w:t>
      </w:r>
    </w:p>
    <w:p>
      <w:pPr>
        <w:spacing w:after="0" w:line="14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integrating the acquired operations with our existing business;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and underwriting results of the acquired operations not meeting our expectations;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our existing business;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need for financial resources above our planned investment levels;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agents and policyholders of the acquired company;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extensive prior experience;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issues associated with acquisitions;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acquisition-related disputes, including disputes over contingent consideration and escrows;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loss of key employees of the acquired company;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impairment of related goodwill and intangible assets.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could be adversely affected by the loss of our existing management or key employees.</w:t>
      </w:r>
    </w:p>
    <w:p>
      <w:pPr>
        <w:spacing w:after="0" w:line="18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success of our business is dependent, to a large extent, on our ability to attract and retain key employees, in particular our senior officers. Our business may be adversely affected if labor market conditions make it difficult for us to replace our current key officers with individuals having equivalent qualifications and experience at compensation levels competitive for our industry. Our key officers include:</w:t>
      </w:r>
    </w:p>
    <w:p>
      <w:pPr>
        <w:spacing w:after="0" w:line="154"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Michael J. Alexander, our President and Chief Executive Officer;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Brian R. Doom, our Executive Vice President and Chief Financial Officer;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Patrick W. Duncan, our Vice President of Operations.</w:t>
      </w:r>
    </w:p>
    <w:p>
      <w:pPr>
        <w:spacing w:after="0" w:line="19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These key officers have extensive experience in the property and casualty and crop insurance industry. Our employment and other agreements with our key officers do not include covenants not to compete or non-solicitation provisions because they are unenforceable under North Dakota law.</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ability to manage our exposure to underwriting risks depends on the availability and cost of reinsurance coverage.</w:t>
      </w:r>
    </w:p>
    <w:p>
      <w:pPr>
        <w:spacing w:after="0" w:line="18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Reinsurance is the practice of transferring part of an insurance company’s liability and premium under an insurance policy to another insurance company. NI Holdings uses reinsurance arrangements to limit and manage the amount of risk it retains, to stabilize its underwriting results, and to increase its underwriting capacity. The availability and cost of reinsurance are subject to current market conditions and may vary significantly over time. Any decrease in the amount of reinsurance maintained will increase our risk of loss. We may be unable to maintain our desired reinsurance coverage or to obtain other reinsurance coverage in adequate amounts and at favorable rates. If we are unable to renew the current coverage maintained by NI Holdings or obtain new coverage, it may be difficult for us to manage our underwriting risks and operate our business profitably.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our reinsurers do not pay our claims in accordance with our reinsurance agreements, we may incur losses.</w:t>
      </w:r>
    </w:p>
    <w:p>
      <w:pPr>
        <w:spacing w:after="0" w:line="18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subject to loss and credit risk with respect to the reinsurers with whom NI Holdings deals because buying reinsurance does not relieve us of our liability to policyholders. If such reinsurers were not capable of fulfilling their financial obligations to us, our insurance losses would increase. NI Holdings secures reinsurance coverage from a number of reinsurers. The lowest A.M. Best rating issued to any of our current reinsurers is “A-” (Excellent), which is the fourth highest of fifteen ratings. See “Item 1. Business — Reinsurance.”</w:t>
      </w:r>
    </w:p>
    <w:p>
      <w:pPr>
        <w:spacing w:after="0" w:line="14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If we fail to comply with insurance industry regulations, or if those regulations become more burdensome, we may not be able to operate profitably.</w:t>
      </w:r>
    </w:p>
    <w:p>
      <w:pPr>
        <w:spacing w:after="0" w:line="13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Nodak Insurance and American West are currently regulated by the North Dakota Insurance Department. Battle Creek is regulated by the Nebraska Insurance Department. Primero is regulated by the Nevada Insurance Department. Direct Auto is regulated by the Illinois Department of Insurance. All five companies are also subject to regulation, to a more limited extent, by the insurance departments of other states in which they do business. The failure to comply with the laws and regulations of each jurisdiction could subject NI Holdings to sanctions and fines, including the cancellation or suspension of its license. Because approximately 63.8% of our 2018 consolidated direct premiums written originate from business written in North Dakota, the cancellation or suspension of our license in North Dakota, as a result of any failure to comply with the applicable insurance laws and regulations, would result in the most severe impact on our financial condition and results of operations.</w:t>
      </w:r>
    </w:p>
    <w:p>
      <w:pPr>
        <w:spacing w:after="0" w:line="1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Most insurance regulations are designed to protect the interests of policyholders rather than shareholders and other investors. These regulations relate to, among other things:</w:t>
      </w:r>
    </w:p>
    <w:p>
      <w:pPr>
        <w:spacing w:after="0" w:line="130"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of policy forms and premium rates;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standards of solvency, including establishing requirements for minimum capital and surplus, and for risk-based capital;</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classifying assets as admissible for purposes of determining solvency and compliance with minimum capital and surplus requirements;</w:t>
      </w:r>
    </w:p>
    <w:p>
      <w:pPr>
        <w:spacing w:after="0" w:line="196" w:lineRule="exact"/>
        <w:rPr>
          <w:rFonts w:ascii="Arial" w:cs="Arial" w:eastAsia="Arial" w:hAnsi="Arial"/>
          <w:sz w:val="17"/>
          <w:szCs w:val="17"/>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licensing of insurers and their producers;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advertising and marketing practices;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nature, quality, and concentration of investments;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assessments by guaranty associations and mandatory pooling arrangements;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ability to pay dividends;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transactions between affiliated companies;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size of risks insurable under a single policy;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deposits for the benefit of policyholders;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certain methods of accounting;</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periodic examinations of our operations and finances;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practices;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prescribing the form and content of reports of financial condition required to be filed;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reserves for unearned premiums, losses and other purposes.</w:t>
      </w:r>
    </w:p>
    <w:p>
      <w:pPr>
        <w:spacing w:after="0" w:line="1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State insurance departments also conduct periodic examinations of the affairs of insurance companies and require the filing of annual and other reports relating to financial condition, holding company issues, and other matters. These regulatory requirements may adversely affect or inhibit our ability to achieve some or all of our business objectives. The last examination of both Nodak Insurance and American West by the North Dakota Insurance Department was as of December 31, 2016. The last examination of Battle Creek by the Nebraska Insurance Department was as of December 31, 2016, and the last examination by the Nevada Insurance Department of Primero was as of December 31, 2016. The last examination of Direct Auto by the Illinois Department of Insurance was as of December 31, 2017.</w:t>
      </w:r>
    </w:p>
    <w:p>
      <w:pPr>
        <w:spacing w:after="0" w:line="15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addition, regulatory authorities have relatively broad discretion to deny or revoke licenses for various reasons, including the violation of regulations. Further, changes in the level of regulation of the insurance industry or changes in laws or regulations themselves or interpretations by regulatory authorities could adversely affect our ability to operate our business.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could be adversely affected by any interruption to our ability to conduct business at our current location.</w:t>
      </w:r>
    </w:p>
    <w:p>
      <w:pPr>
        <w:spacing w:after="0" w:line="20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Our business operations could be substantially interrupted by flooding, snow, ice, and other weather-related incidents, or from fire, power loss, telecommunications failures, terrorism, or other such events. In such an event, we may not have sufficient redundant facilities to cover a loss or failure in all aspects of our business operations and to restart our business operations in a timely manner. Any damage caused by such a failure or loss may cause interruptions in our business operations that may adversely affect our service levels and business. See “Item 1. Business — Technology.”</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Assessments and premium surcharges for state guaranty funds and other mandatory pooling arrangements may reduce our profitability.</w:t>
      </w:r>
    </w:p>
    <w:p>
      <w:pPr>
        <w:spacing w:after="0" w:line="21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Most states require insurance companies authorized to do business in their state to participate in guaranty funds, which require the insurance companies to bear a portion of the unfunded obligations of impaired, insolvent, or failed insurance companies. These obligations are funded by assessments, which are expected to continue in the future. State guaranty associations levy assessments, up to prescribed limits, on all insurance companies doing business in the state based on their proportionate share of premiums written in the lines of business in which the impaired, insolvent, or failed insurance companies are engaged. Accordingly, the assessments levied on us may increase as we increase our written premiums. See “Item 1. Business — Regulation.”</w:t>
      </w:r>
    </w:p>
    <w:p>
      <w:pPr>
        <w:spacing w:after="0" w:line="13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as a condition to conducting business in some states, insurance companies are required to participate in residual market programs to provide insurance to those who cannot procure coverage from an insurance carrier on a negotiated basis. Insurance companies generally can fulfill their residual market obligations by, among other things, participating in a reinsurance pool where the results of all policies provided through the pool are shared by the participating insurance companies. Although we price our insurance to account for our potential obligations under these pooling arrangements, we may not be able to accurately estimate our liability for these obligations. Accordingly, mandatory pooling arrangements may cause a decrease in our profits. As we write policies in new states that have mandatory pooling arrangements, we will be required to participate in additional pooling arrangements. Further, the impairment, insolvency, or failure of other insurance companies in these pooling arrangements would likely increase the liability for other members in the pool. The effect of assessments and premium surcharges or increases in such assessments or surcharges could reduce our profitability in any given period or limit our ability to grow our business. See “Item 7. Management’s Discussion and Analysis of Financial Condition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Future changes in financial accounting standards or practices may adversely affect our reported results of operations.</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Financial accounting standards in the United States are constantly under review and may be changed from time to time. We would be required to apply these changes when adopted. Once implemented, these changes could materially affect our financial condition and results of operations and/or the way in which such financial condition and results of operations are reported.</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Similarly, we are subject to taxation in the United States and a number of state jurisdictions. Rates of taxation, definitions of income, exclusions from income, and other tax policies are subject to change over time. Accounting standards would require that we recognize the effects of changes in tax rates and laws on deferred income tax balances in the period in which the legislation is enacted.</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Enactment of significant income tax laws may adversely affect our reported results of operations.</w:t>
      </w:r>
    </w:p>
    <w:p>
      <w:pPr>
        <w:spacing w:after="0" w:line="18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December 22, 2017, the Tax Cuts and Jobs Act (the “TCJA”) was signed into law, significantly reforming the U.S. Internal Revenue Code. The TCJA, among other things, includes changes to U.S. federal income tax rates, imposes significant additional limitations on the deductibility of interest, allows for increased expensing of capital expenditures, puts into effect the migration from a “worldwide” system of taxation to a territorial system, and modifies or repeals many business deductions and credits. We have incorporated all material impacts into our estimates of tax liabilities, but we will continue to evaluate the effect of the TCJA on our projection of cash flows and our net operating results. The estimated impact of the TCJA is based on our management’s current knowledge and assumptions and recognized impacts could be materially different from current estimates based on our actual results and further guidance released on the new law. Additional impacts of the TCJA on holders of common shares is uncertain and could be adverse. This Form 10-K does not discuss any such tax legislation or the manner in which it might affect purchasers of common shares. We urge our stockholders, including purchasers of common shares, to consult with their own legal and tax advisors with respect to such legislation and the potential tax consequences of investing in common shares.</w:t>
      </w:r>
    </w:p>
    <w:p>
      <w:pPr>
        <w:spacing w:after="0" w:line="136"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b w:val="1"/>
          <w:bCs w:val="1"/>
          <w:color w:val="auto"/>
        </w:rPr>
        <w:t>We face uncertainties related to the effectiveness of internal controls, particularly with regard to our operating subsidiaries’ financial reporting controls and information technology security.</w:t>
      </w:r>
    </w:p>
    <w:p>
      <w:pPr>
        <w:spacing w:after="0" w:line="1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It should be noted that any system of internal controls, however well designed and operated, can provide only reasonable, and not absolute, assurance that the objectives of the system are met. In addition, the design of any internal control system is based in part upon certain assumptions about the likelihood of future events. Because of these and other inherent limitations of internal control systems, there can be no assurance that any design will achieve its stated goal under all potential future conditions, regardless of how remote. Deficiencies or weaknesses that are not yet identified could emerge, and the identification and correction of these deficiencies or weaknesses could have a material impact on our results of operations.</w:t>
      </w:r>
    </w:p>
    <w:p>
      <w:pPr>
        <w:spacing w:after="0" w:line="13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will be required to publicly report on deficiencies or weaknesses in our internal controls that meet a materiality standard. Management may, at a point in time, categorize a deficiency or weakness as immaterial or minor and therefore not be required to publicly report such deficiency or weakness. Such determination, however, does not preclude a change in circumstances such that the deficiency or weakness could, at a later time, become a reportable condition that could have a material impact on our results of operations.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Our return on equity may be low compared to other insurance companies. A low return could lower the trading price of our common stock.</w:t>
      </w:r>
    </w:p>
    <w:p>
      <w:pPr>
        <w:spacing w:after="0" w:line="21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Net income divided by average equity, known as “return on equity,” is a ratio many investors use to compare the performance of an insurance company to its peers. Our return on equity is expected to be reduced due to the large amount of capital that we raised in our initial public offering that has yet to be deployed, expenses we will incur in pursuing our growth strategies, the costs of being a public company, and added expenses associated with our employee stock ownership plan (“ESOP”) and equity incentive plans. Until we can increase our earned premiums and net income, we expect our return on equity to be below the median return on equity for publicly traded insurance companies, which may negatively affect the value of our common stock.</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expenses from new stock-based benefit plans will adversely affect our profitability.</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shareholders have approved the adoption of an equity incentive plan (“the Plan”). Under the Plan, we may award participants restricted shares of our common stock, options to purchase shares of our common stock, or other forms of awards. Restricted stock awards will be made at no cost to the participants. The maximum number of shares of common stock that may be issued is set forth in the Plan.</w:t>
      </w:r>
    </w:p>
    <w:p>
      <w:pPr>
        <w:spacing w:after="0" w:line="141"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The additional compensation expense resulting from the ESOP and the Plan will adversely affect our profitability. We cannot determine the actual future amount of these new stock-related compensation and benefit expenses at this time because applicable accounting practices require that they be based on the fair market value of the shares of common stock at specific points in the future; however, we expect them to be material. We will recognize expenses for our ESOP when shares are committed to be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released to participants’ accounts and will recognize expenses for restricted stock awards and stock options over the vesting period of awards made to recipients. See our consolidated financial statements for the actual amount of expenses to date.</w:t>
      </w:r>
    </w:p>
    <w:p>
      <w:pPr>
        <w:spacing w:after="0" w:line="126" w:lineRule="exact"/>
        <w:rPr>
          <w:sz w:val="20"/>
          <w:szCs w:val="20"/>
          <w:color w:val="auto"/>
        </w:rPr>
      </w:pPr>
    </w:p>
    <w:p>
      <w:pPr>
        <w:ind w:right="360" w:firstLine="648"/>
        <w:spacing w:after="0" w:line="347" w:lineRule="auto"/>
        <w:rPr>
          <w:sz w:val="20"/>
          <w:szCs w:val="20"/>
          <w:color w:val="auto"/>
        </w:rPr>
      </w:pPr>
      <w:r>
        <w:rPr>
          <w:rFonts w:ascii="Arial" w:cs="Arial" w:eastAsia="Arial" w:hAnsi="Arial"/>
          <w:sz w:val="16"/>
          <w:szCs w:val="16"/>
          <w:b w:val="1"/>
          <w:bCs w:val="1"/>
          <w:color w:val="auto"/>
        </w:rPr>
        <w:t>Nodak Mutual Group’s majority control of our common stock will enable it to exercise voting control over most matters put to a vote of shareholders and will prevent shareholders from forcing a sale or a second-step conversion transaction you may find advantageous.</w:t>
      </w:r>
    </w:p>
    <w:p>
      <w:pPr>
        <w:spacing w:after="0" w:line="9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Nodak Mutual Group owns a majority of our outstanding common stock and, through its Board of Directors, is able to exercise voting control over most matters put to a vote of shareholders. The votes cast by Nodak Mutual Group may not be in your personal best interests as a shareholder. For example, Nodak Mutual Group may exercise its voting control to defeat a shareholder nominee for election to the Board of Directors of NI Holdings. Moreover, Nodak Mutual Group’s ability to elect the Board of Directors of NI Holdings restricts the ability of the minority shareholders of NI Holdings to effect a change of control of management. Some shareholders may desire a sale or merger transaction, since shareholders typically receive a premium for their shares, or a second-step conversion transaction, since fully converted institutions tend to trade at higher multiples than mutual holding companies.</w:t>
      </w:r>
    </w:p>
    <w:p>
      <w:pPr>
        <w:spacing w:after="0" w:line="120"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Our status as an insurance holding company with no direct operations could adversely affect our ability to fund operations, conduct future share repurchases, or meet our debt obligations.</w:t>
      </w:r>
    </w:p>
    <w:p>
      <w:pPr>
        <w:spacing w:after="0" w:line="1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an insurance holding company. A significant source of funds available to us for the payment of operating expenses, share repurchases, and debt-related amounts are net proceeds from our initial public offering retained at the holding company, management fees, and dividends from our subsidiaries. The payment of dividends by Nodak Insurance to NI Holdings will be restricted by North Dakota’s insurance law. American West and Primero historically have not paid dividends to Nodak Insurance, but would be restricted by laws in the domiciliary states. The payment of dividends by Direct Auto to NI Holdings will be restricted by Illinois’ insurance law.</w:t>
      </w:r>
    </w:p>
    <w:p>
      <w:pPr>
        <w:spacing w:after="0" w:line="157"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Statutory provisions and provisions of our Articles of Incorporation and Bylaws may discourage takeover attempts of NI Holdings that you may believe are in your best interests or that might result in a substantial profit to you.</w:t>
      </w:r>
    </w:p>
    <w:p>
      <w:pPr>
        <w:spacing w:after="0" w:line="1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subject to provisions of North Dakota corporate and insurance law that hinder a change of control. North Dakota law requires the North Dakota Insurance Department’s prior approval of a change of control of an insurance holding company. Under North Dakota law, the acquisition of 10% or more of the outstanding voting stock of an insurer or its holding company is presumed to be a change in control. Approval by the North Dakota Insurance Department may be withheld even if the transaction would be in the shareholders’ best interest if the North Dakota Insurance Department determines that the transaction would be detrimental to policyholders.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Articles of Incorporation and Bylaws also contain provisions that may discourage a change in control. These provisions include:</w:t>
      </w:r>
    </w:p>
    <w:p>
      <w:pPr>
        <w:spacing w:after="0" w:line="198" w:lineRule="exact"/>
        <w:rPr>
          <w:sz w:val="20"/>
          <w:szCs w:val="20"/>
          <w:color w:val="auto"/>
        </w:rPr>
      </w:pPr>
    </w:p>
    <w:p>
      <w:pPr>
        <w:ind w:left="1300" w:right="1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prohibition on a person, including a group acting in concert, other than Nodak Mutual Group, from acquiring voting control of more than 10% of our outstanding stock without prior approval of our Board of Directors;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classified Board of Directors divided into three classes serving for successive terms of three years each;</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prohibition of cumulative voting in the election of directors;</w:t>
      </w:r>
    </w:p>
    <w:p>
      <w:pPr>
        <w:spacing w:after="0" w:line="198" w:lineRule="exact"/>
        <w:rPr>
          <w:rFonts w:ascii="Arial" w:cs="Arial" w:eastAsia="Arial" w:hAnsi="Arial"/>
          <w:sz w:val="18"/>
          <w:szCs w:val="18"/>
          <w:color w:val="auto"/>
        </w:rPr>
      </w:pPr>
    </w:p>
    <w:p>
      <w:pPr>
        <w:ind w:left="1300" w:right="4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nominations for the election of directors made by shareholders and any shareholder proposals for inclusion on the agenda at any shareholders’ meeting must be made by notice (in writing) delivered or mailed to us not less than 90 days prior to the meeting;</w:t>
      </w:r>
    </w:p>
    <w:p>
      <w:pPr>
        <w:spacing w:after="0" w:line="140"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prohibition of shareholders’ action without a meeting (except for actions taken by Nodak Mutual Group) and of shareholders’ right to call a special meeting;</w:t>
      </w:r>
    </w:p>
    <w:p>
      <w:pPr>
        <w:spacing w:after="0" w:line="129" w:lineRule="exact"/>
        <w:rPr>
          <w:rFonts w:ascii="Arial" w:cs="Arial" w:eastAsia="Arial" w:hAnsi="Arial"/>
          <w:sz w:val="18"/>
          <w:szCs w:val="18"/>
          <w:color w:val="auto"/>
        </w:rPr>
      </w:pPr>
    </w:p>
    <w:p>
      <w:pPr>
        <w:ind w:left="1300" w:right="4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imposing a mandatory tender offer requirement on a shareholder other than Nodak Mutual Group that has a combined voting power of 35% or more of the votes that our shareholders are entitled to cast, unless acquisition of such voting power by such shareholder was approved by our Board of Directors;</w:t>
      </w:r>
    </w:p>
    <w:p>
      <w:pPr>
        <w:spacing w:after="0" w:line="154"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the foregoing provisions of our Articles of Incorporation can only be amended by an affirmative vote of shareholders entitled to cast at least 80% of all votes that shareholder are entitled to cast, unless approved by an affirmative vote of at least 80% of the members of the Board of Directors; and</w:t>
      </w:r>
    </w:p>
    <w:p>
      <w:pPr>
        <w:spacing w:after="0" w:line="14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certain provisions of our Bylaws can only be amended by an affirmative vote of shareholders entitled to cast at least 66 2/3%, or in certain cases 80%, of all votes that shareholders are entitled to cast.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These provisions may serve to entrench management and may discourage a takeover attempt that you may consider to be in your best interest or in which you would receive a substantial premium over the current market price. These provisions may make it extremely difficult for any one person, entity, or group of affiliated persons or entities to acquire voting control of NI Holdings, with the result that it may be extremely difficult to bring about a change in the Board of Directors or management. Some of these provisions also may perpetuate present management because of the additional time required to cause a change in the control of the Board of Directors. Other provisions make it difficult for shareholders owning less than a majority of the voting stock to be able to elect even a single director.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Ownership of a majority of our stock by Nodak Mutual Group will make removal of the management difficult.</w:t>
      </w:r>
    </w:p>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Nodak Mutual Group owns greater than 55% of our outstanding common stock. Therefore, it has the power to take actions that nonaffiliated shareholders may deem to be contrary to the shareholders’ best interests. In addition, certain provisions of our Articles of Incorporation, such as the existence of a classified Board of Directors, the prohibition of cumulative voting for the election of directors, and the prohibition on any person or group acquiring and having the right to vote in excess of 10% of our outstanding stock without the prior approval of the Board of Directors will make removal of NI Holdings’ management difficult.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our subsidiaries are not sufficiently profitable, our ability to pay dividends will be limited.</w:t>
      </w:r>
    </w:p>
    <w:p>
      <w:pPr>
        <w:spacing w:after="0" w:line="189"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We are a separate entity with no operations of our own other than holding the common stocks of Nodak Insurance, Direct Auto, and our other subsidiaries. We depend primarily on dividends paid by Nodak Insurance and Direct Auto, and the proceeds from our initial public offering that were not contributed to Nodak Insurance, to carry out our business plan, including future acquisitions, and to provide funds for the payment of dividends. To date, neither Nodak Insurance nor Direct Auto have paid any dividends.</w:t>
      </w:r>
    </w:p>
    <w:p>
      <w:pPr>
        <w:spacing w:after="0" w:line="16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will receive dividends from Nodak Insurance only after all of Nodak Insurance’s obligations and regulatory requirements with the North Dakota Insurance Department have been satisfied. North Dakota law sets the maximum amount of dividends that may be paid by Nodak Insurance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w:t>
      </w:r>
    </w:p>
    <w:p>
      <w:pPr>
        <w:spacing w:after="0" w:line="132"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w:t>
      </w:r>
    </w:p>
    <w:p>
      <w:pPr>
        <w:spacing w:after="0" w:line="10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in the state of North Dakota, any insurance company other than a life insurance company may carry forward net income from the preceding two calendar years, not including realized capital gains, less any dividends actually paid during those two calendar years. If Nodak Insurance and Direct Auto are not sufficiently profitable, our ability to pay dividends to you in the future will be limited.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are an “emerging growth company” and have elected to comply with reduced public company reporting requirements.</w:t>
      </w:r>
    </w:p>
    <w:p>
      <w:pPr>
        <w:spacing w:after="0" w:line="18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are an EGC as defined by the JOBS Act. For as long as we continue to be an EGC, we may choose to take advantage of exemptions from various public company reporting requirements. These exemptions include, but are not limited to, (i) not being required to comply with the auditor attestation requirements of Section 404 of SOX, (ii) reduced disclosure obligations regarding executive compensation in our periodic reports, proxy statements, and registration statements, and (iii) exemptions from the requirements of holding a nonbinding advisory vote on executive compensation and shareholder approval of any golden parachute payments not previously approved. In this Annual Report on Form 10-K, we have elected to take advantage of certain of the reduced disclosure obligations regarding financial statements and executive compensation. In addition, Section 107(b) of the JOBS Act provides that an EGC can take advantage of the extended transition period provided in Section 7(a)(2)(B) of the Exchange Act for complying with new or revised accounting standards. In other words, an EGC can delay the adoption of certain accounting standards until those standards would otherwise apply to private companies. We are choosing to “opt in” to such extended transition period election under Section 107(b). Therefore, we are electing to delay adoption of certain new or revised accounting standards, and as a result, we may choose to not comply with new or revised accounting standards on the relevant dates on which adoption of such standards is required for non-emerging growth companies. As a result of such election, our financial statements may not be comparable to the financial statements of other public companies. See Note 5 to our Consolidated Financial Statements for more information regarding new or revised accounting standards.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could be an EGC for up to five years, which such fifth anniversary will occur in 2022. However, if certain events occur prior to the end of such five-year period, including if we become a “large accelerated filer,” our annual gross revenues exceed $1.07 billion, or we issue more than $1.0 billion of non-convertible debt in any three-year period, we would cease to be an EGC prior to the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end of such five-year period. We have taken advantage of certain of the reduced disclosure obligations regarding executive compensation in this Annual Report on Form 10-K and may elect to take advantage of other reduced burdens in future filings. As a result, the information that we provide to holders of our common stock may be different than the information you might receive from other public reporting companies in which you hold equity interests. 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and the price for our common stock may be more volatile.</w:t>
      </w: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headquarters is located at 1101 First Avenue North, Fargo, North Dakota, which is also the headquarters of Nodak Insurance. Nodak Insurance owns this building and leases a portion of the building to the North Dakota Farm Bureau and to AFBIS.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Battle Creek owns the building in which its offices are located at 603 South Preece Street, Battle Creek, Nebraska.</w:t>
      </w:r>
    </w:p>
    <w:p>
      <w:pPr>
        <w:spacing w:after="0" w:line="188" w:lineRule="exact"/>
        <w:rPr>
          <w:sz w:val="20"/>
          <w:szCs w:val="20"/>
          <w:color w:val="auto"/>
        </w:rPr>
      </w:pPr>
    </w:p>
    <w:p>
      <w:pPr>
        <w:ind w:right="120" w:firstLine="648"/>
        <w:spacing w:after="0" w:line="210" w:lineRule="auto"/>
        <w:rPr>
          <w:sz w:val="20"/>
          <w:szCs w:val="20"/>
          <w:color w:val="auto"/>
        </w:rPr>
      </w:pPr>
      <w:r>
        <w:rPr>
          <w:rFonts w:ascii="Arial" w:cs="Arial" w:eastAsia="Arial" w:hAnsi="Arial"/>
          <w:sz w:val="18"/>
          <w:szCs w:val="18"/>
          <w:color w:val="auto"/>
        </w:rPr>
        <w:t>Primero owns the building at 2640 South Jones Blvd, Suite 2, Las Vegas, Nevada, and Tri-State Ltd. leases the building at 506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Spearfish, South Dakota. Primero employees at these two locations administer their non-standard auto business.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Direct Auto leases office space at 515 North State Street, Chicago, Illinois. Direct Auto employees at this location administer their non-standard auto business. This lease will expire on March 31, 2020, and the Company is evaluating its options to renew or relocate.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 offices currently occupied by each of our subsidiaries are sufficient for their needs and any expected growth in the near future.</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Company’s common shares trade on the NASDAQ Capital Market under the symbol “NODK”. As of February 28, 2019, there were approximately 661 shareholders of record for the Company’s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following graph sets forth the cumulative total shareholder return (stock price increase plus dividends) on our common stock from March 16, 2017 (the date of the initial public offering of our common stock) through December 31, 2018, along with the corresponding returns for the Russell 2000 Index (as the broad stock market index) and the SNL US Insurance P&amp;C Index (as the published industry index). The graph assumes that the value of the investment in the common stock and each index was $100 on March 16, 2017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340995</wp:posOffset>
            </wp:positionV>
            <wp:extent cx="5805805" cy="3353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05805"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Board of Directors continues to evaluate a potential policy of paying regular cash dividends, but has not decided on the amounts that may be paid or when the payments may occur. Therefore, the timing and the amount of cash dividends that may be paid to shareholders in the future is uncertain. In addition, the Board of Directors may declare and pay periodic special cash dividends in addition to, or in lieu of, regular cash dividends. In determining whether to declare or pay any dividends, whether regular or special, the Board of Directors will take into account our financial condition and results of operations, income tax considerations, capital requirements, industry standards, and economic conditions. The regulatory restrictions that affect the payment of dividends by Nodak Insurance and Direct Auto to us as discussed below will also be considered. We cannot guarantee that we will pay dividends or that, if paid, we will not reduce or eliminate dividends in the future.</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we pay dividends to our shareholders, we also will be required to pay dividends to Nodak Mutual Group, unless Nodak Mutual Group elects to waive the receipt of dividends. Because Nodak Mutual Group has no current plans to utilize any cash dividends that it may receive from us, we anticipate that it will waive its right to receive substantially all of the dividends that are paid to it by us or immediately return substantially all of such funds to us as an equity contribution. Because the Board of Directors of</w:t>
      </w:r>
    </w:p>
    <w:p>
      <w:pPr>
        <w:sectPr>
          <w:pgSz w:w="11900" w:h="16838" w:orient="portrait"/>
          <w:cols w:equalWidth="0" w:num="1">
            <w:col w:w="11380"/>
          </w:cols>
          <w:pgMar w:left="240" w:top="233" w:right="27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37" w:name="page38"/>
    <w:bookmarkEnd w:id="3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Nodak Mutual Group includes persons who are not members of our Board of Directors, we cannot provide any assurance, however, that they will take such action with respect to every cash dividend that we may declare. If we are unable to obtain a commitment from the Board of Directors of Nodak Mutual Group that it will waive its right to receive any cash dividend that we intend to declare or that it will return the funds from such dividend to the Company as an equity contribution, our Board of Directors may decide not to declare a cash dividend.</w:t>
      </w:r>
    </w:p>
    <w:p>
      <w:pPr>
        <w:spacing w:after="0" w:line="14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will not be subject to regulatory restrictions on the payment of dividends. Our ability to pay dividends, however, may depend, in part, upon our receipt of dividends from Nodak Insurance and Direct Auto because we initially will have no source of income other than earnings from the investment of the net proceeds from our initial public offering that we retain. North Dakota law limits the amount of dividends and other distributions that Nodak Insurance may pay to us. Illinois law limits the amount of dividends and other distributions that Direct Auto may pay to us.</w:t>
      </w:r>
    </w:p>
    <w:p>
      <w:pPr>
        <w:spacing w:after="0" w:line="14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North Dakota law sets the maximum amount of dividends that may be paid by Nodak Insurance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As of December 31, 2018, the amount available for payment of dividends by Nodak Insurance to us in 2019 without the prior approval of the North Dakota Insurance Department is $17,588. We cannot assure you that the North Dakota Insurance Department would approve the declaration or payment by Nodak Insurance of any dividends to us in excess of such amount.</w:t>
      </w:r>
    </w:p>
    <w:p>
      <w:pPr>
        <w:spacing w:after="0" w:line="13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As of December 31, 2018, the amount available for payment of dividends from Direct Auto to us in 2019 without the prior approval of the Illinois Department of Insurance is $6,653. Prior to its payment of any dividend, Direct Auto will be required to provide notice of the dividend to the Illinois Department of Insurance. We cannot assure you that the Illinois Department of Insurance would approve the declaration or payment by Direct Auto of any dividends to us in excess of such amount.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 Business — Regulation”.</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Even if we receive any dividends from Nodak Insurance or Direct Auto, we may not declare any dividends to our shareholders because of our working capital requirements. We are not subject to regulatory restrictions on the payment of dividends to shareholders, but we are subject to the requirements of the North Dakota Business Corporation Act. This law generally permits dividends or distributions to be paid as long as, after making the dividend or distribution, we will be able to pay our debts in the ordinary course of business and our total assets will exceed our total liabilities plus the amount that would be needed to satisfy the preferential rights upon dissolution of holders of stock with senior liquidation rights if we were to be dissolved at the time the dividend or distribution is paid.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registering our common stock. On March 13, 2017, the Company completed the initial public offering of 10,350,000 shares of common stock at a price of $10.00 per share. The Company received net proceeds of $93,145 from the offering, after deducting the underwriting discounts and offering expenses. Griffin Financial Group, LLC acted as our placement agent in connection with the initial public offering.</w:t>
      </w:r>
    </w:p>
    <w:p>
      <w:pPr>
        <w:spacing w:after="0" w:line="14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Direct Auto was acquired on August 31, 2018 with $17,000 of the net proceeds from the initial public offering. There has been no material change in the planned use of proceeds from our initial public offering as described in our final prospectus filed with the SEC on January 17, 2017.</w:t>
      </w: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Stock Purchases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common shares outstanding prior to March 13, 2017.</w:t>
      </w:r>
    </w:p>
    <w:p>
      <w:pPr>
        <w:spacing w:after="0" w:line="19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2017, our Board of Directors approved an authorization for the repurchase of up to $8,000 of the Company’s outstanding common stock. We purchased 446,671 shares of our common stock for $8,037 during the three months ended June 30, 2017.</w:t>
      </w:r>
    </w:p>
    <w:p>
      <w:pPr>
        <w:spacing w:after="0" w:line="170"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During 2018, our Board of Directors approved an authorization for the repurchase of up to approximately $10,000 of the Company’s outstanding common stock. We purchased 191,265 shares of our common stock for $2,996 during the three months ended December 31, 2018.</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Total Number of</w:t>
            </w:r>
          </w:p>
        </w:tc>
        <w:tc>
          <w:tcPr>
            <w:tcW w:w="10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rPr>
              <w:t>Maximum 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Shares Purchased</w:t>
            </w:r>
          </w:p>
        </w:tc>
        <w:tc>
          <w:tcPr>
            <w:tcW w:w="10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w w:val="98"/>
              </w:rPr>
              <w:t>of Shares That May Yet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Average Price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as Part of Publicly</w:t>
            </w:r>
          </w:p>
        </w:tc>
        <w:tc>
          <w:tcPr>
            <w:tcW w:w="10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w w:val="94"/>
              </w:rPr>
              <w:t>Be Purchased Under the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Paid</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Announced Plans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center"/>
              <w:ind w:right="200"/>
              <w:spacing w:after="0" w:line="218"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(1)</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140" w:type="dxa"/>
            <w:vAlign w:val="bottom"/>
            <w:gridSpan w:val="2"/>
          </w:tcPr>
          <w:p>
            <w:pPr>
              <w:ind w:left="2280"/>
              <w:spacing w:after="0"/>
              <w:rPr>
                <w:sz w:val="20"/>
                <w:szCs w:val="20"/>
                <w:color w:val="auto"/>
              </w:rPr>
            </w:pPr>
            <w:r>
              <w:rPr>
                <w:rFonts w:ascii="Arial" w:cs="Arial" w:eastAsia="Arial" w:hAnsi="Arial"/>
                <w:sz w:val="18"/>
                <w:szCs w:val="18"/>
                <w:color w:val="auto"/>
              </w:rPr>
              <w:t>Period</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Per Share</w:t>
            </w:r>
          </w:p>
        </w:tc>
        <w:tc>
          <w:tcPr>
            <w:tcW w:w="1480" w:type="dxa"/>
            <w:vAlign w:val="bottom"/>
            <w:gridSpan w:val="2"/>
          </w:tcPr>
          <w:p>
            <w:pPr>
              <w:jc w:val="center"/>
              <w:ind w:right="100"/>
              <w:spacing w:after="0" w:line="266" w:lineRule="exact"/>
              <w:rPr>
                <w:sz w:val="20"/>
                <w:szCs w:val="20"/>
                <w:color w:val="auto"/>
              </w:rPr>
            </w:pPr>
            <w:r>
              <w:rPr>
                <w:rFonts w:ascii="Arial" w:cs="Arial" w:eastAsia="Arial" w:hAnsi="Arial"/>
                <w:sz w:val="18"/>
                <w:szCs w:val="18"/>
                <w:color w:val="auto"/>
                <w:w w:val="85"/>
              </w:rPr>
              <w:t xml:space="preserve">or Programs </w:t>
            </w:r>
            <w:r>
              <w:rPr>
                <w:rFonts w:ascii="Arial" w:cs="Arial" w:eastAsia="Arial" w:hAnsi="Arial"/>
                <w:sz w:val="30"/>
                <w:szCs w:val="30"/>
                <w:color w:val="auto"/>
                <w:w w:val="85"/>
                <w:vertAlign w:val="superscript"/>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1 - 31, 2018</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November 1 – 30, 2018</w:t>
            </w:r>
          </w:p>
        </w:tc>
        <w:tc>
          <w:tcPr>
            <w:tcW w:w="1240" w:type="dxa"/>
            <w:vAlign w:val="bottom"/>
          </w:tcPr>
          <w:p>
            <w:pPr>
              <w:jc w:val="right"/>
              <w:spacing w:after="0"/>
              <w:rPr>
                <w:sz w:val="20"/>
                <w:szCs w:val="20"/>
                <w:color w:val="auto"/>
              </w:rPr>
            </w:pPr>
            <w:r>
              <w:rPr>
                <w:rFonts w:ascii="Arial" w:cs="Arial" w:eastAsia="Arial" w:hAnsi="Arial"/>
                <w:sz w:val="18"/>
                <w:szCs w:val="18"/>
                <w:color w:val="auto"/>
              </w:rPr>
              <w:t>162,012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15.6105</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31, 2018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15.9602</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Shares of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191,265</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15.6640</w:t>
            </w:r>
          </w:p>
        </w:tc>
        <w:tc>
          <w:tcPr>
            <w:tcW w:w="2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191,265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60" w:hanging="328"/>
        <w:spacing w:after="0" w:line="277" w:lineRule="auto"/>
        <w:tabs>
          <w:tab w:leader="none" w:pos="7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purchased pursuant to the March 5, 2018 publicly announced share repurchase authorization of up to approximately $10.0 million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You should read the selected financial data set forth below in conjunction with our historical Consolidated Financial Statements and related notes and with “Item 7. Management’s Discussion and Analysis of Financial Condition and Results of Operations” included elsewhere in this Annual Report on Form 10-K.</w:t>
      </w:r>
    </w:p>
    <w:p>
      <w:pPr>
        <w:spacing w:after="0" w:line="141"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NI Holdings evaluates its operations by monitoring certain key measures of growth and profitability. In addition to GAAP measures, NI Holdings utilizes certain non-GAAP financial measures that it believes are valuable in managing its business and for providing comparisons to its peers.</w:t>
      </w:r>
    </w:p>
    <w:p>
      <w:pPr>
        <w:spacing w:after="0" w:line="9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These historical results are not necessarily indicative of future results, and the results for any interim period are not necessarily indicative of the results that may be expected for a full year.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5880" w:type="dxa"/>
            <w:vAlign w:val="bottom"/>
            <w:gridSpan w:val="3"/>
          </w:tcPr>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7"/>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80" w:type="dxa"/>
            <w:vAlign w:val="bottom"/>
            <w:gridSpan w:val="5"/>
          </w:tcPr>
          <w:p>
            <w:pPr>
              <w:jc w:val="center"/>
              <w:ind w:left="3350"/>
              <w:spacing w:after="0"/>
              <w:rPr>
                <w:sz w:val="20"/>
                <w:szCs w:val="20"/>
                <w:color w:val="auto"/>
              </w:rPr>
            </w:pPr>
            <w:r>
              <w:rPr>
                <w:rFonts w:ascii="Arial" w:cs="Arial" w:eastAsia="Arial" w:hAnsi="Arial"/>
                <w:sz w:val="18"/>
                <w:szCs w:val="18"/>
                <w:b w:val="1"/>
                <w:bCs w:val="1"/>
                <w:color w:val="auto"/>
                <w:w w:val="93"/>
              </w:rPr>
              <w:t>NI Holdings, Inc.</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540" w:type="dxa"/>
            <w:vAlign w:val="bottom"/>
            <w:gridSpan w:val="9"/>
          </w:tcPr>
          <w:p>
            <w:pPr>
              <w:jc w:val="center"/>
              <w:ind w:left="1890"/>
              <w:spacing w:after="0"/>
              <w:rPr>
                <w:sz w:val="20"/>
                <w:szCs w:val="20"/>
                <w:color w:val="auto"/>
              </w:rPr>
            </w:pPr>
            <w:r>
              <w:rPr>
                <w:rFonts w:ascii="Arial" w:cs="Arial" w:eastAsia="Arial" w:hAnsi="Arial"/>
                <w:sz w:val="18"/>
                <w:szCs w:val="18"/>
                <w:b w:val="1"/>
                <w:bCs w:val="1"/>
                <w:color w:val="auto"/>
                <w:w w:val="90"/>
              </w:rPr>
              <w:t>Four-Year Summary of Selected Financial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w w:val="93"/>
              </w:rPr>
              <w:t>Year Ended December 31,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line="251" w:lineRule="exact"/>
              <w:rPr>
                <w:sz w:val="20"/>
                <w:szCs w:val="20"/>
                <w:color w:val="auto"/>
              </w:rPr>
            </w:pPr>
            <w:r>
              <w:rPr>
                <w:rFonts w:ascii="Arial" w:cs="Arial" w:eastAsia="Arial" w:hAnsi="Arial"/>
                <w:sz w:val="18"/>
                <w:szCs w:val="18"/>
                <w:b w:val="1"/>
                <w:bCs w:val="1"/>
                <w:color w:val="auto"/>
                <w:w w:val="96"/>
              </w:rPr>
              <w:t xml:space="preserve">2018 </w:t>
            </w:r>
            <w:r>
              <w:rPr>
                <w:rFonts w:ascii="Arial" w:cs="Arial" w:eastAsia="Arial" w:hAnsi="Arial"/>
                <w:sz w:val="29"/>
                <w:szCs w:val="29"/>
                <w:b w:val="1"/>
                <w:bCs w:val="1"/>
                <w:color w:val="auto"/>
                <w:w w:val="96"/>
                <w:vertAlign w:val="superscript"/>
              </w:rPr>
              <w:t>(1)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 premiums written</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225,223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195,238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180,870</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Net premiums written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201,270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185,282</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156,713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143,065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premiums earned</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195,720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179,464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152,756</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Fee and other income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6,496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1,648</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Net realized capital gain on investments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3,974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2,997</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5,681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189,140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163,747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Components of net income: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Net premiums earned</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195,720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179,464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152,756</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139,473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Losses and loss adjustment expenses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122,711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5"/>
              </w:rPr>
              <w:t>Amortization of deferred policy acquisition costs and other underwriting and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general expenses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54,710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44,423</w:t>
            </w:r>
          </w:p>
        </w:tc>
        <w:tc>
          <w:tcPr>
            <w:tcW w:w="2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39,122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35,972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Underwriting gain (loss)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Fee and other income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Net realized capital gain on investments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3,974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2,997</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5,681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7,328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6,394</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1,479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ind w:left="6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Borders>
              <w:top w:val="single" w:sz="8" w:color="CCEEFF"/>
              <w:bottom w:val="single" w:sz="8" w:color="CCEEFF"/>
            </w:tcBorders>
            <w:gridSpan w:val="2"/>
            <w:shd w:val="clear" w:color="auto" w:fill="CCEEFF"/>
          </w:tcPr>
          <w:p>
            <w:pPr>
              <w:ind w:left="12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n/a</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ind w:left="680"/>
              <w:spacing w:after="0" w:line="196" w:lineRule="exact"/>
              <w:rPr>
                <w:sz w:val="20"/>
                <w:szCs w:val="20"/>
                <w:color w:val="auto"/>
              </w:rPr>
            </w:pPr>
            <w:r>
              <w:rPr>
                <w:rFonts w:ascii="Arial" w:cs="Arial" w:eastAsia="Arial" w:hAnsi="Arial"/>
                <w:sz w:val="18"/>
                <w:szCs w:val="18"/>
                <w:color w:val="auto"/>
                <w:w w:val="79"/>
              </w:rPr>
              <w:t>n/a</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Share data:</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Weighted average shares outstanding used in basic per share calculations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22,358,858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22,512,401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Plus: Dilutive securities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26,896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ind w:left="6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shares used in diluted per share calculations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22,385,754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22,512,629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n/a</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0"/>
              <w:spacing w:after="0" w:line="251" w:lineRule="exact"/>
              <w:rPr>
                <w:sz w:val="20"/>
                <w:szCs w:val="20"/>
                <w:color w:val="auto"/>
              </w:rPr>
            </w:pPr>
            <w:r>
              <w:rPr>
                <w:rFonts w:ascii="Arial" w:cs="Arial" w:eastAsia="Arial" w:hAnsi="Arial"/>
                <w:sz w:val="18"/>
                <w:szCs w:val="18"/>
                <w:b w:val="1"/>
                <w:bCs w:val="1"/>
                <w:color w:val="auto"/>
                <w:w w:val="96"/>
              </w:rPr>
              <w:t xml:space="preserve">2018 </w:t>
            </w:r>
            <w:r>
              <w:rPr>
                <w:rFonts w:ascii="Arial" w:cs="Arial" w:eastAsia="Arial" w:hAnsi="Arial"/>
                <w:sz w:val="29"/>
                <w:szCs w:val="29"/>
                <w:b w:val="1"/>
                <w:bCs w:val="1"/>
                <w:color w:val="auto"/>
                <w:w w:val="96"/>
                <w:vertAlign w:val="superscript"/>
              </w:rPr>
              <w:t>(1)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Cash and investments</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374,371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313,885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207,677</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197,793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Premiums and agents’ balances receivable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25,632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21,986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Deferred policy acquisition costs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8,859</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28,612</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40,098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458,492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376,988</w:t>
            </w:r>
          </w:p>
        </w:tc>
        <w:tc>
          <w:tcPr>
            <w:tcW w:w="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278,703</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258,624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Unpaid losses and loss adjustment expenses</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59,632</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84,767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63,262</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57,445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12,263</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182,739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121,415</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125,285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275,753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255,573</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153,418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149,918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Total book value per basic share</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ind w:left="6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420" w:firstLine="8"/>
        <w:spacing w:after="0" w:line="227" w:lineRule="auto"/>
        <w:tabs>
          <w:tab w:leader="none" w:pos="212"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Effective August 31, 2018, the Company acquired Direct Auto Insurance Company. See Note 4 to the Company’s Consolidated Financial Statements, included elsewhere in this Report.</w:t>
      </w:r>
    </w:p>
    <w:p>
      <w:pPr>
        <w:sectPr>
          <w:pgSz w:w="11900" w:h="16838" w:orient="portrait"/>
          <w:cols w:equalWidth="0" w:num="1">
            <w:col w:w="11420"/>
          </w:cols>
          <w:pgMar w:left="240" w:top="216" w:right="239" w:bottom="366" w:gutter="0" w:footer="0" w:header="0"/>
        </w:sect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366" w:gutter="0" w:footer="0" w:header="0"/>
          <w:type w:val="continuous"/>
        </w:sectPr>
      </w:pPr>
    </w:p>
    <w:bookmarkStart w:id="40" w:name="page41"/>
    <w:bookmarkEnd w:id="4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following discussion is intended to provide a more comprehensive review of the Company’s operating results and financial condition than can be obtained from reading the Consolidated Financial Statements alone. The discussion should be read in conjunction with the Consolidated Financial Statements and the notes thereto included in “Item 8. Financial Statements and Supplementary Data.” Some of the information contained in this discussion and analysis or set forth elsewhere in this Annual Report on Form 10-K constitutes forward-looking information that involves risks and uncertainties. Please see “Forward-Looking Information” and “Item 1A. Risk Factors” for more information. You should review “Risk Factors” for a discussion of important factors that could cause actual results to differ materially from the results described, or implied by, the forward-looking statements contained herein.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except per share amounts, are in thousands.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consolidated financial statements of NI Holdings include the financial position and results of operations of NI Holdings and six other entities:</w:t>
      </w:r>
    </w:p>
    <w:p>
      <w:pPr>
        <w:spacing w:after="0" w:line="46"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Nodak Insurance – a wholly-owned subsidiary of NI Holdings;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Nodak Agency, Inc. – a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American West – a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Primero – an indirect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Battle Creek – an affiliated company of Nodak Insurance;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Auto – a wholly-owned subsidiary of NI Holdings.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Battle Creek is managed by Nodak Insurance, and Nodak Insurance reinsures 100% of the risk on all insurance policies issued by Battle Creek.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Nodak Agency is an inactive shell corporation.</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August 31, 2018, NI Holdings completed the acquisition of 100% of the common stock of Direct Auto from private shareholders and Direct Auto became a consolidated subsidiary of the Company. Direct Auto is a property and casualty insurance company specializing in non-standard automobile insurance in the state of Illinois. Direct Auto remains headquartered in Chicago, Illinois and the current president of Direct Auto will continue to manage the Direct Auto insurance operations along with the current staff and management team. The results of Direct Auto are included as part of the Company’s non-standard auto business segment following the closing date.</w:t>
      </w:r>
    </w:p>
    <w:p>
      <w:pPr>
        <w:spacing w:after="0" w:line="14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limited nonstandard auto insurance coverage in Arizona, Nevada, North Dakota, and South Dakota. Direct Auto offers limited nonstandard auto insurance coverage in Illinois. Nodak Insurance and Battle Creek are rated by “A” by A.M. Best, which is the third highest out of a possible 15 ratings. American West is rated “A-”. Primero and Direct Auto are unrated.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Marketplace Conditions and Trends</w:t>
      </w:r>
    </w:p>
    <w:p>
      <w:pPr>
        <w:spacing w:after="0" w:line="18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 We believe that the market is generally in a stable phase as different portions of the market respond to higher frequency and severity of weather-related events.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Unlike property and casualty insurance, the total crop insurance premiums written each year vary mainly based on prevailing commodity prices for the type of crops planted, because the aggregate number of acres planted does not vary much from year to year. Because the premiums that are charged for crop insurance are established by the RMA, which is a division of the United States Department of Agriculture, and the policy forms and terms are also established by the RMA, insurers do not compete on price or policy terms and conditions. Moreover, because participation in other federal farm programs by a farmer is conditioned upon participation in the federal crop insurance program, most commercial farmers obtain crop insurance on their plantings each year.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derives its revenue primarily from net premiums earned, net investment income, and net realized capital gain (loss) on investments.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and net premiums written</w:t>
      </w:r>
    </w:p>
    <w:p>
      <w:pPr>
        <w:spacing w:after="0" w:line="19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typically have a term of twelve months. For example, for an annual policy that is written on July 1, 2018, one-half of the premiums would be earned in 2018 and the other half would be earned in 2019.</w:t>
      </w:r>
    </w:p>
    <w:p>
      <w:pPr>
        <w:spacing w:after="0" w:line="13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Due to the nature of the crop planting and harvesting cycle and the deadlines for filing and processing claims under the federal crop insurance program, insurance premiums for crop insurance are generally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realized capital gain (loss) on investments</w:t>
      </w:r>
    </w:p>
    <w:p>
      <w:pPr>
        <w:spacing w:after="0" w:line="18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NI Holdings invests its surplus and the funds supporting its insurance liabilities (including unearned premiums, and unpaid loss and loss adjustment expenses) in cash, cash equivalents, equity securities, and fixed income securities. Investment income includes interest and dividends earned on invested assets, and is reported net of investment-related expenses. Net realized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 NI Holdings’ portfolio of investments is managed by Conning, Inc., Disciplined Growth Investors, and CIBC Personal Wealth Management. These investment managers have discretion to buy and sell securities in accordance with the investment policy approved by our Board of Directors.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18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NI Holdings’ expenses consist primarily of losses and loss adjustment expenses (“LAE”), amortization of deferred policy acquisition costs, other underwriting and general expenses, and income taxes.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Loss Adjustment Expenses</w:t>
      </w:r>
    </w:p>
    <w:p>
      <w:pPr>
        <w:spacing w:after="0" w:line="18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 as well as payments to bureaus and assessments of statistical agencies for policy service and administration items such as rating manuals, rating plans, and experience data.</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NI Holdings uses the asset and liability method of accounting for deferred income taxes. Deferred income taxes arise from the recognition of temporary differences between financial statement carrying amounts and the tax bases of its assets and liabilities. A valuation allowance is provided when it is more likely than not that some portion of the deferred income tax asset will not be realized. The effect of a change in tax rates is recognized in the period of the enactment date.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NI Holdings evaluates its insurance operations in the way it believes will be most meaningful and representative of its business results. Some of these measurements are “non-GAAP financial measures” under Securities and Exchange Commission rules and regulations. GAAP is the acronym for “accounting principles generally accepted in the United States of America”. The non-GAAP financial measures that NI Holdings presents may not be compatible to similarly-named measures reported by other companies. The non-GAAP financial measures described in this section are used widely in the property and casualty insurance industry, and are the expense ratio, loss and LAE ratio, combined ratio, written premiums, ratio of net written premiums to statutory surplus, underwriting gain, return on average equity, and risk based capital.</w:t>
      </w:r>
    </w:p>
    <w:p>
      <w:pPr>
        <w:spacing w:after="0" w:line="13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19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18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Company’s combined ratio is the ratio (expressed as a percentage) of the sum of losses and LAE incurred and expenses to premiums earned,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written</w:t>
      </w:r>
    </w:p>
    <w:p>
      <w:pPr>
        <w:spacing w:after="0" w:line="19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Premiums written represent a measure of business volume most relevant on an annual basis for the Company’s business model. This measure includes the amount of premium purchased by policyholders as of the policy’s effective date, whereas premiums earned</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3" w:name="page44"/>
    <w:bookmarkEnd w:id="43"/>
    <w:p>
      <w:pPr>
        <w:spacing w:after="0"/>
        <w:rPr>
          <w:rFonts w:ascii="Arial" w:cs="Arial" w:eastAsia="Arial" w:hAnsi="Arial"/>
          <w:sz w:val="22"/>
          <w:szCs w:val="22"/>
          <w:i w:val="1"/>
          <w:iCs w:val="1"/>
          <w:u w:val="single" w:color="auto"/>
          <w:color w:val="0000EE"/>
        </w:rPr>
      </w:pPr>
      <w:hyperlink w:anchor="page3">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presented in the statement of operations matches the amount of premium to the period of risk for those insurance policies. The Company’s insurance policies are sold with a variety of effective periods, including annual, semi-annual, and monthly.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written to statutory surplus ratio</w:t>
      </w:r>
    </w:p>
    <w:p>
      <w:pPr>
        <w:spacing w:after="0" w:line="19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is theoretically using its capacity to write more policies. Statutory surplus is determined using accounting principles prescribed or permitted by the insurance subsidiaries’ state of domicile and differs from GAAP equity.</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 and return on average equity</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NI Holdings uses net income (loss) to measure its profit and uses return on average equity to measure its effectiveness in utilizing equity to generate net income. In determining return on average equity for a given year, net income (loss) is divided by the average of the beginning and ending equity for that year.</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consolidated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these estimates and assumptions and that reported results of operations would not be materially adversely affected by the need to make accounting adjustments to reflect changes in these estimates and assumptions from time to time. NI Holdings believes the following policies are the most sensitive to estimates and judgments.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Unpaid Losses and Loss Adjustment 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How reserves are established</w:t>
      </w:r>
    </w:p>
    <w:p>
      <w:pPr>
        <w:spacing w:after="0" w:line="18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With respect to its traditional property and casualty insurance products, the Company maintains reserves for the payment of claims (indemnity losses) and expenses related to adjusting those claims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16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if legal action is involved. Case reserves are reviewed on a regular basis and are updated as new information becomes available.</w:t>
      </w:r>
    </w:p>
    <w:p>
      <w:pPr>
        <w:spacing w:after="0" w:line="13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When a catastrophe occurs, which in the Company’s case mostly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losses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i w:val="1"/>
          <w:iCs w:val="1"/>
          <w:u w:val="single" w:color="auto"/>
          <w:color w:val="0000EE"/>
        </w:rPr>
      </w:pPr>
      <w:hyperlink w:anchor="page3">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may include significant estimates for IBNR.</w:t>
      </w:r>
    </w:p>
    <w:p>
      <w:pPr>
        <w:spacing w:after="0" w:line="1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15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as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would vary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determines its ultimate liability for unpaid losses and LAE by using the following actuarial methodologies:</w:t>
      </w:r>
    </w:p>
    <w:p>
      <w:pPr>
        <w:spacing w:after="0" w:line="181"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u w:val="single" w:color="auto"/>
          <w:color w:val="auto"/>
        </w:rPr>
        <w:t>Bornhuetter-Ferguson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Bornhuetter-Ferguson Method is a blended method that explicitly takes into account both actual loss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47"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u w:val="single" w:color="auto"/>
          <w:color w:val="auto"/>
        </w:rPr>
        <w:t>Paid and Case Incurred Loss Development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Paid and Case Incurred Loss Development Method utilizes ratios of cumulative paid</w:t>
      </w:r>
      <w:r>
        <w:rPr>
          <w:rFonts w:ascii="Arial" w:cs="Arial" w:eastAsia="Arial" w:hAnsi="Arial"/>
          <w:sz w:val="17"/>
          <w:szCs w:val="17"/>
          <w:b w:val="1"/>
          <w:bCs w:val="1"/>
          <w:color w:val="auto"/>
        </w:rPr>
        <w:t xml:space="preserve"> </w:t>
      </w:r>
      <w:r>
        <w:rPr>
          <w:rFonts w:ascii="Arial" w:cs="Arial" w:eastAsia="Arial" w:hAnsi="Arial"/>
          <w:sz w:val="17"/>
          <w:szCs w:val="17"/>
          <w:color w:val="auto"/>
        </w:rPr>
        <w:t>or case incurred losses or LAE at each age of development as a percent of the preceding development age. Selected ratios are then multiplied together to produce a set of loss development factors which when applied to the most current data value, by accident year, develop the estimated ultimate losses or LAE. Ultimate losses or LAE are then selected for each accident year from the various methods employed.</w:t>
      </w:r>
    </w:p>
    <w:p>
      <w:pPr>
        <w:spacing w:after="0" w:line="12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u w:val="single" w:color="auto"/>
          <w:color w:val="auto"/>
        </w:rPr>
        <w:t>Ratio of Paid ALAE to Paid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This method utilizes the ratio of paid allocated loss adjustment expense (“ALAE”) to paid losses and</w:t>
      </w:r>
      <w:r>
        <w:rPr>
          <w:rFonts w:ascii="Arial" w:cs="Arial" w:eastAsia="Arial" w:hAnsi="Arial"/>
          <w:sz w:val="18"/>
          <w:szCs w:val="18"/>
          <w:b w:val="1"/>
          <w:bCs w:val="1"/>
          <w:color w:val="auto"/>
        </w:rPr>
        <w:t xml:space="preserve"> </w:t>
      </w:r>
      <w:r>
        <w:rPr>
          <w:rFonts w:ascii="Arial" w:cs="Arial" w:eastAsia="Arial" w:hAnsi="Arial"/>
          <w:sz w:val="18"/>
          <w:szCs w:val="18"/>
          <w:color w:val="auto"/>
        </w:rPr>
        <w:t>is similar to the Paid and Case Incurred Method described above, except that the data projected are the ratios of paid ALAE to paid losses. The projected ultimate ratio is then multiplied by the selected ultimate losses, by accident year, to yield the ultimate ALAE. ALAE reserves are calculated by subtracting paid losses from ultimate ALAE.</w:t>
      </w:r>
    </w:p>
    <w:p>
      <w:pPr>
        <w:spacing w:after="0" w:line="14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process of estimating loss reserves involves a high degree of judgment and is subject to a number of variables. These variables can be affected by both internal and external events, such as changes in claims handling procedures, inflation, legal trends, and legislative changes, among others. The impact of many of these items on ultimate costs for losses and loss adjustment expenses is difficult to estimate. Loss reserve estimation is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5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Other factors that have or can have an impact on the Company’s case and IBNR reserves include but are not limited to those described below.</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5" w:name="page46"/>
    <w:bookmarkEnd w:id="45"/>
    <w:p>
      <w:pPr>
        <w:spacing w:after="0"/>
        <w:rPr>
          <w:rFonts w:ascii="Arial" w:cs="Arial" w:eastAsia="Arial" w:hAnsi="Arial"/>
          <w:sz w:val="22"/>
          <w:szCs w:val="22"/>
          <w:i w:val="1"/>
          <w:iCs w:val="1"/>
          <w:u w:val="single" w:color="auto"/>
          <w:color w:val="0000EE"/>
        </w:rPr>
      </w:pPr>
      <w:hyperlink w:anchor="page3">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liability law and public attitudes regarding damage awards</w:t>
      </w:r>
    </w:p>
    <w:p>
      <w:pPr>
        <w:spacing w:after="0" w:line="18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claims handling and/or setting case reserves</w:t>
      </w:r>
    </w:p>
    <w:p>
      <w:pPr>
        <w:spacing w:after="0" w:line="18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Economic inflation</w:t>
      </w:r>
    </w:p>
    <w:p>
      <w:pPr>
        <w:spacing w:after="0" w:line="19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Increases or decreases in claim severity for reasons other than inflation</w:t>
      </w:r>
    </w:p>
    <w:p>
      <w:pPr>
        <w:spacing w:after="0" w:line="18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Actual settlement experience different from historical data trends</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Reporting Lag</w:t>
      </w:r>
    </w:p>
    <w:p>
      <w:pPr>
        <w:spacing w:after="0" w:line="19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1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6" w:name="page47"/>
    <w:bookmarkEnd w:id="46"/>
    <w:p>
      <w:pPr>
        <w:spacing w:after="0"/>
        <w:rPr>
          <w:rFonts w:ascii="Arial" w:cs="Arial" w:eastAsia="Arial" w:hAnsi="Arial"/>
          <w:sz w:val="22"/>
          <w:szCs w:val="22"/>
          <w:i w:val="1"/>
          <w:iCs w:val="1"/>
          <w:u w:val="single" w:color="auto"/>
          <w:color w:val="0000EE"/>
        </w:rPr>
      </w:pPr>
      <w:hyperlink w:anchor="page3">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660"/>
              <w:spacing w:after="0"/>
              <w:rPr>
                <w:sz w:val="20"/>
                <w:szCs w:val="20"/>
                <w:color w:val="auto"/>
              </w:rPr>
            </w:pPr>
            <w:r>
              <w:rPr>
                <w:rFonts w:ascii="Arial" w:cs="Arial" w:eastAsia="Arial" w:hAnsi="Arial"/>
                <w:sz w:val="18"/>
                <w:szCs w:val="18"/>
                <w:i w:val="1"/>
                <w:iCs w:val="1"/>
                <w:color w:val="auto"/>
              </w:rPr>
              <w:t>Actuarial Loss Reserves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440" w:type="dxa"/>
            <w:vAlign w:val="bottom"/>
          </w:tcPr>
          <w:p>
            <w:pPr>
              <w:ind w:left="660"/>
              <w:spacing w:after="0"/>
              <w:rPr>
                <w:sz w:val="20"/>
                <w:szCs w:val="20"/>
                <w:color w:val="auto"/>
              </w:rPr>
            </w:pPr>
            <w:r>
              <w:rPr>
                <w:rFonts w:ascii="Arial" w:cs="Arial" w:eastAsia="Arial" w:hAnsi="Arial"/>
                <w:sz w:val="18"/>
                <w:szCs w:val="18"/>
                <w:color w:val="auto"/>
              </w:rPr>
              <w:t>NI Holdings’ liabilities for unpaid losses and LAE are summarized below:</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Case reserves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42,081</w:t>
            </w: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IBNR reserves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9,940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10,359</w:t>
            </w:r>
          </w:p>
        </w:tc>
      </w:tr>
      <w:tr>
        <w:trPr>
          <w:trHeight w:val="210"/>
        </w:trPr>
        <w:tc>
          <w:tcPr>
            <w:tcW w:w="74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unpaid losses and LAE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2,232</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7,192</w:t>
            </w:r>
          </w:p>
        </w:tc>
      </w:tr>
      <w:tr>
        <w:trPr>
          <w:trHeight w:val="223"/>
        </w:trPr>
        <w:tc>
          <w:tcPr>
            <w:tcW w:w="74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Liability for unpaid losses and LAE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provides case and IBNR reserves for unpaid losses and LAE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0"/>
              </w:rPr>
              <w:t>December 31, 2018</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5"/>
              </w:rPr>
              <w:t>Case Reserves</w:t>
            </w:r>
          </w:p>
        </w:tc>
        <w:tc>
          <w:tcPr>
            <w:tcW w:w="18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IBNR Reserves</w:t>
            </w:r>
          </w:p>
        </w:tc>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5"/>
              </w:rPr>
              <w:t>Total Reserves</w:t>
            </w:r>
          </w:p>
        </w:tc>
        <w:tc>
          <w:tcPr>
            <w:tcW w:w="100" w:type="dxa"/>
            <w:vAlign w:val="bottom"/>
            <w:gridSpan w:val="2"/>
          </w:tcPr>
          <w:p>
            <w:pPr>
              <w:spacing w:after="0"/>
              <w:rPr>
                <w:sz w:val="19"/>
                <w:szCs w:val="19"/>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Non-standard auto</w:t>
            </w:r>
          </w:p>
        </w:tc>
        <w:tc>
          <w:tcPr>
            <w:tcW w:w="3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49,109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(2,323)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46,786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Crop</w:t>
            </w:r>
          </w:p>
        </w:tc>
        <w:tc>
          <w:tcPr>
            <w:tcW w:w="3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1,686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5,014</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8,381</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360" w:type="dxa"/>
            <w:vAlign w:val="bottom"/>
            <w:tcBorders>
              <w:top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76,150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0"/>
              </w:rPr>
              <w:t>December 31, 2017</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5"/>
              </w:rPr>
              <w:t>Case Reserves</w:t>
            </w:r>
          </w:p>
        </w:tc>
        <w:tc>
          <w:tcPr>
            <w:tcW w:w="18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IBNR Reserves</w:t>
            </w:r>
          </w:p>
        </w:tc>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5"/>
              </w:rPr>
              <w:t>Total Reserves</w:t>
            </w:r>
          </w:p>
        </w:tc>
        <w:tc>
          <w:tcPr>
            <w:tcW w:w="100" w:type="dxa"/>
            <w:vAlign w:val="bottom"/>
            <w:gridSpan w:val="2"/>
          </w:tcPr>
          <w:p>
            <w:pPr>
              <w:spacing w:after="0"/>
              <w:rPr>
                <w:sz w:val="19"/>
                <w:szCs w:val="19"/>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Non-standard auto</w:t>
            </w:r>
          </w:p>
        </w:tc>
        <w:tc>
          <w:tcPr>
            <w:tcW w:w="3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5,186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5,810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6,667</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Crop</w:t>
            </w:r>
          </w:p>
        </w:tc>
        <w:tc>
          <w:tcPr>
            <w:tcW w:w="3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5,239</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360" w:type="dxa"/>
            <w:vAlign w:val="bottom"/>
            <w:tcBorders>
              <w:top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29,376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4,128</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0"/>
              </w:rPr>
              <w:t>December 31, 2016</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5"/>
              </w:rPr>
              <w:t>Case Reserves</w:t>
            </w:r>
          </w:p>
        </w:tc>
        <w:tc>
          <w:tcPr>
            <w:tcW w:w="18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IBNR Reserves</w:t>
            </w:r>
          </w:p>
        </w:tc>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5"/>
              </w:rPr>
              <w:t>Total Reserves</w:t>
            </w:r>
          </w:p>
        </w:tc>
        <w:tc>
          <w:tcPr>
            <w:tcW w:w="100" w:type="dxa"/>
            <w:vAlign w:val="bottom"/>
            <w:gridSpan w:val="2"/>
          </w:tcPr>
          <w:p>
            <w:pPr>
              <w:spacing w:after="0"/>
              <w:rPr>
                <w:sz w:val="19"/>
                <w:szCs w:val="19"/>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Non-standard auto</w:t>
            </w:r>
          </w:p>
        </w:tc>
        <w:tc>
          <w:tcPr>
            <w:tcW w:w="3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5,209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5,933</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11,638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Crop</w:t>
            </w:r>
          </w:p>
        </w:tc>
        <w:tc>
          <w:tcPr>
            <w:tcW w:w="3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3,607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3,691</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3,965</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3,542</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7,507</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360" w:type="dxa"/>
            <w:vAlign w:val="bottom"/>
            <w:tcBorders>
              <w:top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42,081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6,286</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7,192</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48,367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of Major Assumptions Underlying the Liabilities for Unpaid Losses and Loss Adjustment Expenses</w:t>
      </w:r>
    </w:p>
    <w:p>
      <w:pPr>
        <w:spacing w:after="0" w:line="198"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Management has identified the impact on earnings of various factors used in establishing loss reserves so that users of the Company’s financial statements can better understand how development on prior years’ reserves might affect the Company’s results of operations.</w:t>
      </w:r>
    </w:p>
    <w:p>
      <w:pPr>
        <w:sectPr>
          <w:pgSz w:w="11900" w:h="16838" w:orient="portrait"/>
          <w:cols w:equalWidth="0" w:num="1">
            <w:col w:w="11420"/>
          </w:cols>
          <w:pgMar w:left="240" w:top="226" w:right="239" w:bottom="1440" w:gutter="0" w:footer="0" w:header="0"/>
        </w:sectPr>
      </w:pP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7" w:name="page48"/>
    <w:bookmarkEnd w:id="4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Total Reserves</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December 31, 2018, the impact of a 1% change in our estimate for unpaid losses and LAE, net of reinsurance recoverables, on our net income, after income taxes of 21%, would be approximately $671.</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Inflation</w:t>
      </w:r>
    </w:p>
    <w:p>
      <w:pPr>
        <w:spacing w:after="0" w:line="18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Inflation is not explicitly selected in the loss reserve analysis. However, historical inflation is embedded in the estimated loss development factors. The following table displays the impact on net income, after income taxes of 21%, resulting from various changes from the inflation factor implicitly embedded in the estimated payment pattern as of December 31, 2018. A change in inflation may or may not fully affect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27"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3260" w:type="dxa"/>
            <w:vAlign w:val="bottom"/>
          </w:tcPr>
          <w:p>
            <w:pPr>
              <w:ind w:left="860"/>
              <w:spacing w:after="0"/>
              <w:rPr>
                <w:sz w:val="20"/>
                <w:szCs w:val="20"/>
                <w:color w:val="auto"/>
              </w:rPr>
            </w:pPr>
            <w:r>
              <w:rPr>
                <w:rFonts w:ascii="Arial" w:cs="Arial" w:eastAsia="Arial" w:hAnsi="Arial"/>
                <w:sz w:val="18"/>
                <w:szCs w:val="18"/>
                <w:b w:val="1"/>
                <w:bCs w:val="1"/>
                <w:color w:val="auto"/>
              </w:rPr>
              <w:t>Change in Inflation</w:t>
            </w:r>
          </w:p>
        </w:tc>
        <w:tc>
          <w:tcPr>
            <w:tcW w:w="2440" w:type="dxa"/>
            <w:vAlign w:val="bottom"/>
            <w:gridSpan w:val="4"/>
          </w:tcPr>
          <w:p>
            <w:pPr>
              <w:ind w:left="40"/>
              <w:spacing w:after="0"/>
              <w:rPr>
                <w:sz w:val="20"/>
                <w:szCs w:val="20"/>
                <w:color w:val="auto"/>
              </w:rPr>
            </w:pPr>
            <w:r>
              <w:rPr>
                <w:rFonts w:ascii="Arial" w:cs="Arial" w:eastAsia="Arial" w:hAnsi="Arial"/>
                <w:sz w:val="18"/>
                <w:szCs w:val="18"/>
                <w:b w:val="1"/>
                <w:bCs w:val="1"/>
                <w:color w:val="auto"/>
                <w:w w:val="94"/>
              </w:rPr>
              <w:t>Impact on After-Tax Earnings</w:t>
            </w:r>
          </w:p>
        </w:tc>
      </w:tr>
      <w:tr>
        <w:trPr>
          <w:trHeight w:val="210"/>
        </w:trPr>
        <w:tc>
          <w:tcPr>
            <w:tcW w:w="3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w:t>
            </w: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r>
      <w:tr>
        <w:trPr>
          <w:trHeight w:val="216"/>
        </w:trPr>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80" w:type="dxa"/>
            <w:vAlign w:val="bottom"/>
            <w:shd w:val="clear" w:color="auto" w:fill="CCEEFF"/>
          </w:tcPr>
          <w:p>
            <w:pPr>
              <w:spacing w:after="0"/>
              <w:rPr>
                <w:sz w:val="18"/>
                <w:szCs w:val="18"/>
                <w:color w:val="auto"/>
              </w:rPr>
            </w:pPr>
          </w:p>
        </w:tc>
      </w:tr>
      <w:tr>
        <w:trPr>
          <w:trHeight w:val="230"/>
        </w:trPr>
        <w:tc>
          <w:tcPr>
            <w:tcW w:w="32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6,318</w:t>
            </w:r>
          </w:p>
        </w:tc>
        <w:tc>
          <w:tcPr>
            <w:tcW w:w="80" w:type="dxa"/>
            <w:vAlign w:val="bottom"/>
          </w:tcPr>
          <w:p>
            <w:pPr>
              <w:spacing w:after="0"/>
              <w:rPr>
                <w:sz w:val="20"/>
                <w:szCs w:val="20"/>
                <w:color w:val="auto"/>
              </w:rPr>
            </w:pPr>
          </w:p>
        </w:tc>
      </w:tr>
    </w:tbl>
    <w:p>
      <w:pPr>
        <w:spacing w:after="0" w:line="37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Inflation includes actual inflation as well as social inflation that includes future emergence of new classes of losses or types of losses, change in judicial awards, and any other changes beyond assumed levels that affect the cost of claims.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Case Reserves</w:t>
      </w:r>
    </w:p>
    <w:p>
      <w:pPr>
        <w:spacing w:after="0" w:line="18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income taxes of 21%, which results from various changes to the level of case reserves as of December 31, 2018. This variance in future IBNR emergence could occur in one year or over multiple years, depending when the change is recognized.</w:t>
      </w:r>
    </w:p>
    <w:p>
      <w:pPr>
        <w:spacing w:after="0" w:line="137"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3260" w:type="dxa"/>
            <w:vAlign w:val="bottom"/>
          </w:tcPr>
          <w:p>
            <w:pPr>
              <w:ind w:left="660"/>
              <w:spacing w:after="0"/>
              <w:rPr>
                <w:sz w:val="20"/>
                <w:szCs w:val="20"/>
                <w:color w:val="auto"/>
              </w:rPr>
            </w:pPr>
            <w:r>
              <w:rPr>
                <w:rFonts w:ascii="Arial" w:cs="Arial" w:eastAsia="Arial" w:hAnsi="Arial"/>
                <w:sz w:val="18"/>
                <w:szCs w:val="18"/>
                <w:b w:val="1"/>
                <w:bCs w:val="1"/>
                <w:color w:val="auto"/>
              </w:rPr>
              <w:t>Change in Case Reserves</w:t>
            </w:r>
          </w:p>
        </w:tc>
        <w:tc>
          <w:tcPr>
            <w:tcW w:w="2440" w:type="dxa"/>
            <w:vAlign w:val="bottom"/>
            <w:gridSpan w:val="4"/>
          </w:tcPr>
          <w:p>
            <w:pPr>
              <w:ind w:left="40"/>
              <w:spacing w:after="0"/>
              <w:rPr>
                <w:sz w:val="20"/>
                <w:szCs w:val="20"/>
                <w:color w:val="auto"/>
              </w:rPr>
            </w:pPr>
            <w:r>
              <w:rPr>
                <w:rFonts w:ascii="Arial" w:cs="Arial" w:eastAsia="Arial" w:hAnsi="Arial"/>
                <w:sz w:val="18"/>
                <w:szCs w:val="18"/>
                <w:b w:val="1"/>
                <w:bCs w:val="1"/>
                <w:color w:val="auto"/>
                <w:w w:val="94"/>
              </w:rPr>
              <w:t>Impact on After-Tax Earnings</w:t>
            </w:r>
          </w:p>
        </w:tc>
      </w:tr>
      <w:tr>
        <w:trPr>
          <w:trHeight w:val="210"/>
        </w:trPr>
        <w:tc>
          <w:tcPr>
            <w:tcW w:w="3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-10%</w:t>
            </w: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tcPr>
          <w:p>
            <w:pPr>
              <w:jc w:val="center"/>
              <w:spacing w:after="0"/>
              <w:rPr>
                <w:sz w:val="20"/>
                <w:szCs w:val="20"/>
                <w:color w:val="auto"/>
              </w:rPr>
            </w:pPr>
            <w:r>
              <w:rPr>
                <w:rFonts w:ascii="Arial" w:cs="Arial" w:eastAsia="Arial" w:hAnsi="Arial"/>
                <w:sz w:val="18"/>
                <w:szCs w:val="18"/>
                <w:color w:val="auto"/>
                <w:w w:val="93"/>
              </w:rPr>
              <w:t>-5%</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(3,022)</w:t>
            </w:r>
          </w:p>
        </w:tc>
      </w:tr>
      <w:tr>
        <w:trPr>
          <w:trHeight w:val="216"/>
        </w:trPr>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(1,209)</w:t>
            </w:r>
          </w:p>
        </w:tc>
      </w:tr>
      <w:tr>
        <w:trPr>
          <w:trHeight w:val="216"/>
        </w:trPr>
        <w:tc>
          <w:tcPr>
            <w:tcW w:w="32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1,209</w:t>
            </w:r>
          </w:p>
        </w:tc>
        <w:tc>
          <w:tcPr>
            <w:tcW w:w="80" w:type="dxa"/>
            <w:vAlign w:val="bottom"/>
          </w:tcPr>
          <w:p>
            <w:pPr>
              <w:spacing w:after="0"/>
              <w:rPr>
                <w:sz w:val="18"/>
                <w:szCs w:val="18"/>
                <w:color w:val="auto"/>
              </w:rPr>
            </w:pPr>
          </w:p>
        </w:tc>
      </w:tr>
      <w:tr>
        <w:trPr>
          <w:trHeight w:val="216"/>
        </w:trPr>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80" w:type="dxa"/>
            <w:vAlign w:val="bottom"/>
            <w:shd w:val="clear" w:color="auto" w:fill="CCEEFF"/>
          </w:tcPr>
          <w:p>
            <w:pPr>
              <w:spacing w:after="0"/>
              <w:rPr>
                <w:sz w:val="18"/>
                <w:szCs w:val="18"/>
                <w:color w:val="auto"/>
              </w:rPr>
            </w:pPr>
          </w:p>
        </w:tc>
      </w:tr>
      <w:tr>
        <w:trPr>
          <w:trHeight w:val="230"/>
        </w:trPr>
        <w:tc>
          <w:tcPr>
            <w:tcW w:w="326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6,045</w:t>
            </w:r>
          </w:p>
        </w:tc>
        <w:tc>
          <w:tcPr>
            <w:tcW w:w="80" w:type="dxa"/>
            <w:vAlign w:val="bottom"/>
          </w:tcPr>
          <w:p>
            <w:pPr>
              <w:spacing w:after="0"/>
              <w:rPr>
                <w:sz w:val="20"/>
                <w:szCs w:val="20"/>
                <w:color w:val="auto"/>
              </w:rPr>
            </w:pPr>
          </w:p>
        </w:tc>
      </w:tr>
    </w:tbl>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 fixed income securities, and on equity securities through December 31, 2018, net of applicable income taxes, are reflected directly in Equity as a component of comprehensive income (loss) and, accordingly, have no effect on net income (loss). Effective January 1, 2019, changes in unrealized investments gains or losses on equity securities will impact net income (loss) as they occur instead of as an adjustment to Equity as a component of comprehensive income (loss). Investment income is recognized when earned, and realized capital gains and losses on investments are recognized when investments are sold, or an other-than-temporary impairment is recognized.</w:t>
      </w:r>
    </w:p>
    <w:p>
      <w:pPr>
        <w:spacing w:after="0" w:line="15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NI Holdings evaluates securities for other-than-temporary impairment (“OTTI”) at least on a quarterly basis. NI Holdings assesses whether OTTI is present when the fair value of a security is less than its amortized cost. OTTI is considered to have occurred with respect to fixed income securities if (1) an entity intends to sell the security, (2) 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4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6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year ended December 31, 2018, NI Holdings’ investment portfolio experienced a loss in the net change in unrealized gains/losses of $12,279, with losses occurring in both fixed income and equity securities.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December 31, 2018</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Gross unrealized gains</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1,077</w:t>
            </w:r>
          </w:p>
        </w:tc>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2,738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unrealized losses</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(3,402)</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Net fixed income securities unrealized gains (losses)</w:t>
            </w: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Equity securities: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unrealized gains</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14,180</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Gross unrealized losses</w:t>
            </w:r>
          </w:p>
        </w:tc>
        <w:tc>
          <w:tcPr>
            <w:tcW w:w="5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(3,821)</w:t>
            </w:r>
          </w:p>
        </w:tc>
        <w:tc>
          <w:tcPr>
            <w:tcW w:w="5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equity securities unrealized gains</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unrealized gains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20,313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NI Holdings has evaluated each security and taken into account the severity and duration of any impairment, the current rating on the bond, and the outlook for the issuer according to independent analysts. The Company’s fixed income portfolio is managed by Conning Asset Management, which specializes in the handling of insurance company investments and participates in this evaluation.</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year ended December 31, 2018, NI Holdings recognized $382 of other-than-temporary impairments of its investment securities. For the year ended December 31, 2017, NI Holdings recognized $330 of other-than-temporary impairments of its investment securities. For the year ended December 31, 2016, NI Holdings recognized no other-than-temporary impairments of its investment securities. Adverse investment market conditions, or poor operating results of underlying investments, could result in impairment charges in the future.</w:t>
      </w:r>
    </w:p>
    <w:p>
      <w:pPr>
        <w:spacing w:after="0" w:line="146" w:lineRule="exact"/>
        <w:rPr>
          <w:sz w:val="20"/>
          <w:szCs w:val="20"/>
          <w:color w:val="auto"/>
        </w:rPr>
      </w:pPr>
    </w:p>
    <w:p>
      <w:pPr>
        <w:ind w:left="660" w:right="560"/>
        <w:spacing w:after="0" w:line="461" w:lineRule="auto"/>
        <w:rPr>
          <w:sz w:val="20"/>
          <w:szCs w:val="20"/>
          <w:color w:val="auto"/>
        </w:rPr>
      </w:pPr>
      <w:r>
        <w:rPr>
          <w:rFonts w:ascii="Arial" w:cs="Arial" w:eastAsia="Arial" w:hAnsi="Arial"/>
          <w:sz w:val="18"/>
          <w:szCs w:val="18"/>
          <w:color w:val="auto"/>
        </w:rPr>
        <w:t xml:space="preserve">For more information on the Company’s investments, see Note 6 to the Consolidated Financial Statements, included elsewhere in this Report. </w:t>
      </w:r>
      <w:r>
        <w:rPr>
          <w:rFonts w:ascii="Arial" w:cs="Arial" w:eastAsia="Arial" w:hAnsi="Arial"/>
          <w:sz w:val="18"/>
          <w:szCs w:val="18"/>
          <w:b w:val="1"/>
          <w:bCs w:val="1"/>
          <w:i w:val="1"/>
          <w:iCs w:val="1"/>
          <w:color w:val="auto"/>
        </w:rPr>
        <w:t>Fair Value Measurements</w:t>
      </w:r>
    </w:p>
    <w:p>
      <w:pPr>
        <w:spacing w:after="0" w:line="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ind w:left="660"/>
              <w:spacing w:after="0"/>
              <w:rPr>
                <w:sz w:val="20"/>
                <w:szCs w:val="20"/>
                <w:color w:val="auto"/>
              </w:rPr>
            </w:pPr>
            <w:r>
              <w:rPr>
                <w:rFonts w:ascii="Arial" w:cs="Arial" w:eastAsia="Arial" w:hAnsi="Arial"/>
                <w:sz w:val="18"/>
                <w:szCs w:val="18"/>
                <w:i w:val="1"/>
                <w:iCs w:val="1"/>
                <w:color w:val="auto"/>
              </w:rPr>
              <w:t>Level I</w:t>
            </w:r>
            <w:r>
              <w:rPr>
                <w:rFonts w:ascii="Arial" w:cs="Arial" w:eastAsia="Arial" w:hAnsi="Arial"/>
                <w:sz w:val="18"/>
                <w:szCs w:val="18"/>
                <w:color w:val="auto"/>
              </w:rPr>
              <w:t>:</w:t>
            </w:r>
          </w:p>
        </w:tc>
        <w:tc>
          <w:tcPr>
            <w:tcW w:w="9480" w:type="dxa"/>
            <w:vAlign w:val="bottom"/>
          </w:tcPr>
          <w:p>
            <w:pPr>
              <w:ind w:left="660"/>
              <w:spacing w:after="0"/>
              <w:rPr>
                <w:sz w:val="20"/>
                <w:szCs w:val="20"/>
                <w:color w:val="auto"/>
              </w:rPr>
            </w:pPr>
            <w:r>
              <w:rPr>
                <w:rFonts w:ascii="Arial" w:cs="Arial" w:eastAsia="Arial" w:hAnsi="Arial"/>
                <w:sz w:val="18"/>
                <w:szCs w:val="18"/>
                <w:color w:val="auto"/>
                <w:w w:val="89"/>
              </w:rPr>
              <w:t>Unadjusted quoted prices in active markets that are accessible at the measurement date for identical, unrestricted assets or</w:t>
            </w:r>
          </w:p>
        </w:tc>
      </w:tr>
      <w:tr>
        <w:trPr>
          <w:trHeight w:val="230"/>
        </w:trPr>
        <w:tc>
          <w:tcPr>
            <w:tcW w:w="1940" w:type="dxa"/>
            <w:vAlign w:val="bottom"/>
          </w:tcPr>
          <w:p>
            <w:pPr>
              <w:spacing w:after="0"/>
              <w:rPr>
                <w:sz w:val="20"/>
                <w:szCs w:val="20"/>
                <w:color w:val="auto"/>
              </w:rPr>
            </w:pPr>
          </w:p>
        </w:tc>
        <w:tc>
          <w:tcPr>
            <w:tcW w:w="9480" w:type="dxa"/>
            <w:vAlign w:val="bottom"/>
          </w:tcPr>
          <w:p>
            <w:pPr>
              <w:ind w:left="660"/>
              <w:spacing w:after="0"/>
              <w:rPr>
                <w:sz w:val="20"/>
                <w:szCs w:val="20"/>
                <w:color w:val="auto"/>
              </w:rPr>
            </w:pPr>
            <w:r>
              <w:rPr>
                <w:rFonts w:ascii="Arial" w:cs="Arial" w:eastAsia="Arial" w:hAnsi="Arial"/>
                <w:sz w:val="18"/>
                <w:szCs w:val="18"/>
                <w:color w:val="auto"/>
              </w:rPr>
              <w:t>liabilities.</w:t>
            </w:r>
          </w:p>
        </w:tc>
      </w:tr>
      <w:tr>
        <w:trPr>
          <w:trHeight w:val="377"/>
        </w:trPr>
        <w:tc>
          <w:tcPr>
            <w:tcW w:w="1940" w:type="dxa"/>
            <w:vAlign w:val="bottom"/>
          </w:tcPr>
          <w:p>
            <w:pPr>
              <w:ind w:left="660"/>
              <w:spacing w:after="0"/>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p>
        </w:tc>
        <w:tc>
          <w:tcPr>
            <w:tcW w:w="9480" w:type="dxa"/>
            <w:vAlign w:val="bottom"/>
          </w:tcPr>
          <w:p>
            <w:pPr>
              <w:ind w:left="660"/>
              <w:spacing w:after="0"/>
              <w:rPr>
                <w:sz w:val="20"/>
                <w:szCs w:val="20"/>
                <w:color w:val="auto"/>
              </w:rPr>
            </w:pPr>
            <w:r>
              <w:rPr>
                <w:rFonts w:ascii="Arial" w:cs="Arial" w:eastAsia="Arial" w:hAnsi="Arial"/>
                <w:sz w:val="18"/>
                <w:szCs w:val="18"/>
                <w:color w:val="auto"/>
                <w:w w:val="91"/>
              </w:rPr>
              <w:t>Quoted prices in markets that are not active, or inputs that are observable either directly or indirectly, for substantially the</w:t>
            </w:r>
          </w:p>
        </w:tc>
      </w:tr>
      <w:tr>
        <w:trPr>
          <w:trHeight w:val="216"/>
        </w:trPr>
        <w:tc>
          <w:tcPr>
            <w:tcW w:w="1940" w:type="dxa"/>
            <w:vAlign w:val="bottom"/>
          </w:tcPr>
          <w:p>
            <w:pPr>
              <w:spacing w:after="0"/>
              <w:rPr>
                <w:sz w:val="18"/>
                <w:szCs w:val="18"/>
                <w:color w:val="auto"/>
              </w:rPr>
            </w:pPr>
          </w:p>
        </w:tc>
        <w:tc>
          <w:tcPr>
            <w:tcW w:w="9480" w:type="dxa"/>
            <w:vAlign w:val="bottom"/>
          </w:tcPr>
          <w:p>
            <w:pPr>
              <w:ind w:left="660"/>
              <w:spacing w:after="0"/>
              <w:rPr>
                <w:sz w:val="20"/>
                <w:szCs w:val="20"/>
                <w:color w:val="auto"/>
              </w:rPr>
            </w:pPr>
            <w:r>
              <w:rPr>
                <w:rFonts w:ascii="Arial" w:cs="Arial" w:eastAsia="Arial" w:hAnsi="Arial"/>
                <w:sz w:val="18"/>
                <w:szCs w:val="18"/>
                <w:color w:val="auto"/>
              </w:rPr>
              <w:t>full term of the asset or liability. Level II includes fixed income securities with quoted prices that are traded less</w:t>
            </w:r>
          </w:p>
        </w:tc>
      </w:tr>
      <w:tr>
        <w:trPr>
          <w:trHeight w:val="216"/>
        </w:trPr>
        <w:tc>
          <w:tcPr>
            <w:tcW w:w="1940" w:type="dxa"/>
            <w:vAlign w:val="bottom"/>
          </w:tcPr>
          <w:p>
            <w:pPr>
              <w:spacing w:after="0"/>
              <w:rPr>
                <w:sz w:val="18"/>
                <w:szCs w:val="18"/>
                <w:color w:val="auto"/>
              </w:rPr>
            </w:pPr>
          </w:p>
        </w:tc>
        <w:tc>
          <w:tcPr>
            <w:tcW w:w="9480" w:type="dxa"/>
            <w:vAlign w:val="bottom"/>
          </w:tcPr>
          <w:p>
            <w:pPr>
              <w:ind w:left="660"/>
              <w:spacing w:after="0"/>
              <w:rPr>
                <w:sz w:val="20"/>
                <w:szCs w:val="20"/>
                <w:color w:val="auto"/>
              </w:rPr>
            </w:pPr>
            <w:r>
              <w:rPr>
                <w:rFonts w:ascii="Arial" w:cs="Arial" w:eastAsia="Arial" w:hAnsi="Arial"/>
                <w:sz w:val="18"/>
                <w:szCs w:val="18"/>
                <w:color w:val="auto"/>
                <w:w w:val="97"/>
              </w:rPr>
              <w:t>frequently than exchange traded instruments. Valuation techniques include matrix pricing which is a mathematical</w:t>
            </w:r>
          </w:p>
        </w:tc>
      </w:tr>
      <w:tr>
        <w:trPr>
          <w:trHeight w:val="216"/>
        </w:trPr>
        <w:tc>
          <w:tcPr>
            <w:tcW w:w="1940" w:type="dxa"/>
            <w:vAlign w:val="bottom"/>
          </w:tcPr>
          <w:p>
            <w:pPr>
              <w:spacing w:after="0"/>
              <w:rPr>
                <w:sz w:val="18"/>
                <w:szCs w:val="18"/>
                <w:color w:val="auto"/>
              </w:rPr>
            </w:pPr>
          </w:p>
        </w:tc>
        <w:tc>
          <w:tcPr>
            <w:tcW w:w="9480" w:type="dxa"/>
            <w:vAlign w:val="bottom"/>
          </w:tcPr>
          <w:p>
            <w:pPr>
              <w:ind w:left="660"/>
              <w:spacing w:after="0"/>
              <w:rPr>
                <w:sz w:val="20"/>
                <w:szCs w:val="20"/>
                <w:color w:val="auto"/>
              </w:rPr>
            </w:pPr>
            <w:r>
              <w:rPr>
                <w:rFonts w:ascii="Arial" w:cs="Arial" w:eastAsia="Arial" w:hAnsi="Arial"/>
                <w:sz w:val="18"/>
                <w:szCs w:val="18"/>
                <w:color w:val="auto"/>
                <w:w w:val="97"/>
              </w:rPr>
              <w:t>technique used widely in the industry to value fixed income securities without relying exclusively on quoted market</w:t>
            </w:r>
          </w:p>
        </w:tc>
      </w:tr>
      <w:tr>
        <w:trPr>
          <w:trHeight w:val="230"/>
        </w:trPr>
        <w:tc>
          <w:tcPr>
            <w:tcW w:w="1940" w:type="dxa"/>
            <w:vAlign w:val="bottom"/>
          </w:tcPr>
          <w:p>
            <w:pPr>
              <w:spacing w:after="0"/>
              <w:rPr>
                <w:sz w:val="20"/>
                <w:szCs w:val="20"/>
                <w:color w:val="auto"/>
              </w:rPr>
            </w:pPr>
          </w:p>
        </w:tc>
        <w:tc>
          <w:tcPr>
            <w:tcW w:w="9480" w:type="dxa"/>
            <w:vAlign w:val="bottom"/>
          </w:tcPr>
          <w:p>
            <w:pPr>
              <w:ind w:left="660"/>
              <w:spacing w:after="0"/>
              <w:rPr>
                <w:sz w:val="20"/>
                <w:szCs w:val="20"/>
                <w:color w:val="auto"/>
              </w:rPr>
            </w:pPr>
            <w:r>
              <w:rPr>
                <w:rFonts w:ascii="Arial" w:cs="Arial" w:eastAsia="Arial" w:hAnsi="Arial"/>
                <w:sz w:val="18"/>
                <w:szCs w:val="18"/>
                <w:color w:val="auto"/>
                <w:w w:val="94"/>
              </w:rPr>
              <w:t>prices for the specific securities but rather by relying on the securities’ relationship to other benchmark quoted prices.</w:t>
            </w:r>
          </w:p>
        </w:tc>
      </w:tr>
      <w:tr>
        <w:trPr>
          <w:trHeight w:val="453"/>
        </w:trPr>
        <w:tc>
          <w:tcPr>
            <w:tcW w:w="194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ind w:left="3660"/>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20"/>
          </w:cols>
          <w:pgMar w:left="240" w:top="233"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680" w:type="dxa"/>
            <w:vAlign w:val="bottom"/>
          </w:tcPr>
          <w:p>
            <w:pPr>
              <w:spacing w:after="0"/>
              <w:rPr>
                <w:sz w:val="17"/>
                <w:szCs w:val="17"/>
                <w:color w:val="auto"/>
              </w:rPr>
            </w:pPr>
          </w:p>
        </w:tc>
        <w:tc>
          <w:tcPr>
            <w:tcW w:w="9400" w:type="dxa"/>
            <w:vAlign w:val="bottom"/>
          </w:tcPr>
          <w:p>
            <w:pPr>
              <w:spacing w:after="0"/>
              <w:rPr>
                <w:sz w:val="17"/>
                <w:szCs w:val="17"/>
                <w:color w:val="auto"/>
              </w:rPr>
            </w:pPr>
          </w:p>
        </w:tc>
      </w:tr>
      <w:tr>
        <w:trPr>
          <w:trHeight w:val="438"/>
        </w:trPr>
        <w:tc>
          <w:tcPr>
            <w:tcW w:w="1960" w:type="dxa"/>
            <w:vAlign w:val="bottom"/>
            <w:gridSpan w:val="2"/>
          </w:tcPr>
          <w:p>
            <w:pPr>
              <w:ind w:left="660"/>
              <w:spacing w:after="0"/>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p>
        </w:tc>
        <w:tc>
          <w:tcPr>
            <w:tcW w:w="9400" w:type="dxa"/>
            <w:vAlign w:val="bottom"/>
          </w:tcPr>
          <w:p>
            <w:pPr>
              <w:ind w:left="640"/>
              <w:spacing w:after="0"/>
              <w:rPr>
                <w:sz w:val="20"/>
                <w:szCs w:val="20"/>
                <w:color w:val="auto"/>
              </w:rPr>
            </w:pPr>
            <w:r>
              <w:rPr>
                <w:rFonts w:ascii="Arial" w:cs="Arial" w:eastAsia="Arial" w:hAnsi="Arial"/>
                <w:sz w:val="18"/>
                <w:szCs w:val="18"/>
                <w:color w:val="auto"/>
                <w:w w:val="89"/>
              </w:rPr>
              <w:t>Prices or valuation techniques that require inputs that are both significant to the fair value measurement and unobservable</w:t>
            </w:r>
          </w:p>
        </w:tc>
      </w:tr>
      <w:tr>
        <w:trPr>
          <w:trHeight w:val="230"/>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0" w:type="dxa"/>
            <w:vAlign w:val="bottom"/>
          </w:tcPr>
          <w:p>
            <w:pPr>
              <w:ind w:left="640"/>
              <w:spacing w:after="0"/>
              <w:rPr>
                <w:sz w:val="20"/>
                <w:szCs w:val="20"/>
                <w:color w:val="auto"/>
              </w:rPr>
            </w:pPr>
            <w:r>
              <w:rPr>
                <w:rFonts w:ascii="Arial" w:cs="Arial" w:eastAsia="Arial" w:hAnsi="Arial"/>
                <w:sz w:val="18"/>
                <w:szCs w:val="18"/>
                <w:color w:val="auto"/>
              </w:rPr>
              <w:t>(i.e., supported with little or no market activity).</w:t>
            </w:r>
          </w:p>
        </w:tc>
      </w:tr>
    </w:tbl>
    <w:p>
      <w:pPr>
        <w:spacing w:after="0" w:line="16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46"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of the Company’s investments.</w:t>
      </w:r>
    </w:p>
    <w:p>
      <w:pPr>
        <w:spacing w:after="0" w:line="12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3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4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years ended December 31, 2018 or December 31, 2017. The classification within the fair value hierarchy is then confirmed based on the final conclusions from the pricing review.</w:t>
      </w:r>
    </w:p>
    <w:p>
      <w:pPr>
        <w:spacing w:after="0" w:line="15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For more information on the Company’s fair value measurements, see Note 7 to the Unaudited Consolidated Financial Statements, included elsewhere in this Report.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9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Certain direct policy acquisition costs consisting of commissions,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4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 deferred policy acquisition costs (“DAC”) were recorded in the acquisition for Direct Auto in accordance with purchase accounting guidance. Rather, a separate intangible asset representing the value of business acquired (”VOBA”) was valued at $5,134</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and established at the closing date. This VOBA intangible asset will be amortized into expense as the acquired unearned premiums are reported into income, in the same way as DAC. Policy acquisition costs relating to new business written by Direct Auto will be deferred following the closing date. The release of the VOBA asset and the establishment of new DAC will generally offset each other over the twelve months following the acquisition of Direct Auto.</w:t>
      </w:r>
    </w:p>
    <w:p>
      <w:pPr>
        <w:spacing w:after="0" w:line="10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December 31, 2018 and 2017, deferred policy acquisition costs, the VOBA intangible asset, and the related liability for unearned premiums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5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Value of business acquired intangible asset</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1,648</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Liability for unearned premiums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84,767</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63,262</w:t>
            </w:r>
          </w:p>
        </w:tc>
      </w:tr>
    </w:tbl>
    <w:p>
      <w:pPr>
        <w:spacing w:after="0" w:line="37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method followed in computing deferred policy acquisition costs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deferred policy acquisition costs. If the estimation of net realizable value indicates that the deferred policy acquisition costs are not recoverable, they would be written off or a premium deficiency reserve would be established.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NI Holdings uses the asset and liability method of accounting for deferred income taxes. Deferred income taxes arise from the recognition of temporary differences between financial statement carrying amounts and the tax bases of our assets and liabilities. A valuation allowance is provided when it is more likely than not that some portion of the deferred income tax asset will not be realized.</w:t>
      </w:r>
    </w:p>
    <w:p>
      <w:pPr>
        <w:spacing w:after="0" w:line="14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NI Holdings had gross deferred income tax assets of $5,741 at December 31, 2018 and $4,279 at December 31, 2017,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$587 and $628 was maintained at December 31, 2018 and December 31, 2017, respectively.</w:t>
      </w:r>
    </w:p>
    <w:p>
      <w:pPr>
        <w:spacing w:after="0" w:line="14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NI Holdings had gross deferred income tax liabilities of $5,865 at December 31, 2018 and $6,190 at December 31, 2017, arising primarily from deferred policy acquisition costs, intangible assets, and net unrealized capital gains on investments.</w:t>
      </w:r>
    </w:p>
    <w:p>
      <w:pPr>
        <w:spacing w:after="0" w:line="143" w:lineRule="exact"/>
        <w:rPr>
          <w:sz w:val="20"/>
          <w:szCs w:val="20"/>
          <w:color w:val="auto"/>
        </w:rPr>
      </w:pPr>
    </w:p>
    <w:p>
      <w:pPr>
        <w:jc w:val="both"/>
        <w:ind w:right="360" w:firstLine="648"/>
        <w:spacing w:after="0" w:line="302"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1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effect of a change in income tax rates is recognized in the period of the enactment date. The TCJA enacted on December 22, 2017 changed the corporate income tax rate from 35% in 2017 and prior years, to 21% in 2018 and beyond. Although current income taxes payable for 2017 were not impacted, accounting guidance requires that deferred income tax assets and liabilities are re-valued upon date of enactment with the impact recorded in current year income tax expense. The impact to the Company’s deferred income taxes during 2017 was to reduce the Company’s net deferred income tax liability by $1,274, which is reflected as a reduction of income tax expense in the Consolidated Statement of Operations for the year ended December 31, 2017.</w:t>
      </w:r>
    </w:p>
    <w:p>
      <w:pPr>
        <w:spacing w:after="0" w:line="11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Accounting guidance provides companies the option to reclassify income tax effects that are stranded in accumulated other comprehensive income (“AOCI”) as a result of income tax reform to retained earnings. The Company accumulates unrealized gains on investments in equity with the corresponding income tax effects. The Company early adopted this guidance on a prospective basis as of December 31, 2017, and elected to reclassify material stranded income tax effects in AOCI to retained earnings using a portfolio method.</w:t>
      </w:r>
    </w:p>
    <w:p>
      <w:pPr>
        <w:spacing w:after="0" w:line="16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December 31, 2018, NI Holdings had no material unrecognized tax benefits or accrued interest and penalties. Federal income tax returns for the years 2013 through 2017 are open for examination.</w:t>
      </w: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regulation changes, general economic conditions, rising medical expenses, judicial trends, fluctuations in interest rates, and other changes in the investment environment.</w:t>
      </w:r>
    </w:p>
    <w:p>
      <w:pPr>
        <w:spacing w:after="0" w:line="14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NI Holdings premium levels and underwriting results have been, and will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 We believe that the market is generally in a stable phase as different portions of the market respond to higher frequency and severity of weather-related events.</w:t>
      </w:r>
    </w:p>
    <w:p>
      <w:pPr>
        <w:spacing w:after="0" w:line="16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Premiums in the multi-peril crop insurance business are primarily influenced by the number of acres and types of crops insured because the pricing is set by the RMA rather than individual insurance carriers. The expected experience of this business for the calendar year may also significantly affect the reported net earned premiums and losses due to the risk-sharing arrangement with the federal government. Multi-peril crop insurance premiums are generally written in the second quarter, and earned ratably over the period of risk, which extends into the fourth quarter.</w:t>
      </w:r>
    </w:p>
    <w:p>
      <w:pPr>
        <w:spacing w:after="0" w:line="13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Premiums in the crop hail insurance business are also generally written in the second quarter, but earned over a shorter period of risk than multi-peril crop insurance.</w:t>
      </w:r>
    </w:p>
    <w:p>
      <w:pPr>
        <w:spacing w:after="0" w:line="13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Premiums in the personal lines of business (private passenger auto and home and farm) are generally written throughout the year and earned throughout the year. Losses on this business are also incurred throughout the year, but usually are more frequent and/or severe during periods of weather-related activity in the second and third quarters.</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more information on the Company’s results of operations by segment, see Note 21 to the Consolidated Financial Statements, included elsewhere in this Report.</w:t>
      </w: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Years ended December 31, 2018 and 2017</w:t>
      </w:r>
    </w:p>
    <w:p>
      <w:pPr>
        <w:spacing w:after="0" w:line="18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consolidated net income for NI Holdings was $31,244 for the year ended December 31, 2018 compared to $15,612 a year ago. The major components of NI Holdings’ operating revenues and net income for the two years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7"/>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195,720</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179,464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6,180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capital gain on investments</w:t>
            </w: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7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212,370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195,720</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119,088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122,711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54,710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Underwriting income</w:t>
            </w: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6,180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capital gain on investments</w:t>
            </w: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7,328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NI Holdings’ net premiums earned for the year ended December 31, 2018 increased 9.1% to $195,720 compared to $179,464 a year ago.</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46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62,465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55,378</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10,530</w:t>
            </w: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64,677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58,395</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43,826</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11,335</w:t>
            </w:r>
          </w:p>
        </w:tc>
      </w:tr>
      <w:tr>
        <w:trPr>
          <w:trHeight w:val="223"/>
        </w:trPr>
        <w:tc>
          <w:tcPr>
            <w:tcW w:w="54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546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Direct premium</w:t>
            </w:r>
          </w:p>
        </w:tc>
        <w:tc>
          <w:tcPr>
            <w:tcW w:w="3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219,600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189,418</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premium</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6,711</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Ceded premium</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(30,394)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(16,665)</w:t>
            </w:r>
          </w:p>
        </w:tc>
      </w:tr>
      <w:tr>
        <w:trPr>
          <w:trHeight w:val="223"/>
        </w:trPr>
        <w:tc>
          <w:tcPr>
            <w:tcW w:w="54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Direct premiums earned for the year ended December 31, 2018 increased $30,182, or 15.9%, to $219,600 from $189,418 a year ago. Assumed premiums earned decreased slightly. Ceded premiums earned were $13,729 more in 2018 compared to 2017 due to increased ceding of 2018 crop insurance premiums back to the FCIC under the gain-sharing provision of the federal crop insurance program. The addition of the Direct Auto non-standard auto business contributed $14,516 to the net year-over-year increase of $16,256 in net premiums earned.</w:t>
      </w:r>
    </w:p>
    <w:p>
      <w:pPr>
        <w:spacing w:after="0" w:line="13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personal lines of business (private passenger auto, home and farm) continued to grow outside of North Dakota. Our non-standard auto business also grew year-over-year due to rate increases in Nevada and the addition of Direct Auto. Our crop business decreased $1,507 on a direct basis in 2018 compared to last year due to a combination of reduced acreage insured and lower commodity prices. On a net basis, crop premiums decreased $15,127 from increased ceding of premiums due to gain-sharing of favorable loss experience.</w:t>
      </w:r>
    </w:p>
    <w:p>
      <w:pPr>
        <w:sectPr>
          <w:pgSz w:w="11900" w:h="16838" w:orient="portrait"/>
          <w:cols w:equalWidth="0" w:num="1">
            <w:col w:w="11420"/>
          </w:cols>
          <w:pgMar w:left="240" w:top="233" w:right="239" w:bottom="1440" w:gutter="0" w:footer="0" w:header="0"/>
        </w:sectPr>
      </w:pP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53" w:name="page54"/>
    <w:bookmarkEnd w:id="5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18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NI Holdings’ net losses and LAE for the year ended December 31, 2018 decreased 3.0% to $119,088 compared to $122,711 for the year ended December 31, 2017. The Company’s loss and LAE ratio decreased to 60.8% for 2018, compared to 68.4% for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40" w:type="dxa"/>
            <w:vAlign w:val="bottom"/>
            <w:gridSpan w:val="4"/>
          </w:tcPr>
          <w:p>
            <w:pPr>
              <w:ind w:left="3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58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71.3%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r>
        <w:trPr>
          <w:trHeight w:val="216"/>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858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66.0%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r>
      <w:tr>
        <w:trPr>
          <w:trHeight w:val="216"/>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r>
      <w:tr>
        <w:trPr>
          <w:trHeight w:val="230"/>
        </w:trPr>
        <w:tc>
          <w:tcPr>
            <w:tcW w:w="858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47.0%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r>
        <w:trPr>
          <w:trHeight w:val="223"/>
        </w:trPr>
        <w:tc>
          <w:tcPr>
            <w:tcW w:w="85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loss and LAE ratio</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Company’s overall loss and LAE experience significantly improved year-over-year. Private passenger auto experienced higher loss and LAE ratios due to reduced favorable claim reserve development in 2018 compared to 2017. Experience on the non-standard auto business improved from last year, and also reflects a lower loss and LAE ratio on the acquired Direct Auto business. The assumed reinsurance portion of the all other segment experience was favorable due to a relatively quiet catastrophe period in 2018, compared to a high level of hurricanes and wildfires in 2017.</w:t>
      </w:r>
    </w:p>
    <w:p>
      <w:pPr>
        <w:spacing w:after="0" w:line="13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Loss experience for our crop business improved considerably year-over-year. Conditions were very favorable during the 2018 growing season, and early snows and cold temperatures did not materially affect crop production through the harvest. A year ago, early season drought conditions in western North Dakota was the primary reason for the higher loss ratio.</w:t>
      </w:r>
    </w:p>
    <w:p>
      <w:pPr>
        <w:spacing w:after="0" w:line="14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NI Holdings realized favorable development on prior accident years of $589 in the year ended December 31, 2018, compared to $10,101 of favorable development on prior accident years realized in the year ended December 31, 2017.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underwriting and general expenses, including amortization of deferred policy acquisition costs, increased $10,287 in 2018, or 23.2%, compared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606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44,340</w:t>
            </w:r>
          </w:p>
        </w:tc>
        <w:tc>
          <w:tcPr>
            <w:tcW w:w="100" w:type="dxa"/>
            <w:vAlign w:val="bottom"/>
            <w:shd w:val="clear" w:color="auto" w:fill="CCEEFF"/>
          </w:tcPr>
          <w:p>
            <w:pPr>
              <w:spacing w:after="0"/>
              <w:rPr>
                <w:sz w:val="18"/>
                <w:szCs w:val="18"/>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(35,863)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(27,667)</w:t>
            </w:r>
          </w:p>
        </w:tc>
      </w:tr>
      <w:tr>
        <w:trPr>
          <w:trHeight w:val="210"/>
        </w:trPr>
        <w:tc>
          <w:tcPr>
            <w:tcW w:w="6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underwriting and general expenses</w:t>
            </w:r>
          </w:p>
        </w:tc>
        <w:tc>
          <w:tcPr>
            <w:tcW w:w="2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31,856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27,750</w:t>
            </w:r>
          </w:p>
        </w:tc>
      </w:tr>
      <w:tr>
        <w:trPr>
          <w:trHeight w:val="223"/>
        </w:trPr>
        <w:tc>
          <w:tcPr>
            <w:tcW w:w="6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reported expenses</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Underlying expenses were $14,377 higher in the year ended December 31, 2018 compared to a year ago across various expense categories. Policy acquisition costs have increased due to higher written premiums. Employee costs have increased, due primarily to stock compensation costs. Consulting expenses have increased relating to technology and public company services. The new Direct Auto subsidiary contributed $5,981 of underlying expenses and $3,507 amortization of other intangibles to the current year.</w:t>
      </w:r>
    </w:p>
    <w:p>
      <w:pPr>
        <w:spacing w:after="0" w:line="16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Expense deferrals were $8,196 higher in 2018 than 2017 due to the increase in direct premiums written in 2018, whereas amortization of those costs was $4,106 higher in 2018 due to the increase in direct premiums earned in 2018. The net increase in deferrals is primarily due to the establishment of deferred policy acquisition costs on new business for Direct Auto after the acquisition.</w:t>
      </w:r>
    </w:p>
    <w:p>
      <w:pPr>
        <w:spacing w:after="0" w:line="14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expense ratio of 28.0% for the year ended December 31, 2018 was 3.2 percentage points higher than a year ago, due to the higher policy acquisition costs, higher consulting services and share-based compensation, and the increased ceding of crop insurance premiums. The Direct Auto business model, which includes a higher level of expenses offset by lower losses and LAE than the Primero business model, also contributes to a higher expense ratio.</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534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3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3,739</w:t>
            </w:r>
          </w:p>
        </w:tc>
      </w:tr>
      <w:tr>
        <w:trPr>
          <w:trHeight w:val="216"/>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(1,217)</w:t>
            </w:r>
          </w:p>
        </w:tc>
      </w:tr>
      <w:tr>
        <w:trPr>
          <w:trHeight w:val="216"/>
        </w:trPr>
        <w:tc>
          <w:tcPr>
            <w:tcW w:w="534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2,012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6,959</w:t>
            </w:r>
          </w:p>
        </w:tc>
      </w:tr>
      <w:tr>
        <w:trPr>
          <w:trHeight w:val="230"/>
        </w:trPr>
        <w:tc>
          <w:tcPr>
            <w:tcW w:w="534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3,388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2,349</w:t>
            </w:r>
          </w:p>
        </w:tc>
      </w:tr>
      <w:tr>
        <w:trPr>
          <w:trHeight w:val="223"/>
        </w:trPr>
        <w:tc>
          <w:tcPr>
            <w:tcW w:w="53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underwriting gain</w:t>
            </w: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underwriting results for all of our business segments improved significantly year-over-year, other than the private passenger auto business. The private passenger auto business benefited from a higher amount of favorable claim reserve development in 2017 compared to 2018.</w:t>
      </w:r>
    </w:p>
    <w:p>
      <w:pPr>
        <w:spacing w:after="0" w:line="12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Rate increases and other underwriting actions on our Primero non-standard auto business reduced the underwriting loss considerably from a year ago. Fee income attributable to this segment is a key component in measuring its profitability. The new Direct Auto non-standard auto business is expected to experience a lower loss and LAE ratio while generating only minimal fee income. Fee income on the non-standard auto business was $1,406 and $1,087 for the years ended December 31, 2018 and 2017, respectively.</w:t>
      </w:r>
    </w:p>
    <w:p>
      <w:pPr>
        <w:spacing w:after="0" w:line="14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underwriting results on our crop insurance business are significantly improved compared to a year ago. In 2017, higher loss experience was reported due to the early season drought conditions in western North Dakota. In 2018, favorable growing conditions reduced our loss experience considerably, which was partially offset by increased gain-sharing of profits back to the FCIC.</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NI Holdings had fee and other income of $6,496 for the year ended December 31, 2018, compared to $1,648 for the year ended December 31, 2017. The majority of fee income is typically attributable to the fees charged in Primero’s non-standard auto business, and increased year-over-year due to growth of the business. However, in the third quarter of 2018, the Company recognized a pre-tax gain of $4,578 as part of other income as a result of the purchase accounting afforded the purchase of Direct Auto.</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cash and invested assets</w:t>
            </w:r>
          </w:p>
        </w:tc>
        <w:tc>
          <w:tcPr>
            <w:tcW w:w="25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337,407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 expenses</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36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Investment income, net of investment expense, increased $1,149 for the year ended December 31, 2018 compared to 2017. This increase is attributable to an increase in invested assets caused the timing of the investment actions taken with respect to the receipt of the proceeds of over $90 million from the Company’s initial public offering in March 2017. Cash and invested assets also increased a net $53,533 in September 2018 from the acquisition of Direct Auto. The majority of Direct Auto cash and invested assets was in short term cash and cash equivalents at the closing date. The weighted average gross yield on invested assets remained level of 2.5% in 2018 compared to 2017.</w:t>
      </w:r>
    </w:p>
    <w:p>
      <w:pPr>
        <w:sectPr>
          <w:pgSz w:w="11900" w:h="16838" w:orient="portrait"/>
          <w:cols w:equalWidth="0" w:num="1">
            <w:col w:w="11420"/>
          </w:cols>
          <w:pgMar w:left="240" w:top="233" w:right="239" w:bottom="1440" w:gutter="0" w:footer="0" w:header="0"/>
        </w:sectPr>
      </w:pP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Realized Capital Gain on Investments</w:t>
      </w:r>
    </w:p>
    <w:p>
      <w:pPr>
        <w:spacing w:after="0" w:line="18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NI Holdings had net realized capital gains on investment of $3,974 for the year ended December 31, 2018, compared to $2,997 for the year ended December 31, 2017. The Company recorded $382 and $330 of other-than-temporary impairments during the years ended December 31, 2018 and 2017, respectively.</w:t>
      </w:r>
    </w:p>
    <w:p>
      <w:pPr>
        <w:spacing w:after="0" w:line="15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Company’s fixed income securities and equity securities are classified as available for sale because it will, from time to time, make sales of securities that are not impaired, consistent with our investment goals and policies. At December 31, 2018, the Company had net unrealized losses on fixed income securities of $2,325 and net unrealized gains on equity securities of $10,359. At December 31, 2017, the Company had net unrealized gains on fixed income securities of $1,780 and net unrealized gains on equity securities of $18,533. The decrease in the fair value of our fixed income securities is attributable to a general rise in the interest rate environment during 2018. The decrease in the fair value of our equity securities is attributable to a general decline in the overall stock market during December 2018.</w:t>
      </w:r>
    </w:p>
    <w:p>
      <w:pPr>
        <w:spacing w:after="0" w:line="153"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NI Holdings has evaluated each security in a loss position and taken into account the severity and duration of the impairment, the current rating on the bond, and the outlook for the issuer according to independent analysts. NI Holdings believes that the foregoing declines in fair value in its existing portfolio are most likely attributable to short-term market trends and there is no evidence that the Company will not recover the entire amortized cost basis.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198"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For the year ended December 31, 2018, NI Holdings had pre-tax income of $38,572 compared to pre-tax income of $22,006 for the year ended December 31, 2017. The increase in pre-tax income was largely attributable to favorable loss experience in our crop business and our all other segment, the gain realized as a result of the purchase accounting afforded the acquisition of Direct Auto, and favorable operating results from Direct Auto.</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NI Holdings recorded income tax expense of $7,328 for the year ended December 31, 2018, compared to $6,394 of income tax expense for the year ended December 31, 2017. Our effective tax rate for 2018 was 19.0% compared to an effective tax rate of 29.1% for 2017. Reported tax expense in 2017 included $568 of additional income tax expense related to the handling of expenses associated with the Company’s mutual to stock conversion and initial public offering and a $1,274 reduction of income tax expense due to a new corporate income tax rate of 21% for tax years 2018 and beyond, enacted on December 22, 2017. The previous tax rate was 35% for 2017 and prior.</w:t>
      </w:r>
    </w:p>
    <w:p>
      <w:pPr>
        <w:spacing w:after="0" w:line="16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Accounting guidance requires that companies re-measure existing deferred income tax assets (including loss carryforwards) and liabilities in the period of enactment of a tax rate change. The guidance also requires any change to a previously recorded valuation allowance as a result of re-measuring existing temporary differences and loss carryforwards to be recognized in the period of enactment. The resulting impact on our deferred income taxes and the related valuation allowance was recognized in the fourth quarter of 2017. The valuation allowance against certain deferred income tax assets decreased to $587 at December 31, 2018 from $628 at December 31, 2017.</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the year ended December 31, 2018, NI Holdings had net income before non-controlling interest of $31,244 compared to net income before non-controlling interest of $15,612 for 2017. This increase in net income was primarily attributable to favorable loss experience in our crop business and our all other segment, the gain realized as a result of the purchase accounting afforded the acquisition of Direct Auto, and favorable operating results from Direct Auto.</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year ended December 31, 2018, NI Holdings had annualized return on average equity, after non-controlling interest, of 11.8% compared to annualized return on average equity, after non-controlling interest, of 7.9% for the year ended December 31, 2017. Average equity is calculated as the average between beginning and ending equity excluding non-controlling interest for the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Years ended December 31, 2017 and 2016</w:t>
      </w:r>
    </w:p>
    <w:p>
      <w:pPr>
        <w:spacing w:after="0" w:line="18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consolidated net income for NI Holdings was $15,612 for the year ended December 31, 2017 compared to $4,638 a year ago. The major components of NI Holdings’ operating revenues and net income for the two years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7"/>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179,464</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152,756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capital gain on investments</w:t>
            </w: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7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189,140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179,464</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122,711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118,508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44,423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Underwriting gain (loss)</w:t>
            </w: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capital gain on investments</w:t>
            </w: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NI Holdings’ net premiums earned for the year ended December 31, 2017 increased 17.5% to $179,464 compared to $152,756 for the year ended December 31, 2016.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46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55,378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48,250</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10,671</w:t>
            </w: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58,395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50,243</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33,163</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10,429</w:t>
            </w:r>
          </w:p>
        </w:tc>
      </w:tr>
      <w:tr>
        <w:trPr>
          <w:trHeight w:val="223"/>
        </w:trPr>
        <w:tc>
          <w:tcPr>
            <w:tcW w:w="54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546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Direct premium</w:t>
            </w:r>
          </w:p>
        </w:tc>
        <w:tc>
          <w:tcPr>
            <w:tcW w:w="3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189,418</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176,958</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premium</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6,546</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Ceded premium</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(16,665)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(30,748)</w:t>
            </w:r>
          </w:p>
        </w:tc>
      </w:tr>
      <w:tr>
        <w:trPr>
          <w:trHeight w:val="223"/>
        </w:trPr>
        <w:tc>
          <w:tcPr>
            <w:tcW w:w="54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Private passenger auto, as well as home and farm, continued to grow outside of North Dakota. Both segments were favorably impacted by lower ceding of premiums due to a higher retention amount in our catastrophe reinsurance program in 2017. Our non-standard auto business was relatively flat year-over-year as rate increases were needed in Nevada to cover the higher losses experienced in this business. Our crop business experienced higher losses in 2017, which reduced the level of premium sharing required with the federal government on relatively flat direct premiums earned.</w:t>
      </w:r>
    </w:p>
    <w:p>
      <w:pPr>
        <w:sectPr>
          <w:pgSz w:w="11900" w:h="16838" w:orient="portrait"/>
          <w:cols w:equalWidth="0" w:num="1">
            <w:col w:w="11420"/>
          </w:cols>
          <w:pgMar w:left="240" w:top="233" w:right="239" w:bottom="1440" w:gutter="0" w:footer="0" w:header="0"/>
        </w:sectPr>
      </w:pP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57" w:name="page58"/>
    <w:bookmarkEnd w:id="5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18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NI Holdings’ net losses and LAE for the year ended December 31, 2017 increased 3.6% to $122,711 compared to $118,508 for the year ended December 31, 2016. The Company’s loss and LAE ratio decreased to 68.4% for 2017, compared to 77.6% for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40" w:type="dxa"/>
            <w:vAlign w:val="bottom"/>
            <w:gridSpan w:val="4"/>
          </w:tcPr>
          <w:p>
            <w:pPr>
              <w:ind w:left="3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58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62.8%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r>
      <w:tr>
        <w:trPr>
          <w:trHeight w:val="216"/>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r>
      <w:tr>
        <w:trPr>
          <w:trHeight w:val="216"/>
        </w:trPr>
        <w:tc>
          <w:tcPr>
            <w:tcW w:w="858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68.0%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r>
      <w:tr>
        <w:trPr>
          <w:trHeight w:val="216"/>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r>
      <w:tr>
        <w:trPr>
          <w:trHeight w:val="230"/>
        </w:trPr>
        <w:tc>
          <w:tcPr>
            <w:tcW w:w="858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62.8%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r>
      <w:tr>
        <w:trPr>
          <w:trHeight w:val="223"/>
        </w:trPr>
        <w:tc>
          <w:tcPr>
            <w:tcW w:w="85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loss and LAE ratio</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Private passenger auto business, and home and farm business, experienced fewer weather related losses in 2017 compared to 2016, particularly in North Dakota. Our non-standard auto business improved from a year ago as a result of strategic pricing and underwriting actions.</w:t>
      </w:r>
    </w:p>
    <w:p>
      <w:pPr>
        <w:spacing w:after="0" w:line="10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 very dry start to the 2017 growing season increased our loss experience for the multi-peril crop business when compared to prior years. The loss and LAE ratio for the entire year ended December 31, 2017 came in line with average expectations, which provided a normal level of premium retention under the risk-sharing arrangement with the federal government compared to a year ago.</w:t>
      </w:r>
    </w:p>
    <w:p>
      <w:pPr>
        <w:spacing w:after="0" w:line="14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the all other segment, the assumed reinsurance book of business was adversely impacted by hurricanes Harvey, Irma, and Maria during the third quarter of 2017, and by the California wildfires during the fourth quarter of 2017. This adverse experience was more than offset by improvements in excess liability and commercial multi-peril coverages.</w:t>
      </w:r>
    </w:p>
    <w:p>
      <w:pPr>
        <w:spacing w:after="0" w:line="154"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NI Holdings realized favorable development on prior accident years of $10,101 in 2017, compared to $4,756 of favorable development on prior accident years realized in 2016.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$5,301 in 2017, or 13.6%, compared to 2016. Expenses were higher in 2017 due to increased commissions and other policy acquisition costs as a result of increased premiums written. In addition, as a new public company, additional expenses were incurred due to increased salaries, legal and accounting costs, taxes and fees, and holding company costs. The expense ratio of 24.8% for the year ended December 31, 2017 was 0.8% less than the expense ratio in 2016, primarily due to higher net premiums earned in 2017.</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556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3,739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(3,595)</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(9,582)</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9,269</w:t>
            </w:r>
          </w:p>
        </w:tc>
      </w:tr>
      <w:tr>
        <w:trPr>
          <w:trHeight w:val="230"/>
        </w:trPr>
        <w:tc>
          <w:tcPr>
            <w:tcW w:w="55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2,349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1,249</w:t>
            </w:r>
          </w:p>
        </w:tc>
      </w:tr>
      <w:tr>
        <w:trPr>
          <w:trHeight w:val="223"/>
        </w:trPr>
        <w:tc>
          <w:tcPr>
            <w:tcW w:w="55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underwriting gain (loss)</w:t>
            </w:r>
          </w:p>
        </w:tc>
        <w:tc>
          <w:tcPr>
            <w:tcW w:w="3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The underwriting results for our both our private passenger auto business and our home and farm business improved significantly year-over-year. The year ended December 31, 2016 included a high number of weather related events that generated underwriting losses. Strategic rating and underwriting actions across the personal lines of business, along with an average year of weather related losses, helped to bring those lines back to profitability.</w:t>
      </w:r>
    </w:p>
    <w:p>
      <w:pPr>
        <w:sectPr>
          <w:pgSz w:w="11900" w:h="16838" w:orient="portrait"/>
          <w:cols w:equalWidth="0" w:num="1">
            <w:col w:w="11420"/>
          </w:cols>
          <w:pgMar w:left="240" w:top="233" w:right="239" w:bottom="1440" w:gutter="0" w:footer="0" w:header="0"/>
        </w:sectPr>
      </w:pP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58" w:name="page59"/>
    <w:bookmarkEnd w:id="5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Rate increases and other underwriting actions on our non-standard auto business reduced the underwriting loss considerably from a year ago. Fee income attributable to this segment is a key component in measuring its profitability. Fee income on this business was $1,087 and $1,157 for the years ended December 31, 2017 and 2016, respectively.</w:t>
      </w:r>
    </w:p>
    <w:p>
      <w:pPr>
        <w:spacing w:after="0" w:line="14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crop insurance business generated a lower underwriting gain for 2017 compared to 2016. While loss experience was higher for 2017, premium retention under the risk-sharing arrangement with the federal government was also higher to offset most of the increased loss experience.</w:t>
      </w:r>
    </w:p>
    <w:p>
      <w:pPr>
        <w:spacing w:after="0" w:line="12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Underwriting results for the all other segment increased in 2017 due to improvements in the commercial multi-peril and excess liability businesses, partially offset by the impacts of the hurricane and wildfire activity in our assumed reinsurance business.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NI Holdings had fee and other income of $1,648 for the year ended December 31, 2017, compared to $1,666 for the year ended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fee income is attributable to the non-standard auto insurance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cash and invested assets</w:t>
            </w:r>
          </w:p>
        </w:tc>
        <w:tc>
          <w:tcPr>
            <w:tcW w:w="25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283,354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7,069</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 expenses</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37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Investment income, net of investment expense, increased $1,387 for the year ended December 31, 2017 compared to 2016. This increase is attributable to an increase in invested assets, as cash and invested assets increased to $313,885 at December 31, 2017 from $207,677 at December 31, 2016, primarily as a result of the proceeds from the Company’s IPO. The weighted average gross yield on invested assets decreased to 2.5% in 2017 compared to 2.7% in 2017.</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Realized Capital Gain on Investments</w:t>
      </w:r>
    </w:p>
    <w:p>
      <w:pPr>
        <w:spacing w:after="0" w:line="18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NI Holdings had realized capital gains on investment of $2,997 for the year ended December 31, 2017, compared to $5,681 for the year ended December 31, 2016. The Company recorded other-than-temporary impairments of $330 in the year ended December 31, 2017, and no other-than-temporary impairments in the year ended December 31, 2016.</w:t>
      </w:r>
    </w:p>
    <w:p>
      <w:pPr>
        <w:spacing w:after="0" w:line="15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Company’s fixed income securities and equity securities are classified as available for sale because it will, from time to time, make sales of securities that are not impaired, consistent with our investment goals and policies. At December 31, 2017, the Company had net unrealized gains on fixed income securities of $1,780 and net unrealized gains on equity securities of $18,533. At December 31, 2016, the Company had net unrealized gains on fixed income securities of $1,210 and net unrealized gains on equity securities of $14,406.</w:t>
      </w:r>
    </w:p>
    <w:p>
      <w:pPr>
        <w:spacing w:after="0" w:line="146"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NI Holdings has evaluated each security in a loss position and taken into account the severity and duration of the impairment, the current rating on the bond, and the outlook for the issuer according to independent analysts. NI Holdings believes that the foregoing declines in fair value in its existing portfolio are most likely attributable to short-term market trends and there is no evidence that it will not recover the entire amortized cost basis.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19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For the year ended December 31, 2017, NI Holdings had pre-tax income of $22,006 compared to pre-tax income of $6,117 for the year ended December 31, 2016. The increase in pre-tax income was largely attributable to the decrease in losses and LAE on the private passenger auto and home and farm lines of business when compared to the higher level of weather related losses in 2016.</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NI Holdings recorded income tax expense of $6,394 for the year ended December 31, 2017, compared to $1,479 of income tax expense for the year ended December 31, 2016. Income tax expense for 2017 included $568 of additional income tax expense related to the handling of expenses associated with the Company’s mutual to stock conversion and initial public offering and a reduction of $1,274 to income tax expense due to a new corporate income tax rate of 21% for tax years 2018 and beyond, enacted on December 22, 2017. Accounting guidance requires that companies re-measure existing deferred tax assets (including loss carryforwards) and liabilities and record an offset for the net amount as a component of income tax expense from continuing operations in the period of enactment. Any change to a previously recorded valuation allowance as a result of re-measuring existing temporary differences and loss carryforward should also be reflected as a component of income tax expense from continuing operations. In addition, the valuation allowance against certain deferred income tax assets decreased by $394 to $628 at December 31, 2017 from $1,022 at December 31, 2016.</w:t>
      </w:r>
    </w:p>
    <w:p>
      <w:pPr>
        <w:spacing w:after="0" w:line="13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effective tax rate for 2017 was 29.1% compared to an effective tax rate of 24.2% for 2016. The increase in the effective tax rate was the result of a lesser impact of comparable permanent tax adjustments realized on a higher income before income taxes amount for 2017.</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8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For the year ended December 31, 2017, NI Holdings had net income before non-controlling interest of $15,612 compared to net income before non-controlling interest of $4,638 for 2016. This increase in net income was primarily attributable to decreased losses and LAE in the Company’s private passenger auto and home and farm lines of business, when compared to a higher level of weather related losses in 2016.</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year ended December 31, 2017, NI Holdings had annualized return on average equity, after non-controlling interest, of 7.9% compared to annualized return on average equity, after non-controlling interest, of 3.1% for the year ended December 31, 2016. Average equity is calculated as the average between beginning and ending equity excluding non-controlling interest for the year.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0" w:name="page61"/>
    <w:bookmarkEnd w:id="6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jc w:val="right"/>
        <w:ind w:right="1960"/>
        <w:spacing w:after="0"/>
        <w:rPr>
          <w:sz w:val="20"/>
          <w:szCs w:val="20"/>
          <w:color w:val="auto"/>
        </w:rPr>
      </w:pPr>
      <w:r>
        <w:rPr>
          <w:rFonts w:ascii="Arial" w:cs="Arial" w:eastAsia="Arial" w:hAnsi="Arial"/>
          <w:sz w:val="18"/>
          <w:szCs w:val="18"/>
          <w:color w:val="auto"/>
        </w:rPr>
        <w:t>The major components of NI Holdings’ financial position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Premiums and agents’ balances receivable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411"/>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374,371</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313,885</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34,287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25,632</w:t>
            </w: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12,866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8,859</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36,968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28,612</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376,988</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233"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30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87,121</w:t>
            </w: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10,851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12,263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275,753</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255,573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26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At December 31, 2018, NI Holdings had total assets of $458,492, an increase of $81,504, or 21.6%, from December 31, 2017. The acquisition of Direct Auto on August 31, 2018 added $70,533 in cash and investments, $5,849 of premium-related receivables, and $5,502 of intangible assets. Consideration paid for Direct Auto was $17,000. Receivables from policyholders increased due to growth in the business, and the receivable from the FCIC increased $5,668 from year to year due to improved loss experience on the multi-peril crop insurance business. Deferred policy acquisition costs also increased due to growth in the business and the addition of Direct Auto.</w:t>
      </w:r>
    </w:p>
    <w:p>
      <w:pPr>
        <w:spacing w:after="0" w:line="14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At December 31, 2018, total liabilities were $182,739, an increase of $61,324, or 50.5%, from December 31, 2017. The acquisition of Direct Auto on August 31, 2018 added $40,967 of unpaid losses and LAE as well as $15,955 of unearned premiums.</w:t>
      </w:r>
    </w:p>
    <w:p>
      <w:pPr>
        <w:spacing w:after="0" w:line="130"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Total equity increased by $20,180, or 7.9%, during the year ended December 31, 2018. The increase in equity primarily reflects consolidated net income of $31,244 for the year, partially offset by a $9,700 decrease in accumulated other comprehensive income due to lower fair values within our investment portfolio caused by an increase in the interest rate environment and a general decrease in the stock market during December 2018.</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which are available if necessary to meet the demands of claim settlements and operating expenses. In 2018, we used $17,000 for the acquisition of Direct Auto.</w:t>
      </w:r>
    </w:p>
    <w:p>
      <w:pPr>
        <w:spacing w:after="0" w:line="14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cash and cash equivalents for the years ended December 31, 2018, 2017, and 2016 were as follows:</w:t>
      </w:r>
    </w:p>
    <w:p>
      <w:pPr>
        <w:sectPr>
          <w:pgSz w:w="11900" w:h="16838" w:orient="portrait"/>
          <w:cols w:equalWidth="0" w:num="1">
            <w:col w:w="11420"/>
          </w:cols>
          <w:pgMar w:left="240" w:top="2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operating activities</w:t>
      </w:r>
    </w:p>
    <w:p>
      <w:pPr>
        <w:spacing w:after="0" w:line="23" w:lineRule="exact"/>
        <w:rPr>
          <w:sz w:val="20"/>
          <w:szCs w:val="20"/>
          <w:color w:val="auto"/>
        </w:rPr>
      </w:pPr>
    </w:p>
    <w:p>
      <w:pPr>
        <w:ind w:right="2560"/>
        <w:spacing w:after="0" w:line="281" w:lineRule="auto"/>
        <w:rPr>
          <w:sz w:val="20"/>
          <w:szCs w:val="20"/>
          <w:color w:val="auto"/>
        </w:rPr>
      </w:pPr>
      <w:r>
        <w:rPr>
          <w:rFonts w:ascii="Arial" w:cs="Arial" w:eastAsia="Arial" w:hAnsi="Arial"/>
          <w:sz w:val="16"/>
          <w:szCs w:val="16"/>
          <w:color w:val="auto"/>
        </w:rPr>
        <w:t>Cash flows provided by (used in) investing activities Cash flows (used in) provided by financing activities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tcPr>
          <w:p>
            <w:pPr>
              <w:ind w:left="500"/>
              <w:spacing w:after="0" w:line="195" w:lineRule="exact"/>
              <w:rPr>
                <w:sz w:val="20"/>
                <w:szCs w:val="20"/>
                <w:color w:val="auto"/>
              </w:rPr>
            </w:pPr>
            <w:r>
              <w:rPr>
                <w:rFonts w:ascii="Arial" w:cs="Arial" w:eastAsia="Arial" w:hAnsi="Arial"/>
                <w:sz w:val="18"/>
                <w:szCs w:val="18"/>
                <w:color w:val="auto"/>
                <w:w w:val="83"/>
              </w:rPr>
              <w:t>20,955</w:t>
            </w:r>
          </w:p>
        </w:tc>
        <w:tc>
          <w:tcPr>
            <w:tcW w:w="26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18,425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7,307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23,397</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(91,857)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(3,510)</w:t>
            </w: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(2,996)</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82,708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3"/>
              </w:rPr>
              <w:t>41,356</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3,797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-608330</wp:posOffset>
            </wp:positionV>
            <wp:extent cx="72466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-325120</wp:posOffset>
            </wp:positionV>
            <wp:extent cx="72466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233" w:right="239" w:bottom="1440" w:gutter="0" w:footer="0" w:header="0"/>
          <w:type w:val="continuous"/>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1" w:name="page62"/>
    <w:bookmarkEnd w:id="6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For the year ended December 31, 2018, net cash provided by operating activities totaled $20,955 compared to $18,425 a year ago. Consolidated net income of $31,244 for the year ended December 31, 2018 compared to $15,612 for the same period a year ago. Excluding the amounts directly attributed to the acquisition of Direct Auto, changes to the receivable from FCIC and federal income tax recoverable/payable offset the change to net income to result in only a modest change in cash flows provided by operating activities between 2018 and 2017.</w:t>
      </w:r>
    </w:p>
    <w:p>
      <w:pPr>
        <w:spacing w:after="0" w:line="13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Net cash provided by investing activities totaled $23,397 for the year ended December 31, 2018, compared to $91,857 net cash used in investing activities a year ago. The net cash provided in 2018 primarily relates to the acquisition of Direct Auto as the purchase price of $17,000 was more than offset by the cash and cash equivalents acquired in connection with the purchase ($44,485). The net cash used in 2017 primarily resulted from the opportunity to invest the excess cash raised from our initial public offering.</w:t>
      </w:r>
    </w:p>
    <w:p>
      <w:pPr>
        <w:spacing w:after="0" w:line="16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Net cash used in financing activities was $2,996 for the year ended December 31, 2018, and was attributable to the purchase of treasury stock. Net cash provided by financing activities of $82,708 for the year ended December 31, 2017 reflects the net proceeds from our initial public offering, offset by the initial funding of our new employee stock option plan and the purchase of treasury stock.</w:t>
      </w:r>
    </w:p>
    <w:p>
      <w:pPr>
        <w:spacing w:after="0" w:line="14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the year ended December 31, 2017, net cash provided by operating activities totaled $18,425 compared to $7,307 for the year ended December 31, 2016. The Company reduced its levels of reinsurance receivables and collected more unearned premiums for the year ended December 31, 2017 compared to the year ended December 31, 2016, while net income increased significantly from 2016. Net cash used in investing activities totaled $91,857 for the year ended December 31, 2017, compared to net cash used of $3,510 in the year ended December 31, 2016, primarily reflecting the opportunity to invest the proceeds from the common stock offering in longer-term investments in 2017. Net cash provided by financing activities of $82,708 for the year ended December 31, 2017 reflect the net proceeds from our initial public offering, offset by the initial funding of our new employee stock option plan and the repurchase of treasury stock for $8,037.</w:t>
      </w:r>
    </w:p>
    <w:p>
      <w:pPr>
        <w:spacing w:after="0" w:line="14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a standalone entity, and outside of the net proceeds from the recent initial public offering, NI Holdings’ principal source of long-term liquidity will be dividend payments from Nodak Insurance and Direct Auto.</w:t>
      </w:r>
    </w:p>
    <w:p>
      <w:pPr>
        <w:spacing w:after="0" w:line="14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Nodak Insurance will be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27"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The amount available for payment of dividends from Nodak Insurance to us during 2019 without the prior approval of the North Dakota Insurance Department is approximately $17,588 based upon the policyholders’ surplus of Nodak Insurance at December 31, 2018.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years ended December 31, 2018 or 2017.</w:t>
      </w:r>
    </w:p>
    <w:p>
      <w:pPr>
        <w:spacing w:after="0" w:line="13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Direct Auto will be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Dividends in excess of this amount are considered “extraordinary” and are subject to the approval of the Illinois Department of Insurance.</w:t>
      </w:r>
    </w:p>
    <w:p>
      <w:pPr>
        <w:spacing w:after="0" w:line="14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2019 without the prior approval of the Illinois Department of Insurance is $6,653 based upon the policyholders’ surplus of Direct Auto at December 31, 2018.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year ended December 31, 2018.</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2" w:name="page63"/>
    <w:bookmarkEnd w:id="62"/>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a public company, NI Holdings is subject to the proxy solicitation, periodic reporting, insider trading, and other requirements of the Exchange Act and to most of the provisions of the Sarbanes-Oxley Act of 2002. As a result, NI Holdings anticipates incurring higher levels of expenses related to accounting and legal services that will be necessary to comply with such requirements.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18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as of December 31, 2018, NI Holdings’ future payments and estimated claims and claims related payments for continuing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8"/>
          </w:tcPr>
          <w:p>
            <w:pPr>
              <w:jc w:val="right"/>
              <w:ind w:right="1060"/>
              <w:spacing w:after="0"/>
              <w:rPr>
                <w:sz w:val="20"/>
                <w:szCs w:val="20"/>
                <w:color w:val="auto"/>
              </w:rPr>
            </w:pPr>
            <w:r>
              <w:rPr>
                <w:rFonts w:ascii="Arial" w:cs="Arial" w:eastAsia="Arial" w:hAnsi="Arial"/>
                <w:sz w:val="18"/>
                <w:szCs w:val="18"/>
                <w:b w:val="1"/>
                <w:bCs w:val="1"/>
                <w:color w:val="auto"/>
              </w:rPr>
              <w:t>Payments Due by Period</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5"/>
              </w:rPr>
              <w:t>Less than</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1 year</w:t>
            </w:r>
          </w:p>
        </w:tc>
        <w:tc>
          <w:tcPr>
            <w:tcW w:w="1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1 – 3 years</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3 – 5 years</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5 years</w:t>
            </w: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Estimated gross loss &amp; LAE payments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timing of the amounts of the gross loss and LAE payments is an estimate based on historical experience and the expectations of future payment patterns. The actual timing and amounts of these payments in the future may vary from the amounts stated above.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recent accounting pronouncements, see Note 5 to the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Information about 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Market risk is the risk that a company will incur losses due to adverse changes in the fair value of financial instruments. NI Holdings has exposure to three principal types of market risk through its investment activities: interest rate risk, credit risk, and equity risk. NI Holdings’ primary market risk exposure is to changes in interest rates. NI Holdings has not entered, and does not plan to enter, into any derivative financial instruments for hedging, trading, or speculative purposes.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Risk</w:t>
      </w:r>
    </w:p>
    <w:p>
      <w:pPr>
        <w:spacing w:after="0" w:line="18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Interest rate risk is the risk that a company will incur economic losses due to adverse changes in interest rates. NI Holdings’ exposure to interest rate changes primarily results from its significant holdings of fixed income securities. Fluctuations in interest rates have a direct impact on the fair value of these securities.</w:t>
      </w:r>
    </w:p>
    <w:p>
      <w:pPr>
        <w:spacing w:after="0" w:line="15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portfolio duration of the fixed income securities in NI Holdings’ investment portfolio at December 31, 2018, excluding Direct Auto, was 3.46 years. The Company’s fixed income securities include U.S. government bonds, securities issued by government agencies, obligations of state and local governments and governmental authorities, and corporate bonds, most of which are exposed to changes in prevailing interest rates and which may experience moderate fluctuations in fair value resulting from changes in interest rates. NI Holdings carries these investments as available for sale. This allows the Company to manage its exposure to risks associated with interest rate fluctuations through active review of its investment portfolio by its management and Board of Directors and consultation with our outside investment manager.</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Fluctuations in near-term interest rates could have an impact on NI Holdings’ results of operations and cash flows. Certain of these securities may have call features. In a declining interest rate environment, these securities may be called by their issuer and replaced with securities bearing lower interest rates. If NI Holdings is required to sell these securities in a rising interest rate environment, it may recognize investment losses.</w:t>
      </w:r>
    </w:p>
    <w:p>
      <w:pPr>
        <w:spacing w:after="0" w:line="10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a general matter, NI Holdings attempts to match the durations of its assets with the durations of its liabilities. The Company’s investment objectives include maintaining adequate liquidity to meet its operational needs, optimizing its after-tax investment income, and its after-tax total return, all of which are subject to NI Holdings’ tolerance for risk.</w:t>
      </w:r>
    </w:p>
    <w:p>
      <w:pPr>
        <w:spacing w:after="0" w:line="15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table below shows the interest rate sensitivity of NI Holdings’ fixed income securities, excluding the Direct Auto portfolio, measured in terms of fair value (which is equal to the carrying value for all of its investment securities that are subject to interest rate changes) at December 31, 2018:</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Estimated Change in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Hypothetical Change in Interest Rate</w:t>
            </w:r>
          </w:p>
        </w:tc>
        <w:tc>
          <w:tcPr>
            <w:tcW w:w="260" w:type="dxa"/>
            <w:vAlign w:val="bottom"/>
          </w:tcPr>
          <w:p>
            <w:pPr>
              <w:spacing w:after="0"/>
              <w:rPr>
                <w:sz w:val="20"/>
                <w:szCs w:val="2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8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 increase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100 basis point increase</w:t>
            </w:r>
          </w:p>
        </w:tc>
        <w:tc>
          <w:tcPr>
            <w:tcW w:w="2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(8,887)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234,083</w:t>
            </w:r>
          </w:p>
        </w:tc>
      </w:tr>
      <w:tr>
        <w:trPr>
          <w:trHeight w:val="216"/>
        </w:trPr>
        <w:tc>
          <w:tcPr>
            <w:tcW w:w="8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 change</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242,970</w:t>
            </w:r>
          </w:p>
        </w:tc>
      </w:tr>
      <w:tr>
        <w:trPr>
          <w:trHeight w:val="216"/>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100 basis point decrease</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8,293</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251,263</w:t>
            </w: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decrease</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259,372</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Risk</w:t>
      </w:r>
    </w:p>
    <w:p>
      <w:pPr>
        <w:spacing w:after="0" w:line="198"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Credit risk is the potential economic loss principally arising from adverse changes in the financial condition of a specific debt issuer. NI Holdings addresses this risk by investing primarily in fixed income securities that are rated at least investment grade by Moody’s or an equivalent rating quality. NI Holdings also independently, and through its outside investment manager, monitors the financial condition of all of the issuers of fixed income securities in the portfolio. To limit its exposure to risk, the Company employs diversification rules that limit the credit exposure to any single issuer or asset class.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Risk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Equity price risk is the risk that NI Holdings will incur economic losses due to adverse changes in equity prices.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Inflation increases consumers’ needs for property and casualty insurance due to the increase in the value of the property insured and any potential liability exposure. Inflation also increases claims incurred by property and casualty insurers as property repairs, replacements, and medical expenses increase. These cost increases reduce profit margins to the extent that rate increases are not implemented on an adequate and timely basis. NI Holdings establishes insurance premiums levels before the amount of losses and LAE, or the extent to which inflation may affect these expenses, are known. Therefore, NI Holdings attempts to anticipate the potential impact of inflation when establishing rates. Because inflation has remained relatively low in recent years, financial results have not been significantly affected by it.</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8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NI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NI Holdings, Inc. and Subsidiaries (collectively, the “Company”) as of December 31, 2018 and 2017, and the related consolidated statements of operations, comprehensive income, changes in equity, and cash flows for each of the three years in the period ended December 31, 2018, and the related notes and the schedule listed in Item 15(a)(2) (collectively referred to as the “consolidated financial statements”). In our opinion, the consolidated financial statements present fairly, in all material respects, the consolidated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controls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Mazars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February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Washington,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Borders>
              <w:bottom w:val="single" w:sz="8" w:color="0000EE"/>
            </w:tcBorders>
          </w:tcPr>
          <w:p>
            <w:pPr>
              <w:ind w:left="40"/>
              <w:spacing w:after="0"/>
              <w:rPr>
                <w:rFonts w:ascii="Arial" w:cs="Arial" w:eastAsia="Arial" w:hAnsi="Arial"/>
                <w:sz w:val="18"/>
                <w:szCs w:val="18"/>
                <w:i w:val="1"/>
                <w:iCs w:val="1"/>
                <w:color w:val="0000EE"/>
                <w:w w:val="87"/>
              </w:rPr>
            </w:pPr>
            <w:hyperlink w:anchor="page3">
              <w:r>
                <w:rPr>
                  <w:rFonts w:ascii="Arial" w:cs="Arial" w:eastAsia="Arial" w:hAnsi="Arial"/>
                  <w:sz w:val="18"/>
                  <w:szCs w:val="18"/>
                  <w:i w:val="1"/>
                  <w:iCs w:val="1"/>
                  <w:color w:val="0000EE"/>
                  <w:w w:val="87"/>
                </w:rPr>
                <w:t>Table of Contents</w:t>
              </w:r>
            </w:hyperlink>
          </w:p>
        </w:tc>
        <w:tc>
          <w:tcPr>
            <w:tcW w:w="6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NI Holdings, Inc.</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December 31, 2018 and 2017</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65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68,950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Fixed income securities, at fair value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254,969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Equity securities, at fair value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48,498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2"/>
          </w:tcPr>
          <w:p>
            <w:pPr>
              <w:ind w:left="300"/>
              <w:spacing w:after="0"/>
              <w:rPr>
                <w:sz w:val="20"/>
                <w:szCs w:val="20"/>
                <w:color w:val="auto"/>
              </w:rPr>
            </w:pPr>
            <w:r>
              <w:rPr>
                <w:rFonts w:ascii="Arial" w:cs="Arial" w:eastAsia="Arial" w:hAnsi="Arial"/>
                <w:sz w:val="18"/>
                <w:szCs w:val="18"/>
                <w:color w:val="auto"/>
              </w:rPr>
              <w:t>Total cash and investments</w:t>
            </w:r>
          </w:p>
        </w:tc>
        <w:tc>
          <w:tcPr>
            <w:tcW w:w="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374,371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Borders>
              <w:left w:val="single" w:sz="8" w:color="CCEEFF"/>
            </w:tcBorders>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34,287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policy acquisition costs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Reinsurance recoverables on losses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investment income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Property and equipment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6,979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Receivable from Federal Crop Insurance Corporation</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16,169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Goodwill and other intangibles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4,623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458,492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376,988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300" w:type="dxa"/>
            <w:vAlign w:val="bottom"/>
            <w:tcBorders>
              <w:left w:val="single" w:sz="8" w:color="CCEEFF"/>
            </w:tcBorders>
            <w:shd w:val="clear" w:color="auto" w:fill="CCEEFF"/>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87,121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Unearned premiums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84,767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Reinsurance premiums payable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Federal income tax payable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9,943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Commitments and contingencies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liabilities</w:t>
            </w:r>
          </w:p>
        </w:tc>
        <w:tc>
          <w:tcPr>
            <w:tcW w:w="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182,739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00" w:type="dxa"/>
            <w:vAlign w:val="bottom"/>
            <w:tcBorders>
              <w:left w:val="single" w:sz="8" w:color="CCEEFF"/>
            </w:tcBorders>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tcBorders>
              <w:left w:val="single" w:sz="8" w:color="CCEEFF"/>
            </w:tcBorders>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Common stock, $0.01 par value, authorized 25,000,000 shares,</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issued: 23,000,000 shares; and</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outstanding: 2018 – 22,192,894 shares, 2017 – 22,337,644 shares</w:t>
            </w: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w w:val="99"/>
              </w:rPr>
              <w:t>Preferred stock, without par value, authorized 5,000,000 shares, no shares issued or outstanding</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94,486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Unearned employee stock ownership plan shares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183,946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income, net of income taxes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6,376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Treasury stock, at cost, 2018 – 615,736 shares, 2017 – 446,671 shares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(10,634)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3,263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lef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equity</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275,753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0" w:type="dxa"/>
            <w:vAlign w:val="bottom"/>
            <w:tcBorders>
              <w:left w:val="single" w:sz="8" w:color="CCEEFF"/>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liabilities and equity</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458,492</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800" w:type="dxa"/>
            <w:vAlign w:val="bottom"/>
            <w:tcBorders>
              <w:bottom w:val="single" w:sz="8" w:color="auto"/>
            </w:tcBorders>
            <w:gridSpan w:val="2"/>
          </w:tcPr>
          <w:p>
            <w:pPr>
              <w:ind w:left="5620"/>
              <w:spacing w:after="0"/>
              <w:rPr>
                <w:sz w:val="20"/>
                <w:szCs w:val="20"/>
                <w:color w:val="auto"/>
              </w:rPr>
            </w:pPr>
            <w:r>
              <w:rPr>
                <w:rFonts w:ascii="Arial" w:cs="Arial" w:eastAsia="Arial" w:hAnsi="Arial"/>
                <w:sz w:val="18"/>
                <w:szCs w:val="18"/>
                <w:color w:val="auto"/>
              </w:rPr>
              <w:t>63</w:t>
            </w: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66" w:name="page67"/>
    <w:bookmarkEnd w:id="66"/>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18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195,720</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179,464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6,180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realized capital gain on investments</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revenues</w:t>
            </w:r>
          </w:p>
        </w:tc>
        <w:tc>
          <w:tcPr>
            <w:tcW w:w="15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212,370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189,140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163,747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Expenses: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and loss adjustment expenses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119,088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Arial" w:cs="Arial" w:eastAsia="Arial" w:hAnsi="Arial"/>
                <w:sz w:val="18"/>
                <w:szCs w:val="18"/>
                <w:color w:val="auto"/>
              </w:rPr>
              <w:t>Amortization of deferred policy acquisition costs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31,856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27,750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underwriting and general expenses</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22,854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expenses</w:t>
            </w:r>
          </w:p>
        </w:tc>
        <w:tc>
          <w:tcPr>
            <w:tcW w:w="15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173,798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167,134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38,572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22,006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attributable to NI Holdings, Inc.</w:t>
            </w:r>
          </w:p>
        </w:tc>
        <w:tc>
          <w:tcPr>
            <w:tcW w:w="15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15,991</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8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0.71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7" w:name="page68"/>
    <w:bookmarkEnd w:id="67"/>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ind w:right="2340"/>
        <w:spacing w:after="0" w:line="255" w:lineRule="auto"/>
        <w:rPr>
          <w:sz w:val="20"/>
          <w:szCs w:val="20"/>
          <w:color w:val="auto"/>
        </w:rPr>
      </w:pPr>
      <w:r>
        <w:rPr>
          <w:rFonts w:ascii="Arial" w:cs="Arial" w:eastAsia="Arial" w:hAnsi="Arial"/>
          <w:sz w:val="18"/>
          <w:szCs w:val="18"/>
          <w:b w:val="1"/>
          <w:bCs w:val="1"/>
          <w:color w:val="auto"/>
        </w:rPr>
        <w:t>Consolidated Statements of Comprehensive Income Years Ended December 31, 2018, 2017 and 2016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before income taxes: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Holding losses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Reclassification adjustment for net realized capital (gain) included in 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4"/>
              </w:rPr>
              <w:t>Attributable to</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Attributable to</w:t>
            </w:r>
          </w:p>
        </w:tc>
        <w:tc>
          <w:tcPr>
            <w:tcW w:w="1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Non-Controlling</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520" w:type="dxa"/>
            <w:vAlign w:val="bottom"/>
            <w:gridSpan w:val="4"/>
          </w:tcPr>
          <w:p>
            <w:pPr>
              <w:spacing w:after="0"/>
              <w:rPr>
                <w:sz w:val="20"/>
                <w:szCs w:val="20"/>
                <w:color w:val="auto"/>
              </w:rPr>
            </w:pPr>
            <w:r>
              <w:rPr>
                <w:rFonts w:ascii="Arial" w:cs="Arial" w:eastAsia="Arial" w:hAnsi="Arial"/>
                <w:sz w:val="18"/>
                <w:szCs w:val="18"/>
                <w:b w:val="1"/>
                <w:bCs w:val="1"/>
                <w:color w:val="auto"/>
              </w:rPr>
              <w:t>NI Holdings, Inc.</w:t>
            </w:r>
          </w:p>
        </w:tc>
        <w:tc>
          <w:tcPr>
            <w:tcW w:w="22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Interest</w:t>
            </w:r>
          </w:p>
        </w:tc>
        <w:tc>
          <w:tcPr>
            <w:tcW w:w="260" w:type="dxa"/>
            <w:vAlign w:val="bottom"/>
          </w:tcPr>
          <w:p>
            <w:pPr>
              <w:spacing w:after="0"/>
              <w:rPr>
                <w:sz w:val="20"/>
                <w:szCs w:val="20"/>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(8,206)</w:t>
            </w:r>
          </w:p>
        </w:tc>
        <w:tc>
          <w:tcPr>
            <w:tcW w:w="2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(8,305)</w:t>
            </w:r>
          </w:p>
        </w:tc>
      </w:tr>
      <w:tr>
        <w:trPr>
          <w:trHeight w:val="242"/>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(3,974)</w:t>
            </w:r>
          </w:p>
        </w:tc>
        <w:tc>
          <w:tcPr>
            <w:tcW w:w="2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(3,974)</w:t>
            </w:r>
          </w:p>
        </w:tc>
      </w:tr>
    </w:tbl>
    <w:p>
      <w:pPr>
        <w:spacing w:after="0" w:line="20" w:lineRule="exact"/>
        <w:rPr>
          <w:sz w:val="20"/>
          <w:szCs w:val="20"/>
          <w:color w:val="auto"/>
        </w:rPr>
      </w:pPr>
    </w:p>
    <w:p>
      <w:pPr>
        <w:sectPr>
          <w:pgSz w:w="11900" w:h="16838" w:orient="portrait"/>
          <w:cols w:equalWidth="0" w:num="2">
            <w:col w:w="6300" w:space="720"/>
            <w:col w:w="4400"/>
          </w:cols>
          <w:pgMar w:left="240" w:top="233"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66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2"/>
        </w:trPr>
        <w:tc>
          <w:tcPr>
            <w:tcW w:w="6660" w:type="dxa"/>
            <w:vAlign w:val="bottom"/>
            <w:shd w:val="clear" w:color="auto" w:fill="CCEEFF"/>
          </w:tcPr>
          <w:p>
            <w:pPr>
              <w:ind w:left="340"/>
              <w:spacing w:after="0" w:line="192" w:lineRule="exact"/>
              <w:rPr>
                <w:sz w:val="20"/>
                <w:szCs w:val="20"/>
                <w:color w:val="auto"/>
              </w:rPr>
            </w:pPr>
            <w:r>
              <w:rPr>
                <w:rFonts w:ascii="Arial" w:cs="Arial" w:eastAsia="Arial" w:hAnsi="Arial"/>
                <w:sz w:val="18"/>
                <w:szCs w:val="18"/>
                <w:color w:val="auto"/>
              </w:rPr>
              <w:t>Other comprehensive loss, before income taxes</w:t>
            </w:r>
          </w:p>
        </w:tc>
        <w:tc>
          <w:tcPr>
            <w:tcW w:w="360" w:type="dxa"/>
            <w:vAlign w:val="bottom"/>
            <w:shd w:val="clear" w:color="auto" w:fill="CCEEFF"/>
          </w:tcPr>
          <w:p>
            <w:pPr>
              <w:spacing w:after="0"/>
              <w:rPr>
                <w:sz w:val="16"/>
                <w:szCs w:val="16"/>
                <w:color w:val="auto"/>
              </w:rPr>
            </w:pPr>
          </w:p>
        </w:tc>
        <w:tc>
          <w:tcPr>
            <w:tcW w:w="440" w:type="dxa"/>
            <w:vAlign w:val="bottom"/>
            <w:tcBorders>
              <w:left w:val="single" w:sz="8" w:color="CCEEFF"/>
            </w:tcBorders>
            <w:shd w:val="clear" w:color="auto" w:fill="CCEEFF"/>
          </w:tcPr>
          <w:p>
            <w:pPr>
              <w:spacing w:after="0"/>
              <w:rPr>
                <w:sz w:val="16"/>
                <w:szCs w:val="16"/>
                <w:color w:val="auto"/>
              </w:rPr>
            </w:pPr>
          </w:p>
        </w:tc>
        <w:tc>
          <w:tcPr>
            <w:tcW w:w="1080" w:type="dxa"/>
            <w:vAlign w:val="bottom"/>
            <w:gridSpan w:val="2"/>
            <w:shd w:val="clear" w:color="auto" w:fill="CCEEFF"/>
          </w:tcPr>
          <w:p>
            <w:pPr>
              <w:jc w:val="right"/>
              <w:ind w:right="75"/>
              <w:spacing w:after="0" w:line="192" w:lineRule="exact"/>
              <w:rPr>
                <w:sz w:val="20"/>
                <w:szCs w:val="20"/>
                <w:color w:val="auto"/>
              </w:rPr>
            </w:pPr>
            <w:r>
              <w:rPr>
                <w:rFonts w:ascii="Arial" w:cs="Arial" w:eastAsia="Arial" w:hAnsi="Arial"/>
                <w:sz w:val="18"/>
                <w:szCs w:val="18"/>
                <w:color w:val="auto"/>
              </w:rPr>
              <w:t>(12,180)</w:t>
            </w:r>
          </w:p>
        </w:tc>
        <w:tc>
          <w:tcPr>
            <w:tcW w:w="260" w:type="dxa"/>
            <w:vAlign w:val="bottom"/>
            <w:tcBorders>
              <w:left w:val="single" w:sz="8" w:color="CCEEFF"/>
            </w:tcBorders>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80"/>
              <w:spacing w:after="0" w:line="192" w:lineRule="exact"/>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(12,279)</w:t>
            </w: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Income tax benefit related to items of other comprehensive income</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2,579</w:t>
            </w:r>
          </w:p>
        </w:tc>
        <w:tc>
          <w:tcPr>
            <w:tcW w:w="80" w:type="dxa"/>
            <w:vAlign w:val="bottom"/>
          </w:tcPr>
          <w:p>
            <w:pPr>
              <w:spacing w:after="0"/>
              <w:rPr>
                <w:sz w:val="19"/>
                <w:szCs w:val="19"/>
                <w:color w:val="auto"/>
              </w:rPr>
            </w:pPr>
          </w:p>
        </w:tc>
      </w:tr>
      <w:tr>
        <w:trPr>
          <w:trHeight w:val="210"/>
        </w:trPr>
        <w:tc>
          <w:tcPr>
            <w:tcW w:w="6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net of income taxes</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220" w:type="dxa"/>
            <w:vAlign w:val="bottom"/>
            <w:tcBorders>
              <w:top w:val="single" w:sz="8" w:color="CCEEFF"/>
              <w:left w:val="single" w:sz="8" w:color="CCEEFF"/>
            </w:tcBorders>
            <w:shd w:val="clear" w:color="auto" w:fill="CCEEFF"/>
          </w:tcPr>
          <w:p>
            <w:pPr>
              <w:jc w:val="right"/>
              <w:ind w:right="75"/>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right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21,544</w:t>
            </w:r>
          </w:p>
        </w:tc>
        <w:tc>
          <w:tcPr>
            <w:tcW w:w="8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42"/>
        </w:trPr>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4"/>
              </w:rPr>
              <w:t>Attributable to</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6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tcPr>
          <w:p>
            <w:pPr>
              <w:jc w:val="right"/>
              <w:ind w:right="155"/>
              <w:spacing w:after="0"/>
              <w:rPr>
                <w:sz w:val="20"/>
                <w:szCs w:val="20"/>
                <w:color w:val="auto"/>
              </w:rPr>
            </w:pPr>
            <w:r>
              <w:rPr>
                <w:rFonts w:ascii="Arial" w:cs="Arial" w:eastAsia="Arial" w:hAnsi="Arial"/>
                <w:sz w:val="18"/>
                <w:szCs w:val="18"/>
                <w:b w:val="1"/>
                <w:bCs w:val="1"/>
                <w:color w:val="auto"/>
              </w:rPr>
              <w:t>Attributable to</w:t>
            </w:r>
          </w:p>
        </w:tc>
        <w:tc>
          <w:tcPr>
            <w:tcW w:w="1540" w:type="dxa"/>
            <w:vAlign w:val="bottom"/>
            <w:gridSpan w:val="3"/>
          </w:tcPr>
          <w:p>
            <w:pPr>
              <w:ind w:left="60"/>
              <w:spacing w:after="0"/>
              <w:rPr>
                <w:sz w:val="20"/>
                <w:szCs w:val="20"/>
                <w:color w:val="auto"/>
              </w:rPr>
            </w:pPr>
            <w:r>
              <w:rPr>
                <w:rFonts w:ascii="Arial" w:cs="Arial" w:eastAsia="Arial" w:hAnsi="Arial"/>
                <w:sz w:val="18"/>
                <w:szCs w:val="18"/>
                <w:b w:val="1"/>
                <w:bCs w:val="1"/>
                <w:color w:val="auto"/>
              </w:rPr>
              <w:t>Non-Controlling</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NI Holdings, Inc.</w:t>
            </w: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24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left w:val="single" w:sz="8" w:color="CCEEFF"/>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Borders>
              <w:top w:val="single" w:sz="8" w:color="CCEEFF"/>
              <w:right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Other comprehensive income, before income taxes:</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 gains on investments</w:t>
            </w:r>
          </w:p>
        </w:tc>
        <w:tc>
          <w:tcPr>
            <w:tcW w:w="36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7,623</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80" w:type="dxa"/>
            <w:vAlign w:val="bottom"/>
            <w:shd w:val="clear" w:color="auto" w:fill="CCEEFF"/>
          </w:tcPr>
          <w:p>
            <w:pPr>
              <w:spacing w:after="0"/>
              <w:rPr>
                <w:sz w:val="18"/>
                <w:szCs w:val="18"/>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w w:val="96"/>
              </w:rPr>
              <w:t>Reclassification adjustment for net realized capital loss (gain) included in net income</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15"/>
              <w:spacing w:after="0"/>
              <w:rPr>
                <w:sz w:val="20"/>
                <w:szCs w:val="20"/>
                <w:color w:val="auto"/>
              </w:rPr>
            </w:pPr>
            <w:r>
              <w:rPr>
                <w:rFonts w:ascii="Arial" w:cs="Arial" w:eastAsia="Arial" w:hAnsi="Arial"/>
                <w:sz w:val="18"/>
                <w:szCs w:val="18"/>
                <w:color w:val="auto"/>
              </w:rPr>
              <w:t>(3,046)</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(2,997)</w:t>
            </w:r>
          </w:p>
        </w:tc>
      </w:tr>
      <w:tr>
        <w:trPr>
          <w:trHeight w:val="210"/>
        </w:trPr>
        <w:tc>
          <w:tcPr>
            <w:tcW w:w="6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before income taxes</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lef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15"/>
              <w:spacing w:after="0"/>
              <w:rPr>
                <w:sz w:val="20"/>
                <w:szCs w:val="20"/>
                <w:color w:val="auto"/>
              </w:rPr>
            </w:pPr>
            <w:r>
              <w:rPr>
                <w:rFonts w:ascii="Arial" w:cs="Arial" w:eastAsia="Arial" w:hAnsi="Arial"/>
                <w:sz w:val="18"/>
                <w:szCs w:val="18"/>
                <w:color w:val="auto"/>
              </w:rPr>
              <w:t>(1,601)</w:t>
            </w:r>
          </w:p>
        </w:tc>
        <w:tc>
          <w:tcPr>
            <w:tcW w:w="2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(1,621)</w:t>
            </w:r>
          </w:p>
        </w:tc>
      </w:tr>
      <w:tr>
        <w:trPr>
          <w:trHeight w:val="210"/>
        </w:trPr>
        <w:tc>
          <w:tcPr>
            <w:tcW w:w="6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60" w:type="dxa"/>
            <w:vAlign w:val="bottom"/>
          </w:tcPr>
          <w:p>
            <w:pPr>
              <w:spacing w:after="0"/>
              <w:rPr>
                <w:sz w:val="19"/>
                <w:szCs w:val="19"/>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18,967</w:t>
            </w:r>
          </w:p>
        </w:tc>
        <w:tc>
          <w:tcPr>
            <w:tcW w:w="220" w:type="dxa"/>
            <w:vAlign w:val="bottom"/>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18,623</w:t>
            </w:r>
          </w:p>
        </w:tc>
        <w:tc>
          <w:tcPr>
            <w:tcW w:w="8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02"/>
        </w:trPr>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4"/>
              </w:rPr>
              <w:t>Attributable to</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6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tcPr>
          <w:p>
            <w:pPr>
              <w:jc w:val="right"/>
              <w:ind w:right="155"/>
              <w:spacing w:after="0"/>
              <w:rPr>
                <w:sz w:val="20"/>
                <w:szCs w:val="20"/>
                <w:color w:val="auto"/>
              </w:rPr>
            </w:pPr>
            <w:r>
              <w:rPr>
                <w:rFonts w:ascii="Arial" w:cs="Arial" w:eastAsia="Arial" w:hAnsi="Arial"/>
                <w:sz w:val="18"/>
                <w:szCs w:val="18"/>
                <w:b w:val="1"/>
                <w:bCs w:val="1"/>
                <w:color w:val="auto"/>
              </w:rPr>
              <w:t>Attributable to</w:t>
            </w:r>
          </w:p>
        </w:tc>
        <w:tc>
          <w:tcPr>
            <w:tcW w:w="1540" w:type="dxa"/>
            <w:vAlign w:val="bottom"/>
            <w:gridSpan w:val="3"/>
          </w:tcPr>
          <w:p>
            <w:pPr>
              <w:ind w:left="60"/>
              <w:spacing w:after="0"/>
              <w:rPr>
                <w:sz w:val="20"/>
                <w:szCs w:val="20"/>
                <w:color w:val="auto"/>
              </w:rPr>
            </w:pPr>
            <w:r>
              <w:rPr>
                <w:rFonts w:ascii="Arial" w:cs="Arial" w:eastAsia="Arial" w:hAnsi="Arial"/>
                <w:sz w:val="18"/>
                <w:szCs w:val="18"/>
                <w:b w:val="1"/>
                <w:bCs w:val="1"/>
                <w:color w:val="auto"/>
              </w:rPr>
              <w:t>Non-Controlling</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NI Holdings, Inc.</w:t>
            </w: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24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left w:val="single" w:sz="8" w:color="CCEEFF"/>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Other comprehensive income (loss), before income taxes:</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 gains on investments</w:t>
            </w:r>
          </w:p>
        </w:tc>
        <w:tc>
          <w:tcPr>
            <w:tcW w:w="36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3,862</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80" w:type="dxa"/>
            <w:vAlign w:val="bottom"/>
            <w:shd w:val="clear" w:color="auto" w:fill="CCEEFF"/>
          </w:tcPr>
          <w:p>
            <w:pPr>
              <w:spacing w:after="0"/>
              <w:rPr>
                <w:sz w:val="18"/>
                <w:szCs w:val="18"/>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w w:val="96"/>
              </w:rPr>
              <w:t>Reclassification adjustment for net realized capital loss (gain) included in net income</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15"/>
              <w:spacing w:after="0"/>
              <w:rPr>
                <w:sz w:val="20"/>
                <w:szCs w:val="20"/>
                <w:color w:val="auto"/>
              </w:rPr>
            </w:pPr>
            <w:r>
              <w:rPr>
                <w:rFonts w:ascii="Arial" w:cs="Arial" w:eastAsia="Arial" w:hAnsi="Arial"/>
                <w:sz w:val="18"/>
                <w:szCs w:val="18"/>
                <w:color w:val="auto"/>
              </w:rPr>
              <w:t>(5,691)</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(5,681)</w:t>
            </w:r>
          </w:p>
        </w:tc>
      </w:tr>
      <w:tr>
        <w:trPr>
          <w:trHeight w:val="210"/>
        </w:trPr>
        <w:tc>
          <w:tcPr>
            <w:tcW w:w="6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income taxes</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lef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Income tax benefit (expense) related to items of other comprehensive income</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8"/>
                <w:szCs w:val="18"/>
                <w:color w:val="auto"/>
              </w:rPr>
              <w:t>640</w:t>
            </w:r>
          </w:p>
        </w:tc>
        <w:tc>
          <w:tcPr>
            <w:tcW w:w="2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r>
      <w:tr>
        <w:trPr>
          <w:trHeight w:val="210"/>
        </w:trPr>
        <w:tc>
          <w:tcPr>
            <w:tcW w:w="6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income taxes</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20" w:type="dxa"/>
            <w:vAlign w:val="bottom"/>
            <w:tcBorders>
              <w:top w:val="single" w:sz="8" w:color="CCEEFF"/>
              <w:lef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19"/>
                <w:szCs w:val="19"/>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220" w:type="dxa"/>
            <w:vAlign w:val="bottom"/>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8" w:name="page69"/>
    <w:bookmarkEnd w:id="68"/>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Unearned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Comprehensive</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Non-</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Paid-in</w:t>
            </w: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Ownership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Net of</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Controlling</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Capital</w:t>
            </w: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Plan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Income Taxes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8"/>
              </w:rPr>
              <w:t>Treasury 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Total Equity</w:t>
            </w:r>
          </w:p>
        </w:tc>
      </w:tr>
      <w:tr>
        <w:trPr>
          <w:trHeight w:val="182"/>
        </w:trPr>
        <w:tc>
          <w:tcPr>
            <w:tcW w:w="1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January 1,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135,040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3,384</w:t>
            </w: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149,918</w:t>
            </w:r>
          </w:p>
        </w:tc>
        <w:tc>
          <w:tcPr>
            <w:tcW w:w="100" w:type="dxa"/>
            <w:vAlign w:val="bottom"/>
            <w:shd w:val="clear" w:color="auto" w:fill="CCEEFF"/>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00" w:type="dxa"/>
            <w:vAlign w:val="bottom"/>
            <w:shd w:val="clear" w:color="auto" w:fill="CCEEFF"/>
          </w:tcPr>
          <w:p>
            <w:pPr>
              <w:spacing w:after="0"/>
              <w:rPr>
                <w:sz w:val="18"/>
                <w:szCs w:val="18"/>
                <w:color w:val="auto"/>
              </w:rPr>
            </w:pPr>
          </w:p>
        </w:tc>
      </w:tr>
      <w:tr>
        <w:trPr>
          <w:trHeight w:val="202"/>
        </w:trPr>
        <w:tc>
          <w:tcPr>
            <w:tcW w:w="1440" w:type="dxa"/>
            <w:vAlign w:val="bottom"/>
          </w:tcPr>
          <w:p>
            <w:pPr>
              <w:ind w:left="140"/>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440" w:type="dxa"/>
            <w:vAlign w:val="bottom"/>
          </w:tcPr>
          <w:p>
            <w:pPr>
              <w:ind w:left="140"/>
              <w:spacing w:after="0"/>
              <w:rPr>
                <w:sz w:val="20"/>
                <w:szCs w:val="20"/>
                <w:color w:val="auto"/>
              </w:rPr>
            </w:pPr>
            <w:r>
              <w:rPr>
                <w:rFonts w:ascii="Arial" w:cs="Arial" w:eastAsia="Arial" w:hAnsi="Arial"/>
                <w:sz w:val="18"/>
                <w:szCs w:val="18"/>
                <w:color w:val="auto"/>
              </w:rPr>
              <w:t>comprehensive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tcPr>
          <w:p>
            <w:pPr>
              <w:ind w:left="140"/>
              <w:spacing w:after="0"/>
              <w:rPr>
                <w:sz w:val="20"/>
                <w:szCs w:val="20"/>
                <w:color w:val="auto"/>
              </w:rPr>
            </w:pPr>
            <w:r>
              <w:rPr>
                <w:rFonts w:ascii="Arial" w:cs="Arial" w:eastAsia="Arial" w:hAnsi="Arial"/>
                <w:sz w:val="18"/>
                <w:szCs w:val="18"/>
                <w:color w:val="auto"/>
              </w:rPr>
              <w:t>income (loss),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tcPr>
          <w:p>
            <w:pPr>
              <w:ind w:left="140"/>
              <w:spacing w:after="0"/>
              <w:rPr>
                <w:sz w:val="20"/>
                <w:szCs w:val="20"/>
                <w:color w:val="auto"/>
              </w:rPr>
            </w:pPr>
            <w:r>
              <w:rPr>
                <w:rFonts w:ascii="Arial" w:cs="Arial" w:eastAsia="Arial" w:hAnsi="Arial"/>
                <w:sz w:val="18"/>
                <w:szCs w:val="18"/>
                <w:color w:val="auto"/>
              </w:rPr>
              <w:t>net of income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1440" w:type="dxa"/>
            <w:vAlign w:val="bottom"/>
          </w:tcPr>
          <w:p>
            <w:pPr>
              <w:ind w:left="14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(1,189)</w:t>
            </w:r>
          </w:p>
        </w:tc>
        <w:tc>
          <w:tcPr>
            <w:tcW w:w="3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(1,138)</w:t>
            </w:r>
          </w:p>
        </w:tc>
      </w:tr>
      <w:tr>
        <w:trPr>
          <w:trHeight w:val="182"/>
        </w:trPr>
        <w:tc>
          <w:tcPr>
            <w:tcW w:w="1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139,591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3,522</w:t>
            </w: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153,418</w:t>
            </w:r>
          </w:p>
        </w:tc>
        <w:tc>
          <w:tcPr>
            <w:tcW w:w="100" w:type="dxa"/>
            <w:vAlign w:val="bottom"/>
            <w:shd w:val="clear" w:color="auto" w:fill="CCEEFF"/>
          </w:tcPr>
          <w:p>
            <w:pPr>
              <w:spacing w:after="0"/>
              <w:rPr>
                <w:sz w:val="21"/>
                <w:szCs w:val="21"/>
                <w:color w:val="auto"/>
              </w:rPr>
            </w:pPr>
          </w:p>
        </w:tc>
      </w:tr>
      <w:tr>
        <w:trPr>
          <w:trHeight w:val="210"/>
        </w:trPr>
        <w:tc>
          <w:tcPr>
            <w:tcW w:w="1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4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Issuance of</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92,915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90,745</w:t>
            </w:r>
          </w:p>
        </w:tc>
        <w:tc>
          <w:tcPr>
            <w:tcW w:w="100" w:type="dxa"/>
            <w:vAlign w:val="bottom"/>
            <w:shd w:val="clear" w:color="auto" w:fill="CCEEFF"/>
          </w:tcPr>
          <w:p>
            <w:pPr>
              <w:spacing w:after="0"/>
              <w:rPr>
                <w:sz w:val="20"/>
                <w:szCs w:val="20"/>
                <w:color w:val="auto"/>
              </w:rPr>
            </w:pPr>
          </w:p>
        </w:tc>
      </w:tr>
      <w:tr>
        <w:trPr>
          <w:trHeight w:val="202"/>
        </w:trPr>
        <w:tc>
          <w:tcPr>
            <w:tcW w:w="1440" w:type="dxa"/>
            <w:vAlign w:val="bottom"/>
          </w:tcPr>
          <w:p>
            <w:pPr>
              <w:ind w:left="140"/>
              <w:spacing w:after="0" w:line="201" w:lineRule="exact"/>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440" w:type="dxa"/>
            <w:vAlign w:val="bottom"/>
          </w:tcPr>
          <w:p>
            <w:pPr>
              <w:ind w:left="140"/>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15,991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15,612</w:t>
            </w:r>
          </w:p>
        </w:tc>
        <w:tc>
          <w:tcPr>
            <w:tcW w:w="100" w:type="dxa"/>
            <w:vAlign w:val="bottom"/>
          </w:tcPr>
          <w:p>
            <w:pPr>
              <w:spacing w:after="0"/>
              <w:rPr>
                <w:sz w:val="20"/>
                <w:szCs w:val="20"/>
                <w:color w:val="auto"/>
              </w:rPr>
            </w:pPr>
          </w:p>
        </w:tc>
      </w:tr>
      <w:tr>
        <w:trPr>
          <w:trHeight w:val="202"/>
        </w:trPr>
        <w:tc>
          <w:tcPr>
            <w:tcW w:w="14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net of</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20"/>
                <w:szCs w:val="20"/>
                <w:color w:val="auto"/>
              </w:rPr>
            </w:pPr>
          </w:p>
        </w:tc>
      </w:tr>
      <w:tr>
        <w:trPr>
          <w:trHeight w:val="202"/>
        </w:trPr>
        <w:tc>
          <w:tcPr>
            <w:tcW w:w="1440" w:type="dxa"/>
            <w:vAlign w:val="bottom"/>
          </w:tcPr>
          <w:p>
            <w:pPr>
              <w:ind w:left="140"/>
              <w:spacing w:after="0" w:line="201" w:lineRule="exact"/>
              <w:rPr>
                <w:sz w:val="20"/>
                <w:szCs w:val="20"/>
                <w:color w:val="auto"/>
              </w:rPr>
            </w:pPr>
            <w:r>
              <w:rPr>
                <w:rFonts w:ascii="Arial" w:cs="Arial" w:eastAsia="Arial" w:hAnsi="Arial"/>
                <w:sz w:val="18"/>
                <w:szCs w:val="18"/>
                <w:color w:val="auto"/>
              </w:rPr>
              <w:t>Reclassification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440" w:type="dxa"/>
            <w:vAlign w:val="bottom"/>
          </w:tcPr>
          <w:p>
            <w:pPr>
              <w:ind w:left="140"/>
              <w:spacing w:after="0"/>
              <w:rPr>
                <w:sz w:val="20"/>
                <w:szCs w:val="20"/>
                <w:color w:val="auto"/>
              </w:rPr>
            </w:pPr>
            <w:r>
              <w:rPr>
                <w:rFonts w:ascii="Arial" w:cs="Arial" w:eastAsia="Arial" w:hAnsi="Arial"/>
                <w:sz w:val="18"/>
                <w:szCs w:val="18"/>
                <w:color w:val="auto"/>
              </w:rPr>
              <w:t>of income tax</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tcPr>
          <w:p>
            <w:pPr>
              <w:ind w:left="140"/>
              <w:spacing w:after="0"/>
              <w:rPr>
                <w:sz w:val="20"/>
                <w:szCs w:val="20"/>
                <w:color w:val="auto"/>
              </w:rPr>
            </w:pPr>
            <w:r>
              <w:rPr>
                <w:rFonts w:ascii="Arial" w:cs="Arial" w:eastAsia="Arial" w:hAnsi="Arial"/>
                <w:sz w:val="18"/>
                <w:szCs w:val="18"/>
                <w:color w:val="auto"/>
                <w:w w:val="99"/>
              </w:rPr>
              <w:t>effects stranded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tcPr>
          <w:p>
            <w:pPr>
              <w:ind w:left="140"/>
              <w:spacing w:after="0"/>
              <w:rPr>
                <w:sz w:val="20"/>
                <w:szCs w:val="20"/>
                <w:color w:val="auto"/>
              </w:rPr>
            </w:pPr>
            <w:r>
              <w:rPr>
                <w:rFonts w:ascii="Arial" w:cs="Arial" w:eastAsia="Arial" w:hAnsi="Arial"/>
                <w:sz w:val="18"/>
                <w:szCs w:val="18"/>
                <w:color w:val="auto"/>
              </w:rPr>
              <w:t>in AOCI from</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440" w:type="dxa"/>
            <w:vAlign w:val="bottom"/>
          </w:tcPr>
          <w:p>
            <w:pPr>
              <w:ind w:left="140"/>
              <w:spacing w:after="0"/>
              <w:rPr>
                <w:sz w:val="20"/>
                <w:szCs w:val="20"/>
                <w:color w:val="auto"/>
              </w:rPr>
            </w:pPr>
            <w:r>
              <w:rPr>
                <w:rFonts w:ascii="Arial" w:cs="Arial" w:eastAsia="Arial" w:hAnsi="Arial"/>
                <w:sz w:val="18"/>
                <w:szCs w:val="18"/>
                <w:color w:val="auto"/>
              </w:rPr>
              <w:t>tax reform</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4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Share-based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0"/>
                <w:szCs w:val="20"/>
                <w:color w:val="auto"/>
              </w:rPr>
            </w:pPr>
          </w:p>
        </w:tc>
      </w:tr>
      <w:tr>
        <w:trPr>
          <w:trHeight w:val="202"/>
        </w:trPr>
        <w:tc>
          <w:tcPr>
            <w:tcW w:w="1440" w:type="dxa"/>
            <w:vAlign w:val="bottom"/>
          </w:tcPr>
          <w:p>
            <w:pPr>
              <w:ind w:left="140"/>
              <w:spacing w:after="0" w:line="201" w:lineRule="exact"/>
              <w:rPr>
                <w:sz w:val="20"/>
                <w:szCs w:val="20"/>
                <w:color w:val="auto"/>
              </w:rPr>
            </w:pPr>
            <w:r>
              <w:rPr>
                <w:rFonts w:ascii="Arial" w:cs="Arial" w:eastAsia="Arial" w:hAnsi="Arial"/>
                <w:sz w:val="18"/>
                <w:szCs w:val="18"/>
                <w:color w:val="auto"/>
              </w:rPr>
              <w:t>Purchase of</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440" w:type="dxa"/>
            <w:vAlign w:val="bottom"/>
          </w:tcPr>
          <w:p>
            <w:pPr>
              <w:ind w:left="14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(8,037)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(8,037)</w:t>
            </w:r>
          </w:p>
        </w:tc>
      </w:tr>
      <w:tr>
        <w:trPr>
          <w:trHeight w:val="202"/>
        </w:trPr>
        <w:tc>
          <w:tcPr>
            <w:tcW w:w="14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Distribution of</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ownership plan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1"/>
                <w:szCs w:val="21"/>
                <w:color w:val="auto"/>
              </w:rPr>
            </w:pPr>
          </w:p>
        </w:tc>
      </w:tr>
      <w:tr>
        <w:trPr>
          <w:trHeight w:val="182"/>
        </w:trPr>
        <w:tc>
          <w:tcPr>
            <w:tcW w:w="144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144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93,496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(2,157)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152,865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15,998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(8,037)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3,178</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255,573</w:t>
            </w:r>
          </w:p>
        </w:tc>
        <w:tc>
          <w:tcPr>
            <w:tcW w:w="100" w:type="dxa"/>
            <w:vAlign w:val="bottom"/>
          </w:tcPr>
          <w:p>
            <w:pPr>
              <w:spacing w:after="0"/>
              <w:rPr>
                <w:sz w:val="21"/>
                <w:szCs w:val="21"/>
                <w:color w:val="auto"/>
              </w:rPr>
            </w:pPr>
          </w:p>
        </w:tc>
      </w:tr>
      <w:tr>
        <w:trPr>
          <w:trHeight w:val="210"/>
        </w:trPr>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31,081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31,244</w:t>
            </w:r>
          </w:p>
        </w:tc>
        <w:tc>
          <w:tcPr>
            <w:tcW w:w="100" w:type="dxa"/>
            <w:vAlign w:val="bottom"/>
          </w:tcPr>
          <w:p>
            <w:pPr>
              <w:spacing w:after="0"/>
              <w:rPr>
                <w:sz w:val="18"/>
                <w:szCs w:val="18"/>
                <w:color w:val="auto"/>
              </w:rPr>
            </w:pPr>
          </w:p>
        </w:tc>
      </w:tr>
      <w:tr>
        <w:trPr>
          <w:trHeight w:val="202"/>
        </w:trPr>
        <w:tc>
          <w:tcPr>
            <w:tcW w:w="14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net of</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(9,622)</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(9,700)</w:t>
            </w:r>
          </w:p>
        </w:tc>
      </w:tr>
      <w:tr>
        <w:trPr>
          <w:trHeight w:val="202"/>
        </w:trPr>
        <w:tc>
          <w:tcPr>
            <w:tcW w:w="1440" w:type="dxa"/>
            <w:vAlign w:val="bottom"/>
          </w:tcPr>
          <w:p>
            <w:pPr>
              <w:ind w:left="140"/>
              <w:spacing w:after="0" w:line="201" w:lineRule="exact"/>
              <w:rPr>
                <w:sz w:val="20"/>
                <w:szCs w:val="20"/>
                <w:color w:val="auto"/>
              </w:rPr>
            </w:pPr>
            <w:r>
              <w:rPr>
                <w:rFonts w:ascii="Arial" w:cs="Arial" w:eastAsia="Arial" w:hAnsi="Arial"/>
                <w:sz w:val="18"/>
                <w:szCs w:val="18"/>
                <w:color w:val="auto"/>
              </w:rPr>
              <w:t>Share-based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44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r>
      <w:tr>
        <w:trPr>
          <w:trHeight w:val="202"/>
        </w:trPr>
        <w:tc>
          <w:tcPr>
            <w:tcW w:w="14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Purchase of</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(2,996)</w:t>
            </w:r>
          </w:p>
        </w:tc>
      </w:tr>
      <w:tr>
        <w:trPr>
          <w:trHeight w:val="202"/>
        </w:trPr>
        <w:tc>
          <w:tcPr>
            <w:tcW w:w="1440" w:type="dxa"/>
            <w:vAlign w:val="bottom"/>
          </w:tcPr>
          <w:p>
            <w:pPr>
              <w:ind w:left="140"/>
              <w:spacing w:after="0" w:line="201" w:lineRule="exact"/>
              <w:rPr>
                <w:sz w:val="20"/>
                <w:szCs w:val="20"/>
                <w:color w:val="auto"/>
              </w:rPr>
            </w:pPr>
            <w:r>
              <w:rPr>
                <w:rFonts w:ascii="Arial" w:cs="Arial" w:eastAsia="Arial" w:hAnsi="Arial"/>
                <w:sz w:val="18"/>
                <w:szCs w:val="18"/>
                <w:color w:val="auto"/>
              </w:rPr>
              <w:t>Issuance of</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440" w:type="dxa"/>
            <w:vAlign w:val="bottom"/>
          </w:tcPr>
          <w:p>
            <w:pPr>
              <w:ind w:left="140"/>
              <w:spacing w:after="0"/>
              <w:rPr>
                <w:sz w:val="20"/>
                <w:szCs w:val="20"/>
                <w:color w:val="auto"/>
              </w:rPr>
            </w:pPr>
            <w:r>
              <w:rPr>
                <w:rFonts w:ascii="Arial" w:cs="Arial" w:eastAsia="Arial" w:hAnsi="Arial"/>
                <w:sz w:val="18"/>
                <w:szCs w:val="18"/>
                <w:color w:val="auto"/>
              </w:rPr>
              <w:t>vested award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440" w:type="dxa"/>
            <w:vAlign w:val="bottom"/>
          </w:tcPr>
          <w:p>
            <w:pPr>
              <w:ind w:left="14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4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Distribution of</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ownership plan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r>
      <w:tr>
        <w:trPr>
          <w:trHeight w:val="182"/>
        </w:trPr>
        <w:tc>
          <w:tcPr>
            <w:tcW w:w="144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144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94,486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183,946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6,376</w:t>
            </w:r>
          </w:p>
        </w:tc>
        <w:tc>
          <w:tcPr>
            <w:tcW w:w="220" w:type="dxa"/>
            <w:vAlign w:val="bottom"/>
          </w:tcPr>
          <w:p>
            <w:pPr>
              <w:spacing w:after="0"/>
              <w:rPr>
                <w:sz w:val="22"/>
                <w:szCs w:val="22"/>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(10,634)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3,263</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275,753</w:t>
            </w:r>
          </w:p>
        </w:tc>
        <w:tc>
          <w:tcPr>
            <w:tcW w:w="100" w:type="dxa"/>
            <w:vAlign w:val="bottom"/>
          </w:tcPr>
          <w:p>
            <w:pPr>
              <w:spacing w:after="0"/>
              <w:rPr>
                <w:sz w:val="22"/>
                <w:szCs w:val="22"/>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33" w:right="239" w:bottom="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Borders>
              <w:bottom w:val="single" w:sz="8" w:color="0000EE"/>
            </w:tcBorders>
          </w:tcPr>
          <w:p>
            <w:pPr>
              <w:ind w:left="40"/>
              <w:spacing w:after="0"/>
              <w:rPr>
                <w:rFonts w:ascii="Arial" w:cs="Arial" w:eastAsia="Arial" w:hAnsi="Arial"/>
                <w:sz w:val="18"/>
                <w:szCs w:val="18"/>
                <w:i w:val="1"/>
                <w:iCs w:val="1"/>
                <w:color w:val="0000EE"/>
                <w:w w:val="87"/>
              </w:rPr>
            </w:pPr>
            <w:hyperlink w:anchor="page3">
              <w:r>
                <w:rPr>
                  <w:rFonts w:ascii="Arial" w:cs="Arial" w:eastAsia="Arial" w:hAnsi="Arial"/>
                  <w:sz w:val="18"/>
                  <w:szCs w:val="18"/>
                  <w:i w:val="1"/>
                  <w:iCs w:val="1"/>
                  <w:color w:val="0000EE"/>
                  <w:w w:val="87"/>
                </w:rPr>
                <w:t>Table of Contents</w:t>
              </w:r>
            </w:hyperlink>
          </w:p>
        </w:tc>
        <w:tc>
          <w:tcPr>
            <w:tcW w:w="6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NI Holdings, Inc.</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Years Ended December 31, 2018, 2017 and 2016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(dollar amounts in thousands)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60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31,244</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15,612</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Gain on acquisition of Direct Auto Insurance Company</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capital gain on investments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Deferred income tax expense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Depreciation of property and equipment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Amortization of intangibles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Distribution of employee stock ownership plan shares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Share-based incentive compensation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deferred policy acquisition costs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Deferral of policy acquisition costs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(35,863)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(27,667)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amortization of premiums and discounts on investments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Gain on sale of property and equipment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assets and liabilities which provided (used) cash:</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80"/>
              <w:spacing w:after="0"/>
              <w:rPr>
                <w:sz w:val="20"/>
                <w:szCs w:val="20"/>
                <w:color w:val="auto"/>
              </w:rPr>
            </w:pPr>
            <w:r>
              <w:rPr>
                <w:rFonts w:ascii="Arial" w:cs="Arial" w:eastAsia="Arial" w:hAnsi="Arial"/>
                <w:sz w:val="18"/>
                <w:szCs w:val="18"/>
                <w:color w:val="auto"/>
              </w:rPr>
              <w:t>Premiums and agents’ balances receivable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Reinsurance premiums payable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80"/>
              <w:spacing w:after="0"/>
              <w:rPr>
                <w:sz w:val="20"/>
                <w:szCs w:val="20"/>
                <w:color w:val="auto"/>
              </w:rPr>
            </w:pPr>
            <w:r>
              <w:rPr>
                <w:rFonts w:ascii="Arial" w:cs="Arial" w:eastAsia="Arial" w:hAnsi="Arial"/>
                <w:sz w:val="18"/>
                <w:szCs w:val="18"/>
                <w:color w:val="auto"/>
              </w:rPr>
              <w:t>Reinsurance recoverables on losses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investment income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80"/>
              <w:spacing w:after="0"/>
              <w:rPr>
                <w:sz w:val="20"/>
                <w:szCs w:val="20"/>
                <w:color w:val="auto"/>
              </w:rPr>
            </w:pPr>
            <w:r>
              <w:rPr>
                <w:rFonts w:ascii="Arial" w:cs="Arial" w:eastAsia="Arial" w:hAnsi="Arial"/>
                <w:sz w:val="18"/>
                <w:szCs w:val="18"/>
                <w:color w:val="auto"/>
              </w:rPr>
              <w:t>Receivable from Federal Crop Insurance Corporation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6,260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Federal income tax recoverable / payable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Unpaid losses and loss adjustment expenses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(13,742)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80"/>
              <w:spacing w:after="0"/>
              <w:rPr>
                <w:sz w:val="20"/>
                <w:szCs w:val="20"/>
                <w:color w:val="auto"/>
              </w:rPr>
            </w:pPr>
            <w:r>
              <w:rPr>
                <w:rFonts w:ascii="Arial" w:cs="Arial" w:eastAsia="Arial" w:hAnsi="Arial"/>
                <w:sz w:val="18"/>
                <w:szCs w:val="18"/>
                <w:color w:val="auto"/>
              </w:rPr>
              <w:t>Unearned premiums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5,817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lef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00" w:type="dxa"/>
            <w:vAlign w:val="bottom"/>
            <w:tcBorders>
              <w:left w:val="single" w:sz="8" w:color="CCEEFF"/>
            </w:tcBorders>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sales of fixed income securities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20"/>
              <w:spacing w:after="0"/>
              <w:rPr>
                <w:sz w:val="20"/>
                <w:szCs w:val="20"/>
                <w:color w:val="auto"/>
              </w:rPr>
            </w:pPr>
            <w:r>
              <w:rPr>
                <w:rFonts w:ascii="Arial" w:cs="Arial" w:eastAsia="Arial" w:hAnsi="Arial"/>
                <w:sz w:val="18"/>
                <w:szCs w:val="18"/>
                <w:color w:val="auto"/>
              </w:rPr>
              <w:t>Proceeds from sales of equity securities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23,409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11,125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Purchases of fixed income securities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20"/>
              <w:spacing w:after="0"/>
              <w:rPr>
                <w:sz w:val="20"/>
                <w:szCs w:val="20"/>
                <w:color w:val="auto"/>
              </w:rPr>
            </w:pPr>
            <w:r>
              <w:rPr>
                <w:rFonts w:ascii="Arial" w:cs="Arial" w:eastAsia="Arial" w:hAnsi="Arial"/>
                <w:sz w:val="18"/>
                <w:szCs w:val="18"/>
                <w:color w:val="auto"/>
              </w:rPr>
              <w:t>Purchases of equity securities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(13,557)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(25,419)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 net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6"/>
              </w:rPr>
              <w:t>Acquisition of Direct Auto Insurance Company (cash consideration paid net of cash and cash</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ind w:left="120"/>
              <w:spacing w:after="0"/>
              <w:rPr>
                <w:sz w:val="20"/>
                <w:szCs w:val="20"/>
                <w:color w:val="auto"/>
              </w:rPr>
            </w:pPr>
            <w:r>
              <w:rPr>
                <w:rFonts w:ascii="Arial" w:cs="Arial" w:eastAsia="Arial" w:hAnsi="Arial"/>
                <w:sz w:val="18"/>
                <w:szCs w:val="18"/>
                <w:color w:val="auto"/>
              </w:rPr>
              <w:t>equivalents acquired)</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27,485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4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(91,857</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00" w:type="dxa"/>
            <w:vAlign w:val="bottom"/>
            <w:tcBorders>
              <w:left w:val="single" w:sz="8" w:color="CCEEFF"/>
            </w:tcBorders>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20"/>
              <w:spacing w:after="0"/>
              <w:rPr>
                <w:sz w:val="20"/>
                <w:szCs w:val="20"/>
                <w:color w:val="auto"/>
              </w:rPr>
            </w:pPr>
            <w:r>
              <w:rPr>
                <w:rFonts w:ascii="Arial" w:cs="Arial" w:eastAsia="Arial" w:hAnsi="Arial"/>
                <w:sz w:val="18"/>
                <w:szCs w:val="18"/>
                <w:color w:val="auto"/>
              </w:rPr>
              <w:t>Purchases of treasury stock</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(8,037)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Loan to employee stock ownership plan</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cash (used in) provided by financing activities</w:t>
            </w:r>
          </w:p>
        </w:tc>
        <w:tc>
          <w:tcPr>
            <w:tcW w:w="4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Borders>
              <w:left w:val="single" w:sz="8" w:color="CCEEFF"/>
            </w:tcBorders>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41,356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9,276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Borders>
              <w:left w:val="single" w:sz="8" w:color="CCEEFF"/>
            </w:tcBorders>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27,594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18,318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Borders>
              <w:top w:val="single" w:sz="8" w:color="CCEEFF"/>
              <w:left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$10,300, $4,550, and $3,800 in federal income taxes during 2018,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70" w:name="page71"/>
    <w:bookmarkEnd w:id="70"/>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02" w:lineRule="exact"/>
        <w:rPr>
          <w:sz w:val="20"/>
          <w:szCs w:val="20"/>
          <w:color w:val="auto"/>
        </w:rPr>
      </w:pPr>
    </w:p>
    <w:p>
      <w:pPr>
        <w:ind w:right="280" w:firstLine="648"/>
        <w:spacing w:after="0" w:line="271" w:lineRule="auto"/>
        <w:rPr>
          <w:sz w:val="20"/>
          <w:szCs w:val="20"/>
          <w:color w:val="auto"/>
        </w:rPr>
      </w:pPr>
      <w:r>
        <w:rPr>
          <w:rFonts w:ascii="Arial" w:cs="Arial" w:eastAsia="Arial" w:hAnsi="Arial"/>
          <w:sz w:val="17"/>
          <w:szCs w:val="17"/>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consolidated financial statements of NI Holdings include the financial position and results of operations of NI Holdings and six other entities:</w:t>
      </w:r>
    </w:p>
    <w:p>
      <w:pPr>
        <w:spacing w:after="0" w:line="46"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Nodak Insurance Company (“Nodak Insurance”, formerly Nodak Mutual Insurance Company prior to the conversion);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Nodak Agency, Inc. (“Nodak Agency”);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American West Insurance Company (“American West”);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Primero Insurance Company (“Primero”);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Battle Creek Mutual Insurance Company (“Battle Creek”, an affiliated company with Nodak Insurance);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Auto Insurance Company (“Direct Auto”).</w:t>
      </w:r>
    </w:p>
    <w:p>
      <w:pPr>
        <w:spacing w:after="0" w:line="17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Federation (“NDFB”). Nodak Insurance specializes in providing private passenger auto, homeowners, farmowners, commercial, crop hail, and Federal multi-peril crop insurance coverages.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a wholly-owned subsidiary of Nodak Insurance, is an inactive shell corporation.</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4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9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Battle Creek is controlled by Nodak Insurance via a surplus note and 100% quota-share agreement. The terms of the surplus note and quota-share agreement allow Nodak Insurance to appoint two-thirds of the Battle Creek Board of Directors. Battle Creek is a property and casualty insurance company writing personal auto, homeowners, and farm coverages solely in the state of Nebraska.</w:t>
      </w:r>
    </w:p>
    <w:p>
      <w:pPr>
        <w:spacing w:after="0" w:line="14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Direct Auto, a wholly-owned subsidiary of NI Holdings, is a property and casualty company licensed in Illinois. Direct Auto began writing non-standard automobile coverage in 2007, and was acquired by NI Holdings on August 31, 2018 via a stock purchase agreement. See Note 4.</w:t>
      </w:r>
    </w:p>
    <w:p>
      <w:pPr>
        <w:spacing w:after="0" w:line="106" w:lineRule="exact"/>
        <w:rPr>
          <w:sz w:val="20"/>
          <w:szCs w:val="20"/>
          <w:color w:val="auto"/>
        </w:rPr>
      </w:pPr>
    </w:p>
    <w:p>
      <w:pPr>
        <w:ind w:left="20" w:right="180" w:firstLine="635"/>
        <w:spacing w:after="0" w:line="276" w:lineRule="auto"/>
        <w:rPr>
          <w:sz w:val="20"/>
          <w:szCs w:val="20"/>
          <w:color w:val="auto"/>
        </w:rPr>
      </w:pPr>
      <w:r>
        <w:rPr>
          <w:rFonts w:ascii="Arial" w:cs="Arial" w:eastAsia="Arial" w:hAnsi="Arial"/>
          <w:sz w:val="17"/>
          <w:szCs w:val="17"/>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and Direct Auto personnel manage the day-to-day operations of their respective companies.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1" w:name="page72"/>
    <w:bookmarkEnd w:id="71"/>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680" w:hanging="672"/>
        <w:spacing w:after="0"/>
        <w:tabs>
          <w:tab w:leader="none" w:pos="6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consolidated financial statements, which we have prepared in accordance with accounting principles generally accepted in the United States of America (“GAAP”),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200" w:lineRule="exact"/>
        <w:rPr>
          <w:sz w:val="20"/>
          <w:szCs w:val="20"/>
          <w:color w:val="auto"/>
        </w:rPr>
      </w:pPr>
    </w:p>
    <w:p>
      <w:pPr>
        <w:spacing w:after="0" w:line="388"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Use of Estimates</w:t>
      </w:r>
      <w:r>
        <w:rPr>
          <w:rFonts w:ascii="Arial" w:cs="Arial" w:eastAsia="Arial" w:hAnsi="Arial"/>
          <w:sz w:val="18"/>
          <w:szCs w:val="18"/>
          <w:i w:val="1"/>
          <w:iCs w:val="1"/>
          <w:color w:val="auto"/>
        </w:rPr>
        <w:t>:</w:t>
      </w:r>
    </w:p>
    <w:p>
      <w:pPr>
        <w:spacing w:after="0" w:line="18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9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other-than-temporary impairments, valuation allowances for deferred income tax assets, deferred policy acquisition costs, and the valuations used to establish intangible assets acquired related to business combinations.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Variable-Interest Entities</w:t>
      </w:r>
      <w:r>
        <w:rPr>
          <w:rFonts w:ascii="Arial" w:cs="Arial" w:eastAsia="Arial" w:hAnsi="Arial"/>
          <w:sz w:val="18"/>
          <w:szCs w:val="18"/>
          <w:i w:val="1"/>
          <w:iCs w:val="1"/>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company deemed to be a variable interest entity (“VIE”) is required to be consolidated by the primary beneficiary of the VIE.</w:t>
      </w:r>
    </w:p>
    <w:p>
      <w:pPr>
        <w:spacing w:after="0" w:line="18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67"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control Battle Creek via a 100% quota-share reinsurance agreement between Nodak Insurance and Battle Creek, as well as the ability to control a majority of the Board of Directors of Battle Creek. Through the effects of the 100% quota-share agreement with Battle Creek, we are considered the primary beneficiary of Battle Creek’s operating results excluding net investment income, bad debt expense, and income taxes. Therefore, we consolidate the financial statements of Battle Creek, and Battle Creek’s policyholders’ interest in Battle Creek is reflected as a non-controlling interest in Equity in our Consolidated Balance Sheet.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w:t>
      </w:r>
    </w:p>
    <w:p>
      <w:pPr>
        <w:spacing w:after="0" w:line="18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Investments</w:t>
      </w:r>
      <w:r>
        <w:rPr>
          <w:rFonts w:ascii="Arial" w:cs="Arial" w:eastAsia="Arial" w:hAnsi="Arial"/>
          <w:sz w:val="18"/>
          <w:szCs w:val="18"/>
          <w:i w:val="1"/>
          <w:iCs w:val="1"/>
          <w:color w:val="auto"/>
        </w:rPr>
        <w:t>:</w:t>
      </w:r>
    </w:p>
    <w:p>
      <w:pPr>
        <w:spacing w:after="0" w:line="19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have categorized our investment portfolio as “available-for-sale” and have reported the portfolio at fair value, with unrealized gains and losses, net of income taxes, reported in accumulated other comprehensive income. 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2" w:name="page73"/>
    <w:bookmarkEnd w:id="72"/>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method. Realized gains and losses are determined using the specific identification method and included in the determination of net income. Net investment income includes interest and dividend income together with amortization of purchase premiums and discounts, and is net of investment management and custody fees.</w:t>
      </w:r>
    </w:p>
    <w:p>
      <w:pPr>
        <w:spacing w:after="0" w:line="18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w:t>
      </w:r>
    </w:p>
    <w:p>
      <w:pPr>
        <w:spacing w:after="0" w:line="17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I – Quoted price in active markets for identical assets and liabilities.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66"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Fair Value of Other Financial Instruments</w:t>
      </w:r>
      <w:r>
        <w:rPr>
          <w:rFonts w:ascii="Arial" w:cs="Arial" w:eastAsia="Arial" w:hAnsi="Arial"/>
          <w:sz w:val="18"/>
          <w:szCs w:val="18"/>
          <w:i w:val="1"/>
          <w:iCs w:val="1"/>
          <w:color w:val="auto"/>
        </w:rPr>
        <w:t>:</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All other invested assets have been assessed for impairment. The carrying value of these other invested assets was $1,954 at December 31, 2018 and $1,972 at December 31, 2017.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the 2017 consolidated financial statements have been reclassified to conform to the 2018 presentation.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 Recognition</w:t>
      </w:r>
      <w:r>
        <w:rPr>
          <w:rFonts w:ascii="Arial" w:cs="Arial" w:eastAsia="Arial" w:hAnsi="Arial"/>
          <w:sz w:val="18"/>
          <w:szCs w:val="18"/>
          <w:i w:val="1"/>
          <w:iCs w:val="1"/>
          <w:color w:val="auto"/>
        </w:rPr>
        <w: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87"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Company uses the direct write-off method for recognizing bad debts. Accounts are deemed to be delinquent after 60 days except for those accounts associated with amounts due from insureds for premiums, in which case policy cancellation procedures are commenced in accordance with state insurance regulations. Any earned but uncollected premiums are written off immediately upon the effective date of policy cancellation.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Policy Acquisition Costs</w:t>
      </w:r>
      <w:r>
        <w:rPr>
          <w:rFonts w:ascii="Arial" w:cs="Arial" w:eastAsia="Arial" w:hAnsi="Arial"/>
          <w:sz w:val="18"/>
          <w:szCs w:val="18"/>
          <w:i w:val="1"/>
          <w:iCs w:val="1"/>
          <w:color w:val="auto"/>
        </w:rPr>
        <w:t>:</w:t>
      </w:r>
    </w:p>
    <w:p>
      <w:pPr>
        <w:spacing w:after="0" w:line="19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3" w:name="page74"/>
    <w:bookmarkEnd w:id="73"/>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Property and Equipment</w:t>
      </w:r>
      <w:r>
        <w:rPr>
          <w:rFonts w:ascii="Arial" w:cs="Arial" w:eastAsia="Arial" w:hAnsi="Arial"/>
          <w:sz w:val="18"/>
          <w:szCs w:val="18"/>
          <w:i w:val="1"/>
          <w:iCs w:val="1"/>
          <w:color w:val="auto"/>
        </w:rPr>
        <w:t>:</w:t>
      </w:r>
    </w:p>
    <w:p>
      <w:pPr>
        <w:spacing w:after="0" w:line="19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report property and equipment at cost less accumulated depreciation. Depreciation is computed using the straight-line method based upon estimated useful lives of the assets.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Losses and Loss Adjustment Expenses</w:t>
      </w:r>
      <w:r>
        <w:rPr>
          <w:rFonts w:ascii="Arial" w:cs="Arial" w:eastAsia="Arial" w:hAnsi="Arial"/>
          <w:sz w:val="18"/>
          <w:szCs w:val="18"/>
          <w:i w:val="1"/>
          <w:iCs w:val="1"/>
          <w:color w:val="auto"/>
        </w:rPr>
        <w:t>:</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8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reserving function through analysis of costs and trends and reviews of historical reserving results. We closely monitor our liabilities and update them periodically using new information on reported claims and a variety of statistical techniques. We do not discount our liabilities for unpaid losses and loss adjustment expenses.</w:t>
      </w:r>
    </w:p>
    <w:p>
      <w:pPr>
        <w:spacing w:after="0" w:line="17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Income Taxes</w:t>
      </w:r>
      <w:r>
        <w:rPr>
          <w:rFonts w:ascii="Arial" w:cs="Arial" w:eastAsia="Arial" w:hAnsi="Arial"/>
          <w:sz w:val="18"/>
          <w:szCs w:val="18"/>
          <w:i w:val="1"/>
          <w:iCs w:val="1"/>
          <w:color w:val="auto"/>
        </w:rPr>
        <w:t>:</w:t>
      </w:r>
    </w:p>
    <w:p>
      <w:pPr>
        <w:spacing w:after="0" w:line="198"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With the exception of Battle Creek, which files a stand-alone federal income tax return, we currently file a consolidated federal income tax return. For the year ended December 31, 2016, the consolidated federal income tax return included Nodak Mutual Insurance Company and its wholly-owned subsidiaries. For the year ended December 31, 2017 and thereafter, the consolidated federal income tax return included and will include thereafter NI Holdings and its wholly-owned subsidiaries. Direct Auto became part of the consolidated federal income tax return as of its acquisition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reports tax-related interest and penalties, if any, as part of income tax expense in the year such amounts are determinable.</w:t>
      </w:r>
    </w:p>
    <w:p>
      <w:pPr>
        <w:spacing w:after="0" w:line="237"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81"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4" w:name="page75"/>
    <w:bookmarkEnd w:id="74"/>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has elected to reclassify any tax effects stranded in accumulated other comprehensive income as a result of a change in income tax rates to retained earnings.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Risk</w:t>
      </w:r>
      <w:r>
        <w:rPr>
          <w:rFonts w:ascii="Arial" w:cs="Arial" w:eastAsia="Arial" w:hAnsi="Arial"/>
          <w:sz w:val="18"/>
          <w:szCs w:val="18"/>
          <w:i w:val="1"/>
          <w:iCs w:val="1"/>
          <w:color w:val="auto"/>
        </w:rPr>
        <w:t>:</w:t>
      </w:r>
    </w:p>
    <w:p>
      <w:pPr>
        <w:spacing w:after="0" w:line="18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and advisors. We also limit the amount of our total investment portfolio that we invest in any one security.</w:t>
      </w:r>
    </w:p>
    <w:p>
      <w:pPr>
        <w:spacing w:after="0" w:line="12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Property and liability insurance coverages are marketed through captive agents in North Dakota and through independent insurance agencies located throughout all other operating areas. All business, except for the majority of Direct Auto’s business, is billed directly to the policyholders.</w:t>
      </w:r>
    </w:p>
    <w:p>
      <w:pPr>
        <w:spacing w:after="0" w:line="10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Reinsurance</w:t>
      </w:r>
      <w:r>
        <w:rPr>
          <w:rFonts w:ascii="Arial" w:cs="Arial" w:eastAsia="Arial" w:hAnsi="Arial"/>
          <w:sz w:val="18"/>
          <w:szCs w:val="18"/>
          <w:i w:val="1"/>
          <w:iCs w:val="1"/>
          <w:color w:val="auto"/>
        </w:rPr>
        <w:t>:</w:t>
      </w:r>
    </w:p>
    <w:p>
      <w:pPr>
        <w:spacing w:after="0" w:line="19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known as “treaties” or by negotiation on substantial individual risks. Ceded reinsurance is treated as the risk and liability of the assuming companies.</w:t>
      </w:r>
    </w:p>
    <w:p>
      <w:pPr>
        <w:spacing w:after="0" w:line="14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Goodwill and Other Intangibles</w:t>
      </w:r>
      <w:r>
        <w:rPr>
          <w:rFonts w:ascii="Arial" w:cs="Arial" w:eastAsia="Arial" w:hAnsi="Arial"/>
          <w:sz w:val="18"/>
          <w:szCs w:val="18"/>
          <w:i w:val="1"/>
          <w:iCs w:val="1"/>
          <w:color w:val="auto"/>
        </w:rPr>
        <w:t>:</w:t>
      </w:r>
    </w:p>
    <w:p>
      <w:pPr>
        <w:spacing w:after="0" w:line="19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Goodwill represents the excess of the purchase price over the underlying fair value of acquired entities. When completing acquisitions, we seek also to identify separately identifiable intangible assets that we have acquired. We assess goodwill and other intangibles with an indefinite useful life for impairment annually. We also assess goodwill and other intangibles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intangibles could result from changes in economic and operating conditions in future periods. We did not record any impairments of goodwill or other intangibles during the years ended December 31, 2018 or 2017.</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arising from the acquisition of Primero in 2014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intangibles not reflected in the net assets acquired. The purchase price was paid with a combination of cash and cancellation of obligations owed to the acquired company by the sellers. The goodwill that arose from this transaction is included in the basis of the net assets acquired and is not deductible for income tax purposes.</w:t>
      </w:r>
    </w:p>
    <w:p>
      <w:pPr>
        <w:spacing w:after="0" w:line="193"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Intangibles arising from the acquisition of Direct Auto in 2018 represent the estimated fair values of certain intangibles, including a favorable lease contract, a state insurance license, the value of the Direct Auto trade name, and the value of business acquired (“VOBA”). The state insurance license asset has an indefinite life, while the favorable lease contract, Direct Auto trade name, and VOBA assets will be amortized over eighteen months, five years, and twelve months, respectively, from the August 31, 2018 valuation date.</w:t>
      </w:r>
    </w:p>
    <w:p>
      <w:pPr>
        <w:spacing w:after="0" w:line="183" w:lineRule="exact"/>
        <w:rPr>
          <w:sz w:val="20"/>
          <w:szCs w:val="20"/>
          <w:color w:val="auto"/>
        </w:rPr>
      </w:pPr>
    </w:p>
    <w:p>
      <w:pPr>
        <w:ind w:left="680" w:hanging="672"/>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Direct Auto Insurance Company</w:t>
      </w:r>
    </w:p>
    <w:p>
      <w:pPr>
        <w:spacing w:after="0" w:line="18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August 31, 2018, the Company completed the acquisition of 100% of the common stock of Direct Auto from private shareholders and Direct Auto became a consolidated subsidiary of the Company. Direct Auto is a property and casualty insurance company specializing in non-standard automobile insurance in the state of Illinois. The Company realized a gain of $4,578 on the purchase of Direct Auto due to the use of applicable purchase accounting guidance (known as a “bargain purchase”).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5" w:name="page76"/>
    <w:bookmarkEnd w:id="75"/>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Direct Auto will remain headquartered in Chicago, Illinois and the current president (who was also one of the principal shareholders) of Direct Auto will continue to manage the Direct Auto insurance operations along with the current staff and management team. The results of Direct Auto are included as part of the Company’s non-standard auto business segment following the closing date.</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Direct Auto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The Company does not expect any adjustments during this period.</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acquired Direct Auto business contributed revenues of $14,178 and net income of $2,979 to the Company for the period from September 1, 2018 to December 31, 2018. The following unaudited pro forma summary presents consolidated information of the Company as if the business combination had occurred on January 1,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1"/>
              </w:rPr>
              <w:t>Pro forma</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1"/>
              </w:rPr>
              <w:t>Pro forma</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2017</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237,346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NI Holdings, Inc.</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14,900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26,929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 attributable to NI Holdings, Inc.</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Other than the gain on bargain purchase, the Company did not have any material, nonrecurring pro forma adjustments directly attributable to the business combination to be included in the reported pro forma revenue and earnings.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pro forma amounts have been calculated after applying the Company’s accounting policies and adjusting the results of Direct Auto’s operations to reflect the deferral and amortization of policy acquisition costs and the additional amortization that would have been charged assuming the fair value adjustments to intangibles had been applied from January 1, 2017, with the related income tax effects. The gain is recognized in the first quarter of 2017 instead of the third quarter of 2018 for these pro forma amounts.</w:t>
      </w:r>
    </w:p>
    <w:p>
      <w:pPr>
        <w:spacing w:after="0" w:line="18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 2018, the Company incurred $118 of acquisition-related costs. These expenses are included in other underwriting and general expenses in the Company’s Consolidated Statements of Operations for the year ended December 31, 2018. These expenses are reflected in pro forma earnings for the year ended December 31, 2017 in the table above.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6" w:name="page77"/>
    <w:bookmarkEnd w:id="76"/>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paid $17,000 in cash consideration to the private shareholders of Direct Auto. The acquisition of Direct Auto did not include any contingent consideration. The following table summarizes the consideration transferred to acquire Direct Auto and the amounts of identified assets acquired and liabilities assumed at the acquisition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Fair Value of Consideration:</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cash consideration transferred</w:t>
            </w:r>
          </w:p>
        </w:tc>
        <w:tc>
          <w:tcPr>
            <w:tcW w:w="2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Fixed income securities, at fair value</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 at fair value</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investment income</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lease contract (included in goodwill and other intangibles)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License (included in goodwill and other intangibles)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 (included in goodwill and other intangibles)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Value of business acquired (included in goodwill and other intangibles)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Federal income tax payable</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identifiable net assets</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w:t>
            </w:r>
          </w:p>
        </w:tc>
        <w:tc>
          <w:tcPr>
            <w:tcW w:w="2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fair value of the assets acquired includes premiums and agents’ balances receivable of $5,849. This is the gross amount due from policyholders and agents, none of which is anticipated to be uncollectible. The Company did not acquire any other material class of receivable as a result of the acquisition of Direct Auto.</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have completed our final analysis of the assets and liabilities acquired and assigned fair values to the acquired intangibles consisting of favorable lease contract, state insurance license, Direct Auto trade name, and VOBA of $20, $100, $248, and $5,134, respectively. The state insurance license has an indefinite life, while the other intangibles will be amortized over useful lives of up to five years.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gain realized on bargain purchase of $4,578 from the Direct Auto acquisition is included in fee and other income in the Company’s Consolidated Statements of Operations for the year ended December 31, 2018.</w:t>
      </w:r>
    </w:p>
    <w:p>
      <w:pPr>
        <w:spacing w:after="0" w:line="200" w:lineRule="exact"/>
        <w:rPr>
          <w:sz w:val="20"/>
          <w:szCs w:val="20"/>
          <w:color w:val="auto"/>
        </w:rPr>
      </w:pPr>
    </w:p>
    <w:p>
      <w:pPr>
        <w:spacing w:after="0" w:line="35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w:t>
      </w:r>
    </w:p>
    <w:p>
      <w:pPr>
        <w:spacing w:after="0" w:line="19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July 1, 2017, the Company early adopted amended guidance from the Financial Accounting Standards Board (the “FASB”) on goodwill impairment testing. Under the amended guidance, the optional qualitative assessment (Step 0) and the first step of the quantitative assessment (Step 1) remain unchanged. Step 2 is eliminated. As a result, for annual impairment testing or in the event a test is required prior to the annual test, the Company will use Step 0 to determine if an impairment might exist and Step 1 to determine the amount of goodwill impairment. An impairment loss will be recognized for the amount by which the reporting unit’s carrying amount exceeds its fair value, not to exceed the carrying amount of goodwill in the reporting unit. This guidance is effective for annual and interim reporting periods beginning after December 15, 2019 for public business entities. For private companies and emerging growth companies, this guidance is also effective for annual and interim reporting periods beginning after December 15, 2021. Early adoption is permitted for all entities beginning in 2017. The Company early adopted this guidance during the year ended December 31, 2017 on a prospective basis as a change in accounting principle, therefore at the date of adoption there was no impact to the Company’s financial position or results of operations.</w:t>
      </w:r>
    </w:p>
    <w:p>
      <w:pPr>
        <w:sectPr>
          <w:pgSz w:w="11900" w:h="16838" w:orient="portrait"/>
          <w:cols w:equalWidth="0" w:num="1">
            <w:col w:w="11420"/>
          </w:cols>
          <w:pgMar w:left="240" w:top="233" w:right="239" w:bottom="1440" w:gutter="0" w:footer="0" w:header="0"/>
        </w:sectPr>
      </w:pP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77" w:name="page78"/>
    <w:bookmarkEnd w:id="77"/>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March 2016, the FASB issued amended guidance to simplify several aspects of the accounting for share-based payment transactions, including the income tax consequences, classification of awards as either equity or liabilities, and classification on the Consolidated Statement of Cash Flows. All excess income tax benefits and income tax deficiencies should be recognized as income tax expense or benefit in the Consolidated Statement of Operations, instead of affecting additional paid-in-capital on the Consolidated Balance Sheet. These discrete income tax items should be classified along with other income tax cash flows as an operating activity on the Consolidated Statement of Cash Flows. In addition, cash paid by an employer when directly withholding shares for tax-withholding purposes should be classified as a financing activity. This guidance is effective for annual periods beginning after December 15, 2016 for public business entities. For private companies and emerging growth companies, this guidance is effective for annual periods beginning after December 15, 2017, and interim periods within annual periods beginning after December 15, 2018. Early adoption is permitted for all entities in any period. An entity that elects early adoption must adopt all amendments in the same period. Amendments requiring recognition of excess income tax benefits and income tax deficiencies in the Consolidated Statement of Operations should be applied prospectively. The Company early adopted this guidance on a prospective basis for the year ended December 31, 2017. At the date of adoption, there was an immaterial impact to the computation of diluted earnings per share, but no impact to the Company’s financial position or results of operations.</w:t>
      </w:r>
    </w:p>
    <w:p>
      <w:pPr>
        <w:spacing w:after="0" w:line="18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February 2018, the FASB issued new guidance to provide companies the option to reclassify income tax effects that are stranded in accumulated other comprehensive income as a result of income tax reform to retained earnings. This guidance is effective for all entities for fiscal years beginning after December 15, 2018, and interim periods within those fiscal years. Early adoption is permitted for reporting periods for which financial statements have not yet been issued or made available for issuance. In the period of adoption, an entity would be able to choose whether to apply the amendments retrospectively or in the period of adoption. The Company elected to early adopt this guidance during the year ended December 31, 2017 on a prospective basis, resulting in a $2,717 reclassification of stranded income tax effects from accumulated other comprehensive income to retained earnings within the Equity section of the Consolidated Balance Sheet as of December 31, 2017. There was no impact to the Company’s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January 2016, the FASB issued amended guidance that generally requires entities to measure equity securities at fair value and recognize changes in fair value in their results of operations. The FASB issued other impairment, disclosure, and presentation improvements related to financial instruments within the guidance. This guidance is to be applied through a cumulative-effect adjustment to beginning retained earnings that results in no impact to the Company’s results of operations at the date of adoption. We will adopt this standard on its effective date of January 1, 2019 for emerging growth companies. The most significant anticipated impact relates to the change in accounting for equity securities, where $8,184 of after-tax unrealized net capital gains will be reclassified from accumulated other comprehensive income to retained earnings as of January 1, 2019. The after-tax change in accounting for equity securities will not likely affect the Company’s total equity; however, this amount of unrealized net capital gains reclassified at the transition date to retained earnings will never be recognized in net income. Going forward, the accounting used for equity securities will record the market fluctuations attributed to equity securities through our results of operations rather than as a component of Other Comprehensive Income, which will add a level of volatility to our net income.</w:t>
      </w:r>
    </w:p>
    <w:p>
      <w:pPr>
        <w:spacing w:after="0" w:line="16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May 2014, the FASB issued guidance that establishes the manner in which an entity recognizes the amount of revenue to which it expects to be entitled for the transfer of promised goods or services to customers. While the guidance will replace most 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This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We currently believe that this guidance will have no impact on our financial position, results of operations, or cash flows when we adopt this guidance for the year ended December 31, 2019.</w:t>
      </w:r>
    </w:p>
    <w:p>
      <w:pPr>
        <w:spacing w:after="0" w:line="17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cumulative adoption.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2019 and interim periods within fiscal years beginning after December 15, 2020. Early adoption is permitted for all entities. We do not expect the adoption of this new guidance to have a significant impact on our financial position, results of operations, or cash flows.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8" w:name="page79"/>
    <w:bookmarkEnd w:id="78"/>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public business entities which are SEC filers. For private companies and emerging growth companies, this guidance is effective for annual reporting periods beginning after December 15, 2020 and interim periods within fiscal years beginning after December 15, 2021. Early adoption is permitted for all entities as of the fiscal years beginning after December 15, 2018, including interim periods within those fiscal years. We are evaluating the impact this new guidance will have on our financial position, results of operations, and cash flows.</w:t>
      </w:r>
    </w:p>
    <w:p>
      <w:pPr>
        <w:spacing w:after="0" w:line="17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August 2016, the FASB issued amended guidance that addresses diversity in how certain cash receipts and cash payments are presented and classified in the Consolidated Statement of Cash Flows. The amendments provide clarity on the treatment of eight specifically defined types of cash inflows and outflows. For private companies and emerging growth companies, this guidance is effective for annual reporting periods beginning after December 15, 2018 and interim periods within fiscal years beginning after December 15, 2019 using a retrospective transition method to each period presented or prospectively if adoption of an issue is impracticable. The adoption of this amended guidance will have no effect on our financial position or results of operations. We do not expect this amended guidance to have a significant impact on our Consolidated Statement of Cash Flows.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November 2016, the FASB issued amended guidance on the presentation of restricted cash in the Consolidated Statement of Cash Flows. Entities will be required to explain the changes during a reporting period in the total of cash, cash equivalents, and amounts generally described as restricted cash or restricted cash equivalents. For private companies and emerging growth companies, this guidance is effective for annual reporting periods beginning after December 15, 2018 and interim periods within fiscal years beginning after December 15, 2019. Early adoption is permitted for all entities, including adoption in an interim period. If an entity early adopts the amendments in an interim period, any adjustments should be reflected as of the beginning of the fiscal year that includes that interim period. The amendments are to be applied using a retrospective transition method to each period presented. The adoption of this amended guidance will no effect on our financial position or results of operations. We do not expect this amended guidance to have a significant impact on our Consolidated Statement of Cash Flows.</w:t>
      </w:r>
    </w:p>
    <w:p>
      <w:pPr>
        <w:spacing w:after="0" w:line="19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In March 2017, the FASB issued amended guidance to shorten the amortization period of premiums on certain purchased callable fixed income securities to the earliest call date. The amended guidance is effective for fiscal years beginning after December 15, 2018, including interim periods within those fiscal years.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 directly to retained earnings as of the beginning of the period of adoption. We are evaluating the requirements of this guidance and the potential impact to our financial position, results of operations, and cash flows.</w:t>
      </w:r>
    </w:p>
    <w:p>
      <w:pPr>
        <w:spacing w:after="0" w:line="17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August 2018, the FASB issued modified disclosure requirements relating to the fair value of assets and liabilities. The amended requirements are effective for fiscal years, and interim periods within those fiscal years, beginning after December 15, 2019. Early adoption is permitted. We do not expect these modified requirements will have a material impact on our financial disclosures.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9" w:name="page80"/>
    <w:bookmarkEnd w:id="79"/>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amortized cost and estimated fair value of investment securities as of December 31, 2018 and 2017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0"/>
              </w:rPr>
              <w:t>December 31, 2018</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7"/>
              </w:rPr>
              <w:t>Cost or Amortized</w:t>
            </w:r>
          </w:p>
        </w:tc>
        <w:tc>
          <w:tcPr>
            <w:tcW w:w="100" w:type="dxa"/>
            <w:vAlign w:val="bottom"/>
          </w:tcPr>
          <w:p>
            <w:pPr>
              <w:spacing w:after="0"/>
              <w:rPr>
                <w:sz w:val="16"/>
                <w:szCs w:val="16"/>
                <w:color w:val="auto"/>
              </w:rPr>
            </w:pPr>
          </w:p>
        </w:tc>
        <w:tc>
          <w:tcPr>
            <w:tcW w:w="1540" w:type="dxa"/>
            <w:vAlign w:val="bottom"/>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w w:val="87"/>
              </w:rPr>
              <w:t>Gross Unrealized</w:t>
            </w:r>
          </w:p>
        </w:tc>
        <w:tc>
          <w:tcPr>
            <w:tcW w:w="15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Gross 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Gains</w:t>
            </w:r>
          </w:p>
        </w:tc>
        <w:tc>
          <w:tcPr>
            <w:tcW w:w="44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77"/>
              </w:rPr>
              <w:t>Losses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19,183</w:t>
            </w:r>
          </w:p>
        </w:tc>
        <w:tc>
          <w:tcPr>
            <w:tcW w:w="36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95,290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4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19,520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0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257,294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Equity securities: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1,296</w:t>
            </w:r>
          </w:p>
        </w:tc>
        <w:tc>
          <w:tcPr>
            <w:tcW w:w="4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2,650</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3,929</w:t>
            </w:r>
          </w:p>
        </w:tc>
        <w:tc>
          <w:tcPr>
            <w:tcW w:w="4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12,369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2,529</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3,647</w:t>
            </w:r>
          </w:p>
        </w:tc>
        <w:tc>
          <w:tcPr>
            <w:tcW w:w="4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1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15,257</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90"/>
              </w:rPr>
              <w:t>December 31, 2017</w:t>
            </w: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8"/>
              </w:rPr>
              <w:t>Cost or Amortized</w:t>
            </w:r>
          </w:p>
        </w:tc>
        <w:tc>
          <w:tcPr>
            <w:tcW w:w="120" w:type="dxa"/>
            <w:vAlign w:val="bottom"/>
          </w:tcPr>
          <w:p>
            <w:pPr>
              <w:spacing w:after="0"/>
              <w:rPr>
                <w:sz w:val="16"/>
                <w:szCs w:val="16"/>
                <w:color w:val="auto"/>
              </w:rPr>
            </w:pPr>
          </w:p>
        </w:tc>
        <w:tc>
          <w:tcPr>
            <w:tcW w:w="1540" w:type="dxa"/>
            <w:vAlign w:val="bottom"/>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w w:val="87"/>
              </w:rPr>
              <w:t>Gross Unrealized</w:t>
            </w:r>
          </w:p>
        </w:tc>
        <w:tc>
          <w:tcPr>
            <w:tcW w:w="15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8"/>
              </w:rPr>
              <w:t>Gross Unrealized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4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100" w:type="dxa"/>
            <w:vAlign w:val="bottom"/>
            <w:gridSpan w:val="2"/>
          </w:tcPr>
          <w:p>
            <w:pPr>
              <w:ind w:left="98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9,531</w:t>
            </w:r>
          </w:p>
        </w:tc>
        <w:tc>
          <w:tcPr>
            <w:tcW w:w="38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1,171</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88,474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1,197</w:t>
            </w:r>
          </w:p>
        </w:tc>
        <w:tc>
          <w:tcPr>
            <w:tcW w:w="4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11,228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9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1,449</w:t>
            </w:r>
          </w:p>
        </w:tc>
        <w:tc>
          <w:tcPr>
            <w:tcW w:w="4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4,156</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3,940</w:t>
            </w:r>
          </w:p>
        </w:tc>
        <w:tc>
          <w:tcPr>
            <w:tcW w:w="4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410</w:t>
            </w:r>
          </w:p>
        </w:tc>
        <w:tc>
          <w:tcPr>
            <w:tcW w:w="4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4,167</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4,668</w:t>
            </w:r>
          </w:p>
        </w:tc>
        <w:tc>
          <w:tcPr>
            <w:tcW w:w="4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19,186</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9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21,924</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89"/>
              </w:rPr>
              <w:t>77</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80" w:name="page81"/>
    <w:bookmarkEnd w:id="80"/>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6"/>
          </w:tcPr>
          <w:p>
            <w:pPr>
              <w:ind w:left="200"/>
              <w:spacing w:after="0"/>
              <w:rPr>
                <w:sz w:val="20"/>
                <w:szCs w:val="20"/>
                <w:color w:val="auto"/>
              </w:rPr>
            </w:pPr>
            <w:r>
              <w:rPr>
                <w:rFonts w:ascii="Arial" w:cs="Arial" w:eastAsia="Arial" w:hAnsi="Arial"/>
                <w:sz w:val="18"/>
                <w:szCs w:val="18"/>
                <w:b w:val="1"/>
                <w:bCs w:val="1"/>
                <w:color w:val="auto"/>
              </w:rPr>
              <w:t>December 31, 2018</w:t>
            </w:r>
          </w:p>
        </w:tc>
      </w:tr>
      <w:tr>
        <w:trPr>
          <w:trHeight w:val="223"/>
        </w:trPr>
        <w:tc>
          <w:tcPr>
            <w:tcW w:w="57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100" w:type="dxa"/>
            <w:vAlign w:val="bottom"/>
          </w:tcPr>
          <w:p>
            <w:pPr>
              <w:spacing w:after="0"/>
              <w:rPr>
                <w:sz w:val="19"/>
                <w:szCs w:val="19"/>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40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12,490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12,463</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96,614</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52,128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51,351</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w:t>
            </w:r>
          </w:p>
        </w:tc>
      </w:tr>
      <w:tr>
        <w:trPr>
          <w:trHeight w:val="230"/>
        </w:trPr>
        <w:tc>
          <w:tcPr>
            <w:tcW w:w="576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90,039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88,921</w:t>
            </w:r>
          </w:p>
        </w:tc>
      </w:tr>
      <w:tr>
        <w:trPr>
          <w:trHeight w:val="223"/>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6"/>
          </w:tcPr>
          <w:p>
            <w:pPr>
              <w:ind w:left="200"/>
              <w:spacing w:after="0"/>
              <w:rPr>
                <w:sz w:val="20"/>
                <w:szCs w:val="20"/>
                <w:color w:val="auto"/>
              </w:rPr>
            </w:pPr>
            <w:r>
              <w:rPr>
                <w:rFonts w:ascii="Arial" w:cs="Arial" w:eastAsia="Arial" w:hAnsi="Arial"/>
                <w:sz w:val="18"/>
                <w:szCs w:val="18"/>
                <w:b w:val="1"/>
                <w:bCs w:val="1"/>
                <w:color w:val="auto"/>
              </w:rPr>
              <w:t>December 31, 2017</w:t>
            </w:r>
          </w:p>
        </w:tc>
      </w:tr>
      <w:tr>
        <w:trPr>
          <w:trHeight w:val="223"/>
        </w:trPr>
        <w:tc>
          <w:tcPr>
            <w:tcW w:w="57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100" w:type="dxa"/>
            <w:vAlign w:val="bottom"/>
          </w:tcPr>
          <w:p>
            <w:pPr>
              <w:spacing w:after="0"/>
              <w:rPr>
                <w:sz w:val="19"/>
                <w:szCs w:val="19"/>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40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12,761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12,766</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87,642</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69,586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70,680</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10,607</w:t>
            </w:r>
          </w:p>
        </w:tc>
      </w:tr>
      <w:tr>
        <w:trPr>
          <w:trHeight w:val="230"/>
        </w:trPr>
        <w:tc>
          <w:tcPr>
            <w:tcW w:w="576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55,232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55,063</w:t>
            </w:r>
          </w:p>
        </w:tc>
      </w:tr>
      <w:tr>
        <w:trPr>
          <w:trHeight w:val="223"/>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Fixed income securities with a fair value of $4,900 at December 31, 2018 and $3,493 at December 31, 2017 were deposited with various state regulatory agencies as required by law. The increase was primarily due to the Direct Auto acquisition. The Company has not pledged any assets to secure any obligations.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1" w:name="page82"/>
    <w:bookmarkEnd w:id="81"/>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investment category and duration of the Company’s gross unrealized losses on fixed income securities and equity securities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December 31, 2018</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6"/>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3"/>
              </w:rPr>
              <w:t>Greater than 12 months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20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U.S. Government and agencies</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7,523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10,116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Obligations of states and political subdivisions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Corporate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24,793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45,033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69,826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13,097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18,184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fixed income securities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60,066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174,692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materials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cyclical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Consumer, non-cyclical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Financial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Total investments</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December 31, 2017</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6"/>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3"/>
              </w:rPr>
              <w:t>Greater than 12 months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20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U.S. Government and agencies</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6,442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6,939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Obligations of states and political subdivisions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Corporate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40,220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14,167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fixed income securities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99,297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114,254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Consumer, cyclical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non-cyclical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103,806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119,236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Investments with unrealized losses are categorized with a duration of greater than 12 months when all positions of a security have continually been in a loss position for at least 12 months.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2" w:name="page83"/>
    <w:bookmarkEnd w:id="82"/>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60" w:firstLine="648"/>
        <w:spacing w:after="0" w:line="291" w:lineRule="auto"/>
        <w:rPr>
          <w:sz w:val="20"/>
          <w:szCs w:val="20"/>
          <w:color w:val="auto"/>
        </w:rPr>
      </w:pPr>
      <w:r>
        <w:rPr>
          <w:rFonts w:ascii="Arial" w:cs="Arial" w:eastAsia="Arial" w:hAnsi="Arial"/>
          <w:sz w:val="16"/>
          <w:szCs w:val="16"/>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w:t>
      </w:r>
    </w:p>
    <w:p>
      <w:pPr>
        <w:ind w:right="100" w:firstLine="8"/>
        <w:spacing w:after="0" w:line="254"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14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recorded impairments of $382 in the year ended December 31, 2018. The Company recorded impairments of $330 in the year ended December 31, 2017. The Company did not record any impairments in 2016.</w:t>
      </w:r>
    </w:p>
    <w:p>
      <w:pPr>
        <w:spacing w:after="0" w:line="14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2018, we held 317 fixed income securities with unrealized losses. As of December 31, 2017, we held 196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that had fair values less than 80% of amortized cost for the preceding 12-month period.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ind w:left="660"/>
              <w:spacing w:after="0"/>
              <w:rPr>
                <w:sz w:val="20"/>
                <w:szCs w:val="20"/>
                <w:color w:val="auto"/>
              </w:rPr>
            </w:pPr>
            <w:r>
              <w:rPr>
                <w:rFonts w:ascii="Arial" w:cs="Arial" w:eastAsia="Arial" w:hAnsi="Arial"/>
                <w:sz w:val="18"/>
                <w:szCs w:val="18"/>
                <w:color w:val="auto"/>
              </w:rPr>
              <w:t>Net investment income consisted of the following:</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Equity securities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0"/>
        </w:trPr>
        <w:tc>
          <w:tcPr>
            <w:tcW w:w="6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investment income</w:t>
            </w:r>
          </w:p>
        </w:tc>
        <w:tc>
          <w:tcPr>
            <w:tcW w:w="1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Investment expenses</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r>
      <w:tr>
        <w:trPr>
          <w:trHeight w:val="223"/>
        </w:trPr>
        <w:tc>
          <w:tcPr>
            <w:tcW w:w="60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191" w:lineRule="exact"/>
        <w:rPr>
          <w:sz w:val="20"/>
          <w:szCs w:val="20"/>
          <w:color w:val="auto"/>
        </w:rPr>
      </w:pPr>
    </w:p>
    <w:p>
      <w:pPr>
        <w:jc w:val="right"/>
        <w:ind w:right="1540"/>
        <w:spacing w:after="0"/>
        <w:rPr>
          <w:sz w:val="20"/>
          <w:szCs w:val="20"/>
          <w:color w:val="auto"/>
        </w:rPr>
      </w:pPr>
      <w:r>
        <w:rPr>
          <w:rFonts w:ascii="Arial" w:cs="Arial" w:eastAsia="Arial" w:hAnsi="Arial"/>
          <w:sz w:val="18"/>
          <w:szCs w:val="18"/>
          <w:color w:val="auto"/>
        </w:rPr>
        <w:t>Net realized capital gain on investments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right="1820"/>
        <w:spacing w:after="0" w:line="250" w:lineRule="auto"/>
        <w:rPr>
          <w:sz w:val="20"/>
          <w:szCs w:val="20"/>
          <w:color w:val="auto"/>
        </w:rPr>
      </w:pPr>
      <w:r>
        <w:rPr>
          <w:rFonts w:ascii="Arial" w:cs="Arial" w:eastAsia="Arial" w:hAnsi="Arial"/>
          <w:sz w:val="18"/>
          <w:szCs w:val="18"/>
          <w:color w:val="auto"/>
        </w:rPr>
        <w:t>Gross realized losses, excluding other-than-temporary impairment losses Other-than-temporary 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Net realized capital gain on investments</w:t>
      </w:r>
    </w:p>
    <w:p>
      <w:pPr>
        <w:spacing w:after="0" w:line="200" w:lineRule="exact"/>
        <w:rPr>
          <w:sz w:val="20"/>
          <w:szCs w:val="20"/>
          <w:color w:val="auto"/>
        </w:rPr>
      </w:pPr>
    </w:p>
    <w:p>
      <w:pPr>
        <w:spacing w:after="0" w:line="304"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5,584</w:t>
            </w:r>
          </w:p>
        </w:tc>
        <w:tc>
          <w:tcPr>
            <w:tcW w:w="26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3,615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6,098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(417)</w:t>
            </w:r>
          </w:p>
        </w:tc>
      </w:tr>
      <w:tr>
        <w:trPr>
          <w:trHeight w:val="244"/>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5,681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09" w:lineRule="exact"/>
        <w:rPr>
          <w:sz w:val="20"/>
          <w:szCs w:val="20"/>
          <w:color w:val="auto"/>
        </w:rPr>
      </w:pPr>
    </w:p>
    <w:p>
      <w:pPr>
        <w:sectPr>
          <w:pgSz w:w="11900" w:h="16838" w:orient="portrait"/>
          <w:cols w:equalWidth="0" w:num="2">
            <w:col w:w="7060" w:space="720"/>
            <w:col w:w="3640"/>
          </w:cols>
          <w:pgMar w:left="240" w:top="233" w:right="239" w:bottom="1440" w:gutter="0" w:footer="0" w:header="0"/>
          <w:type w:val="continuous"/>
        </w:sectPr>
      </w:pPr>
    </w:p>
    <w:p>
      <w:pPr>
        <w:ind w:right="300" w:firstLine="648"/>
        <w:spacing w:after="0" w:line="342" w:lineRule="auto"/>
        <w:rPr>
          <w:sz w:val="20"/>
          <w:szCs w:val="20"/>
          <w:color w:val="auto"/>
        </w:rPr>
      </w:pPr>
      <w:r>
        <w:rPr>
          <w:rFonts w:ascii="Arial" w:cs="Arial" w:eastAsia="Arial" w:hAnsi="Arial"/>
          <w:sz w:val="16"/>
          <w:szCs w:val="16"/>
          <w:color w:val="auto"/>
        </w:rPr>
        <w:t>We maximize the use of observable inputs in our valuation techniques and apply unobservable inputs only to the extent that observable inputs are unavailable. The largest class of assets and liabilities carried at fair value by the Company at December 31, 2018 and 2017 were fixed income securities.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provided by independent pricing services and independent broker quotes can vary widely, even for the same security.</w:t>
      </w:r>
    </w:p>
    <w:p>
      <w:pPr>
        <w:spacing w:after="0" w:line="18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market-approach valuation technique. The valuation of our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at Level III at December 31, 2018 or 2017.</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83" w:name="page84"/>
    <w:bookmarkEnd w:id="83"/>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tables set forth our assets that are measured on a recurring basis by the level within the fair value hierarchy in which fair value measurements fall: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rPr>
              <w:t>December 31, 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Level III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7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19,208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19,208</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94,142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94,142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19,315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19,315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5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Equity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12,369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4,428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9,763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1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Total assets at fair value</w:t>
            </w:r>
          </w:p>
        </w:tc>
        <w:tc>
          <w:tcPr>
            <w:tcW w:w="15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372,417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rPr>
              <w:t>December 31, 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Level III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7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9,649</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9,649</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89,451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89,451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5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236,758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236,758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Equity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10,905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1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Total assets at fair value</w:t>
            </w:r>
          </w:p>
        </w:tc>
        <w:tc>
          <w:tcPr>
            <w:tcW w:w="15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236,758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measured at fair value on a recurring basis at December 31, 2018 or 2017.</w:t>
      </w:r>
    </w:p>
    <w:p>
      <w:pPr>
        <w:sectPr>
          <w:pgSz w:w="11900" w:h="16838" w:orient="portrait"/>
          <w:cols w:equalWidth="0" w:num="1">
            <w:col w:w="11420"/>
          </w:cols>
          <w:pgMar w:left="240" w:top="233" w:right="23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84" w:name="page85"/>
    <w:bookmarkEnd w:id="84"/>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20" w:hanging="712"/>
        <w:spacing w:after="0"/>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8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12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146" w:lineRule="exact"/>
        <w:rPr>
          <w:sz w:val="20"/>
          <w:szCs w:val="20"/>
          <w:color w:val="auto"/>
        </w:rPr>
      </w:pPr>
    </w:p>
    <w:p>
      <w:pPr>
        <w:ind w:left="20" w:right="40" w:firstLine="635"/>
        <w:spacing w:after="0" w:line="259" w:lineRule="auto"/>
        <w:rPr>
          <w:sz w:val="20"/>
          <w:szCs w:val="20"/>
          <w:color w:val="auto"/>
        </w:rPr>
      </w:pPr>
      <w:r>
        <w:rPr>
          <w:rFonts w:ascii="Arial" w:cs="Arial" w:eastAsia="Arial" w:hAnsi="Arial"/>
          <w:sz w:val="18"/>
          <w:szCs w:val="18"/>
          <w:color w:val="auto"/>
        </w:rPr>
        <w:t>As a group, during the years ended December 31, 2018 and 2017, the Company retained the first $10,000 of weather-related losses from catastrophic events and had reinsurance under various reinsurance agreements up to $74,600 in excess of its $10,000 retained risk. For 2019, the catastrophe retention amount remains at $10,000 while the catastrophic reinsurance increased to $78,600. Prior to January 1, 2017, the group collectively retained the first $5,000 of weather-related losses.</w:t>
      </w:r>
    </w:p>
    <w:p>
      <w:pPr>
        <w:spacing w:after="0" w:line="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 except for one reinsurer with a rating of “B++”, with a receiveable of $315 at December 31, 2018. This reinsurer was replaced during 2019, primarily due to the 2018 downgrade.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Direct premium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Assumed premium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Ceded premium</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premiums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2016</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1"/>
              </w:rPr>
              <w:t>Premiums</w:t>
            </w:r>
          </w:p>
        </w:tc>
        <w:tc>
          <w:tcPr>
            <w:tcW w:w="100" w:type="dxa"/>
            <w:vAlign w:val="bottom"/>
          </w:tcPr>
          <w:p>
            <w:pPr>
              <w:spacing w:after="0"/>
              <w:rPr>
                <w:sz w:val="16"/>
                <w:szCs w:val="16"/>
                <w:color w:val="auto"/>
              </w:rPr>
            </w:pPr>
          </w:p>
        </w:tc>
        <w:tc>
          <w:tcPr>
            <w:tcW w:w="94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9"/>
              </w:rPr>
              <w:t>Premiums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89"/>
              </w:rPr>
              <w:t>Premiums</w:t>
            </w:r>
          </w:p>
        </w:tc>
        <w:tc>
          <w:tcPr>
            <w:tcW w:w="100" w:type="dxa"/>
            <w:vAlign w:val="bottom"/>
          </w:tcPr>
          <w:p>
            <w:pPr>
              <w:spacing w:after="0"/>
              <w:rPr>
                <w:sz w:val="16"/>
                <w:szCs w:val="16"/>
                <w:color w:val="auto"/>
              </w:rPr>
            </w:pPr>
          </w:p>
        </w:tc>
        <w:tc>
          <w:tcPr>
            <w:tcW w:w="9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7"/>
              </w:rPr>
              <w:t>Premiums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87"/>
              </w:rPr>
              <w:t>Premiums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9"/>
              </w:rPr>
              <w:t>Premiums</w:t>
            </w:r>
          </w:p>
        </w:tc>
        <w:tc>
          <w:tcPr>
            <w:tcW w:w="60" w:type="dxa"/>
            <w:vAlign w:val="bottom"/>
            <w:gridSpan w:val="2"/>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Written</w:t>
            </w: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Earned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Written</w:t>
            </w: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Earned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Written</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Earned</w:t>
            </w: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225,223</w:t>
            </w:r>
          </w:p>
        </w:tc>
        <w:tc>
          <w:tcPr>
            <w:tcW w:w="24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219,600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195,238</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189,418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180,870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176,958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6,441</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6,514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6,711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6,591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6,546</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(30,394)</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(30,394)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(16,665)</w:t>
            </w:r>
          </w:p>
        </w:tc>
        <w:tc>
          <w:tcPr>
            <w:tcW w:w="1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(16,665)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(30,748)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(30,748)</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201,270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185,282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156,713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152,756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-608330</wp:posOffset>
            </wp:positionV>
            <wp:extent cx="72466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-325120</wp:posOffset>
            </wp:positionV>
            <wp:extent cx="72466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00" w:space="720"/>
            <w:col w:w="740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Percentage of assumed premium earned to net</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7"/>
        </w:trPr>
        <w:tc>
          <w:tcPr>
            <w:tcW w:w="5300" w:type="dxa"/>
            <w:vAlign w:val="bottom"/>
          </w:tcPr>
          <w:p>
            <w:pPr>
              <w:ind w:left="200"/>
              <w:spacing w:after="0"/>
              <w:rPr>
                <w:sz w:val="20"/>
                <w:szCs w:val="20"/>
                <w:color w:val="auto"/>
              </w:rPr>
            </w:pPr>
            <w:r>
              <w:rPr>
                <w:rFonts w:ascii="Arial" w:cs="Arial" w:eastAsia="Arial" w:hAnsi="Arial"/>
                <w:sz w:val="18"/>
                <w:szCs w:val="18"/>
                <w:color w:val="auto"/>
              </w:rPr>
              <w:t>premium earned</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r>
      <w:tr>
        <w:trPr>
          <w:trHeight w:val="20"/>
        </w:trPr>
        <w:tc>
          <w:tcPr>
            <w:tcW w:w="5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7160" w:type="dxa"/>
            <w:vAlign w:val="bottom"/>
            <w:gridSpan w:val="3"/>
          </w:tcPr>
          <w:p>
            <w:pPr>
              <w:ind w:left="660"/>
              <w:spacing w:after="0"/>
              <w:rPr>
                <w:sz w:val="20"/>
                <w:szCs w:val="20"/>
                <w:color w:val="auto"/>
              </w:rPr>
            </w:pPr>
            <w:r>
              <w:rPr>
                <w:rFonts w:ascii="Arial" w:cs="Arial" w:eastAsia="Arial" w:hAnsi="Arial"/>
                <w:sz w:val="18"/>
                <w:szCs w:val="18"/>
                <w:color w:val="auto"/>
                <w:w w:val="99"/>
              </w:rPr>
              <w:t>A reconciliation of direct to net losses and loss adjustment expenses is as follows: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53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Direct losses and loss adjustment expenses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Assumed losses and loss adjustment expenses</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4,947</w:t>
            </w:r>
          </w:p>
        </w:tc>
        <w:tc>
          <w:tcPr>
            <w:tcW w:w="80" w:type="dxa"/>
            <w:vAlign w:val="bottom"/>
          </w:tcPr>
          <w:p>
            <w:pPr>
              <w:spacing w:after="0"/>
              <w:rPr>
                <w:sz w:val="18"/>
                <w:szCs w:val="18"/>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Ceded losses and loss adjustment expenses</w:t>
            </w: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(32,830)</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Net losses and loss adjustment expenses</w:t>
            </w: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119,088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122,711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100% of our ceded reinsurance was cancelled as of December 31, 2018, no ceded commissions would need to be returned to the reinsurers.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Reinsurance contracts are typically effective from January 1 through December 31 each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85" w:name="page86"/>
    <w:bookmarkEnd w:id="85"/>
    <w:p>
      <w:pPr>
        <w:ind w:left="60"/>
        <w:spacing w:after="0"/>
        <w:rPr>
          <w:rFonts w:ascii="Arial" w:cs="Arial" w:eastAsia="Arial" w:hAnsi="Arial"/>
          <w:sz w:val="15"/>
          <w:szCs w:val="15"/>
          <w:i w:val="1"/>
          <w:iCs w:val="1"/>
          <w:u w:val="single" w:color="auto"/>
          <w:color w:val="0000EE"/>
        </w:rPr>
      </w:pPr>
      <w:hyperlink w:anchor="page3">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with regards to our deferred policy acquisition costs was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Deferral of policy acquisition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Balance,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Activity in the liability for unpaid losses and loss adjustment expenses is summarized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8,859</w:t>
            </w:r>
          </w:p>
        </w:tc>
        <w:tc>
          <w:tcPr>
            <w:tcW w:w="26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8,942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8,444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35,863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27,667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20,921</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(31,856)</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(27,750)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(20,423)</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87"/>
              </w:rPr>
              <w:t>12,866</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8,942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58" w:lineRule="exact"/>
        <w:rPr>
          <w:sz w:val="20"/>
          <w:szCs w:val="20"/>
          <w:color w:val="auto"/>
        </w:rPr>
      </w:pPr>
    </w:p>
    <w:p>
      <w:pPr>
        <w:sectPr>
          <w:pgSz w:w="11900" w:h="16838" w:orient="portrait"/>
          <w:cols w:equalWidth="0" w:num="2">
            <w:col w:w="7640" w:space="140"/>
            <w:col w:w="3640"/>
          </w:cols>
          <w:pgMar w:left="240" w:top="233" w:right="23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year:</w:t>
      </w:r>
    </w:p>
    <w:p>
      <w:pPr>
        <w:spacing w:after="0" w:line="23" w:lineRule="exact"/>
        <w:rPr>
          <w:sz w:val="20"/>
          <w:szCs w:val="20"/>
          <w:color w:val="auto"/>
        </w:rPr>
      </w:pPr>
    </w:p>
    <w:p>
      <w:pPr>
        <w:ind w:left="140" w:right="2880"/>
        <w:spacing w:after="0" w:line="250"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Net 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2383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600" w:val="left"/>
          <w:tab w:leader="none" w:pos="282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2383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45,890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59,632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45,342</w:t>
            </w:r>
          </w:p>
        </w:tc>
      </w:tr>
      <w:tr>
        <w:trPr>
          <w:trHeight w:val="230"/>
        </w:trPr>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4,128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5,109</w:t>
            </w:r>
          </w:p>
        </w:tc>
      </w:t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40,233</w:t>
            </w:r>
          </w:p>
        </w:tc>
      </w:tr>
    </w:tbl>
    <w:p>
      <w:pPr>
        <w:spacing w:after="0" w:line="200" w:lineRule="exact"/>
        <w:rPr>
          <w:sz w:val="20"/>
          <w:szCs w:val="20"/>
          <w:color w:val="auto"/>
        </w:rPr>
      </w:pPr>
    </w:p>
    <w:p>
      <w:pPr>
        <w:sectPr>
          <w:pgSz w:w="11900" w:h="16838" w:orient="portrait"/>
          <w:cols w:equalWidth="0" w:num="2">
            <w:col w:w="7060" w:space="720"/>
            <w:col w:w="3640"/>
          </w:cols>
          <w:pgMar w:left="240" w:top="233"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Acquired unpaid losses and loss adjustment expenses related to:</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rPr>
              <w:t>Current year</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17,795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Prior years</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acquired</w:t>
            </w:r>
          </w:p>
        </w:tc>
        <w:tc>
          <w:tcPr>
            <w:tcW w:w="1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Incurred related to:</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132,812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rPr>
              <w:t>Prior years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(10,101)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incurred</w:t>
            </w:r>
          </w:p>
        </w:tc>
        <w:tc>
          <w:tcPr>
            <w:tcW w:w="1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Paid related to:</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rPr>
              <w:t>Current year</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92,175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104,769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90,772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Prior years</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paid</w:t>
            </w:r>
          </w:p>
        </w:tc>
        <w:tc>
          <w:tcPr>
            <w:tcW w:w="1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116,928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133,389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Liability for unpaid losses and loss adjustment expenses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rPr>
              <w:t>Reinsurance recoverables on losses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4,128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balance at end of year</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prior years’ provision for unpaid losses and loss adjustment expenses decreased by $589, $10,101, and $4,756 during 2018, 2017, and 2016, respectively. Increases and decreases are generally the result of ongoing analysis of recent loss development trends. As additional information becomes known regarding individual claims, original estimates are increased or decreased accordingly.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86" w:name="page87"/>
    <w:bookmarkEnd w:id="86"/>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following tables present information, organized by our primary operating segments, about incurred and paid claims development as of December 31, 2018, net of reinsurance, as well as cumulative claim frequency and the total of IBNR reserves plus expected development on reported claims. The cumulative number of reported claims represents open claims, claims closed with payment, and claims closed without payment. It does not include an estimated amount for unreported claims. The number of claims is measured by claim event (such as a car accident or storm damage) and an individual claim event may result in more than one reported claim (such as a car accident with both property and liability damages). The Company considers a claim that does not result in a liability as a claim closed without payment. The tables include unaudited information about incurred and paid claims development for the years ended December 31, 2009 through 2015, and through 2017 for the Direct Auto information, which we present as supplementary information.</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Private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Passenger</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80" w:type="dxa"/>
            <w:vAlign w:val="bottom"/>
            <w:gridSpan w:val="33"/>
          </w:tcPr>
          <w:p>
            <w:pPr>
              <w:jc w:val="center"/>
              <w:ind w:right="660"/>
              <w:spacing w:after="0"/>
              <w:rPr>
                <w:sz w:val="20"/>
                <w:szCs w:val="20"/>
                <w:color w:val="auto"/>
              </w:rPr>
            </w:pPr>
            <w:r>
              <w:rPr>
                <w:rFonts w:ascii="Arial" w:cs="Arial" w:eastAsia="Arial" w:hAnsi="Arial"/>
                <w:sz w:val="18"/>
                <w:szCs w:val="18"/>
                <w:b w:val="1"/>
                <w:bCs w:val="1"/>
                <w:color w:val="auto"/>
                <w:w w:val="90"/>
              </w:rPr>
              <w:t>Incurred Claims and Allocated Claim Adjustment Expenses, Net of Reinsurance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Auto</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17"/>
          </w:tcPr>
          <w:p>
            <w:pPr>
              <w:jc w:val="center"/>
              <w:ind w:right="140"/>
              <w:spacing w:after="0"/>
              <w:rPr>
                <w:sz w:val="20"/>
                <w:szCs w:val="20"/>
                <w:color w:val="auto"/>
              </w:rPr>
            </w:pPr>
            <w:r>
              <w:rPr>
                <w:rFonts w:ascii="Arial" w:cs="Arial" w:eastAsia="Arial" w:hAnsi="Arial"/>
                <w:sz w:val="18"/>
                <w:szCs w:val="18"/>
                <w:b w:val="1"/>
                <w:bCs w:val="1"/>
                <w:color w:val="auto"/>
                <w:w w:val="91"/>
              </w:rPr>
              <w:t>For the Year Ended December 31,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10"/>
          </w:tcPr>
          <w:p>
            <w:pPr>
              <w:ind w:left="260"/>
              <w:spacing w:after="0"/>
              <w:rPr>
                <w:sz w:val="20"/>
                <w:szCs w:val="20"/>
                <w:color w:val="auto"/>
              </w:rPr>
            </w:pPr>
            <w:r>
              <w:rPr>
                <w:rFonts w:ascii="Arial" w:cs="Arial" w:eastAsia="Arial" w:hAnsi="Arial"/>
                <w:sz w:val="18"/>
                <w:szCs w:val="18"/>
                <w:b w:val="1"/>
                <w:bCs w:val="1"/>
                <w:color w:val="auto"/>
              </w:rPr>
              <w:t>At 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10"/>
          </w:tcPr>
          <w:p>
            <w:pPr>
              <w:jc w:val="right"/>
              <w:ind w:right="110"/>
              <w:spacing w:after="0"/>
              <w:rPr>
                <w:sz w:val="20"/>
                <w:szCs w:val="20"/>
                <w:color w:val="auto"/>
              </w:rPr>
            </w:pPr>
            <w:r>
              <w:rPr>
                <w:rFonts w:ascii="Arial" w:cs="Arial" w:eastAsia="Arial" w:hAnsi="Arial"/>
                <w:sz w:val="18"/>
                <w:szCs w:val="18"/>
                <w:b w:val="1"/>
                <w:bCs w:val="1"/>
                <w:color w:val="auto"/>
              </w:rPr>
              <w:t>(prior years unaudited)</w:t>
            </w:r>
          </w:p>
        </w:tc>
        <w:tc>
          <w:tcPr>
            <w:tcW w:w="4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Borders>
              <w:top w:val="single" w:sz="8" w:color="auto"/>
              <w:bottom w:val="single" w:sz="8" w:color="auto"/>
            </w:tcBorders>
            <w:gridSpan w:val="5"/>
            <w:vMerge w:val="restart"/>
          </w:tcPr>
          <w:p>
            <w:pPr>
              <w:jc w:val="center"/>
              <w:ind w:right="220"/>
              <w:spacing w:after="0"/>
              <w:rPr>
                <w:sz w:val="20"/>
                <w:szCs w:val="20"/>
                <w:color w:val="auto"/>
              </w:rPr>
            </w:pPr>
            <w:r>
              <w:rPr>
                <w:rFonts w:ascii="Arial" w:cs="Arial" w:eastAsia="Arial" w:hAnsi="Arial"/>
                <w:sz w:val="18"/>
                <w:szCs w:val="18"/>
                <w:b w:val="1"/>
                <w:bCs w:val="1"/>
                <w:color w:val="auto"/>
                <w:w w:val="97"/>
              </w:rPr>
              <w:t>Total IBNR</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Plus Expected</w:t>
            </w:r>
          </w:p>
        </w:tc>
        <w:tc>
          <w:tcPr>
            <w:tcW w:w="10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Development</w:t>
            </w:r>
          </w:p>
        </w:tc>
        <w:tc>
          <w:tcPr>
            <w:tcW w:w="10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Accident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on Reported</w:t>
            </w:r>
          </w:p>
        </w:tc>
        <w:tc>
          <w:tcPr>
            <w:tcW w:w="10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9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7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7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Claims</w:t>
            </w:r>
          </w:p>
        </w:tc>
        <w:tc>
          <w:tcPr>
            <w:tcW w:w="1020" w:type="dxa"/>
            <w:vAlign w:val="bottom"/>
            <w:gridSpan w:val="5"/>
          </w:tcPr>
          <w:p>
            <w:pPr>
              <w:ind w:left="200"/>
              <w:spacing w:after="0"/>
              <w:rPr>
                <w:sz w:val="20"/>
                <w:szCs w:val="20"/>
                <w:color w:val="auto"/>
              </w:rPr>
            </w:pPr>
            <w:r>
              <w:rPr>
                <w:rFonts w:ascii="Arial" w:cs="Arial" w:eastAsia="Arial" w:hAnsi="Arial"/>
                <w:sz w:val="18"/>
                <w:szCs w:val="18"/>
                <w:b w:val="1"/>
                <w:bCs w:val="1"/>
                <w:color w:val="auto"/>
              </w:rPr>
              <w:t>Claims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97"/>
              </w:rPr>
              <w:t>(in thousands, except claim counts)</w:t>
            </w:r>
          </w:p>
        </w:tc>
        <w:tc>
          <w:tcPr>
            <w:tcW w:w="4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$ 29,397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$ 27,749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$ 26,460</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$ 25,813</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$ 26,137</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$ 25,910</w:t>
            </w:r>
          </w:p>
        </w:tc>
        <w:tc>
          <w:tcPr>
            <w:tcW w:w="80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$ 25,420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$ 25,409</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$ 25,273</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25,234</w:t>
            </w:r>
          </w:p>
        </w:tc>
        <w:tc>
          <w:tcPr>
            <w:tcW w:w="6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26,090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23,801</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23,102</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23,325</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23,265</w:t>
            </w:r>
          </w:p>
        </w:tc>
        <w:tc>
          <w:tcPr>
            <w:tcW w:w="800" w:type="dxa"/>
            <w:vAlign w:val="bottom"/>
            <w:gridSpan w:val="7"/>
          </w:tcPr>
          <w:p>
            <w:pPr>
              <w:jc w:val="right"/>
              <w:ind w:right="40"/>
              <w:spacing w:after="0"/>
              <w:rPr>
                <w:sz w:val="20"/>
                <w:szCs w:val="20"/>
                <w:color w:val="auto"/>
              </w:rPr>
            </w:pPr>
            <w:r>
              <w:rPr>
                <w:rFonts w:ascii="Arial" w:cs="Arial" w:eastAsia="Arial" w:hAnsi="Arial"/>
                <w:sz w:val="18"/>
                <w:szCs w:val="18"/>
                <w:color w:val="auto"/>
              </w:rPr>
              <w:t>23,271</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23,249</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23,123</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23,120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25,552</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24,126</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25,220</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24,409</w:t>
            </w:r>
          </w:p>
        </w:tc>
        <w:tc>
          <w:tcPr>
            <w:tcW w:w="80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24,209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23,967</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23,814</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23,826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26,962</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24,787</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24,323</w:t>
            </w:r>
          </w:p>
        </w:tc>
        <w:tc>
          <w:tcPr>
            <w:tcW w:w="800" w:type="dxa"/>
            <w:vAlign w:val="bottom"/>
            <w:gridSpan w:val="7"/>
          </w:tcPr>
          <w:p>
            <w:pPr>
              <w:jc w:val="right"/>
              <w:ind w:right="40"/>
              <w:spacing w:after="0"/>
              <w:rPr>
                <w:sz w:val="20"/>
                <w:szCs w:val="20"/>
                <w:color w:val="auto"/>
              </w:rPr>
            </w:pPr>
            <w:r>
              <w:rPr>
                <w:rFonts w:ascii="Arial" w:cs="Arial" w:eastAsia="Arial" w:hAnsi="Arial"/>
                <w:sz w:val="18"/>
                <w:szCs w:val="18"/>
                <w:color w:val="auto"/>
              </w:rPr>
              <w:t>24,098</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24,133</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23,298</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23,621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27,840</w:t>
            </w:r>
          </w:p>
        </w:tc>
        <w:tc>
          <w:tcPr>
            <w:tcW w:w="80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27,363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27,334</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26,014</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26,138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32,548</w:t>
            </w:r>
          </w:p>
        </w:tc>
        <w:tc>
          <w:tcPr>
            <w:tcW w:w="800" w:type="dxa"/>
            <w:vAlign w:val="bottom"/>
            <w:gridSpan w:val="7"/>
          </w:tcPr>
          <w:p>
            <w:pPr>
              <w:jc w:val="right"/>
              <w:ind w:right="40"/>
              <w:spacing w:after="0"/>
              <w:rPr>
                <w:sz w:val="20"/>
                <w:szCs w:val="20"/>
                <w:color w:val="auto"/>
              </w:rPr>
            </w:pPr>
            <w:r>
              <w:rPr>
                <w:rFonts w:ascii="Arial" w:cs="Arial" w:eastAsia="Arial" w:hAnsi="Arial"/>
                <w:sz w:val="18"/>
                <w:szCs w:val="18"/>
                <w:color w:val="auto"/>
              </w:rPr>
              <w:t>31,349</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30,427</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29,099</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29,144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32,438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31,532</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30,461</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30,503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40,227</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39,260</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39,057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40,779</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40,199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44,925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2,346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13,568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$ 305,767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Private</w:t>
            </w: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1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Passenger</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20" w:type="dxa"/>
            <w:vAlign w:val="bottom"/>
            <w:gridSpan w:val="32"/>
          </w:tcPr>
          <w:p>
            <w:pPr>
              <w:jc w:val="right"/>
              <w:ind w:right="24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Auto</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6"/>
          </w:tcPr>
          <w:p>
            <w:pPr>
              <w:jc w:val="right"/>
              <w:ind w:right="400"/>
              <w:spacing w:after="0"/>
              <w:rPr>
                <w:sz w:val="20"/>
                <w:szCs w:val="20"/>
                <w:color w:val="auto"/>
              </w:rPr>
            </w:pPr>
            <w:r>
              <w:rPr>
                <w:rFonts w:ascii="Arial" w:cs="Arial" w:eastAsia="Arial" w:hAnsi="Arial"/>
                <w:sz w:val="18"/>
                <w:szCs w:val="18"/>
                <w:b w:val="1"/>
                <w:bCs w:val="1"/>
                <w:color w:val="auto"/>
                <w:w w:val="90"/>
              </w:rPr>
              <w:t>For the Year Ended December 31,</w:t>
            </w: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Accident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14"/>
          </w:tcPr>
          <w:p>
            <w:pPr>
              <w:jc w:val="right"/>
              <w:ind w:right="350"/>
              <w:spacing w:after="0"/>
              <w:rPr>
                <w:sz w:val="20"/>
                <w:szCs w:val="20"/>
                <w:color w:val="auto"/>
              </w:rPr>
            </w:pPr>
            <w:r>
              <w:rPr>
                <w:rFonts w:ascii="Arial" w:cs="Arial" w:eastAsia="Arial" w:hAnsi="Arial"/>
                <w:sz w:val="18"/>
                <w:szCs w:val="18"/>
                <w:b w:val="1"/>
                <w:bCs w:val="1"/>
                <w:color w:val="auto"/>
                <w:w w:val="92"/>
              </w:rPr>
              <w:t>(prior years unaudited)</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0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8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7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4"/>
              </w:rPr>
              <w:t>2011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2012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2013</w:t>
            </w:r>
          </w:p>
        </w:tc>
        <w:tc>
          <w:tcPr>
            <w:tcW w:w="22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$ 18,203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$ 21,880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$ 24,105</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5"/>
              </w:rPr>
              <w:t>$ 24,412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2"/>
              </w:rPr>
              <w:t>$ 24,784</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$ 24,829</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$ 24,918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$ 25,103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$ 25,131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18,100</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21,491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21,633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130"/>
              <w:spacing w:after="0"/>
              <w:rPr>
                <w:sz w:val="20"/>
                <w:szCs w:val="20"/>
                <w:color w:val="auto"/>
              </w:rPr>
            </w:pPr>
            <w:r>
              <w:rPr>
                <w:rFonts w:ascii="Arial" w:cs="Arial" w:eastAsia="Arial" w:hAnsi="Arial"/>
                <w:sz w:val="18"/>
                <w:szCs w:val="18"/>
                <w:color w:val="auto"/>
                <w:w w:val="90"/>
              </w:rPr>
              <w:t>22,844</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22,810</w:t>
            </w:r>
          </w:p>
        </w:tc>
        <w:tc>
          <w:tcPr>
            <w:tcW w:w="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22,938</w:t>
            </w:r>
          </w:p>
        </w:tc>
        <w:tc>
          <w:tcPr>
            <w:tcW w:w="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23,063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23,123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7"/>
              </w:rPr>
              <w:t>22,161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0"/>
              </w:rPr>
              <w:t>22,325</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23,024</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23,339</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23,583</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18,681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130"/>
              <w:spacing w:after="0"/>
              <w:rPr>
                <w:sz w:val="20"/>
                <w:szCs w:val="20"/>
                <w:color w:val="auto"/>
              </w:rPr>
            </w:pPr>
            <w:r>
              <w:rPr>
                <w:rFonts w:ascii="Arial" w:cs="Arial" w:eastAsia="Arial" w:hAnsi="Arial"/>
                <w:sz w:val="18"/>
                <w:szCs w:val="18"/>
                <w:color w:val="auto"/>
                <w:w w:val="90"/>
              </w:rPr>
              <w:t>21,434</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21,888</w:t>
            </w:r>
          </w:p>
        </w:tc>
        <w:tc>
          <w:tcPr>
            <w:tcW w:w="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22,640</w:t>
            </w:r>
          </w:p>
        </w:tc>
        <w:tc>
          <w:tcPr>
            <w:tcW w:w="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22,726</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23,073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0"/>
              </w:rPr>
              <w:t>20,077</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23,576</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24,765</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24,918</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22,744</w:t>
            </w:r>
          </w:p>
        </w:tc>
        <w:tc>
          <w:tcPr>
            <w:tcW w:w="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25,727</w:t>
            </w:r>
          </w:p>
        </w:tc>
        <w:tc>
          <w:tcPr>
            <w:tcW w:w="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27,076</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27,443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23,401</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27,171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29,009</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35,845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34,358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287,808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60" w:type="dxa"/>
            <w:vAlign w:val="bottom"/>
            <w:gridSpan w:val="22"/>
            <w:vMerge w:val="restart"/>
          </w:tcPr>
          <w:p>
            <w:pPr>
              <w:jc w:val="right"/>
              <w:spacing w:after="0"/>
              <w:rPr>
                <w:sz w:val="20"/>
                <w:szCs w:val="20"/>
                <w:color w:val="auto"/>
              </w:rPr>
            </w:pPr>
            <w:r>
              <w:rPr>
                <w:rFonts w:ascii="Arial" w:cs="Arial" w:eastAsia="Arial" w:hAnsi="Arial"/>
                <w:sz w:val="18"/>
                <w:szCs w:val="18"/>
                <w:color w:val="auto"/>
                <w:w w:val="98"/>
              </w:rPr>
              <w:t>All outstanding liabilities prior to 2009, net of reinsurance</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60" w:type="dxa"/>
            <w:vAlign w:val="bottom"/>
            <w:gridSpan w:val="22"/>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120" w:type="dxa"/>
            <w:vAlign w:val="bottom"/>
            <w:gridSpan w:val="32"/>
            <w:shd w:val="clear" w:color="auto" w:fill="CCEEFF"/>
          </w:tcPr>
          <w:p>
            <w:pPr>
              <w:jc w:val="right"/>
              <w:spacing w:after="0"/>
              <w:rPr>
                <w:sz w:val="20"/>
                <w:szCs w:val="20"/>
                <w:color w:val="auto"/>
              </w:rPr>
            </w:pPr>
            <w:r>
              <w:rPr>
                <w:rFonts w:ascii="Arial" w:cs="Arial" w:eastAsia="Arial" w:hAnsi="Arial"/>
                <w:sz w:val="18"/>
                <w:szCs w:val="18"/>
                <w:color w:val="auto"/>
                <w:w w:val="96"/>
              </w:rPr>
              <w:t>Liabilities for Unpaid Losses and Loss Adjustment Expenses, net of reinsurance</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87" w:name="page88"/>
    <w:bookmarkEnd w:id="87"/>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Standard</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Auto</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gridSpan w:val="28"/>
          </w:tcPr>
          <w:p>
            <w:pPr>
              <w:jc w:val="right"/>
              <w:ind w:right="60"/>
              <w:spacing w:after="0"/>
              <w:rPr>
                <w:sz w:val="20"/>
                <w:szCs w:val="20"/>
                <w:color w:val="auto"/>
              </w:rPr>
            </w:pPr>
            <w:r>
              <w:rPr>
                <w:rFonts w:ascii="Arial" w:cs="Arial" w:eastAsia="Arial" w:hAnsi="Arial"/>
                <w:sz w:val="18"/>
                <w:szCs w:val="18"/>
                <w:b w:val="1"/>
                <w:bCs w:val="1"/>
                <w:color w:val="auto"/>
                <w:w w:val="90"/>
              </w:rPr>
              <w:t>Incurred Claims and Allocated Claim Adjustment Expenses, Net of Reinsurance</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(Primero)</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16"/>
          </w:tcPr>
          <w:p>
            <w:pPr>
              <w:jc w:val="right"/>
              <w:ind w:right="160"/>
              <w:spacing w:after="0"/>
              <w:rPr>
                <w:sz w:val="20"/>
                <w:szCs w:val="20"/>
                <w:color w:val="auto"/>
              </w:rPr>
            </w:pPr>
            <w:r>
              <w:rPr>
                <w:rFonts w:ascii="Arial" w:cs="Arial" w:eastAsia="Arial" w:hAnsi="Arial"/>
                <w:sz w:val="18"/>
                <w:szCs w:val="18"/>
                <w:b w:val="1"/>
                <w:bCs w:val="1"/>
                <w:color w:val="auto"/>
                <w:w w:val="98"/>
              </w:rPr>
              <w:t>For the Year Ended December 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12"/>
          </w:tcPr>
          <w:p>
            <w:pPr>
              <w:jc w:val="center"/>
              <w:ind w:right="100"/>
              <w:spacing w:after="0"/>
              <w:rPr>
                <w:sz w:val="20"/>
                <w:szCs w:val="20"/>
                <w:color w:val="auto"/>
              </w:rPr>
            </w:pPr>
            <w:r>
              <w:rPr>
                <w:rFonts w:ascii="Arial" w:cs="Arial" w:eastAsia="Arial" w:hAnsi="Arial"/>
                <w:sz w:val="18"/>
                <w:szCs w:val="18"/>
                <w:b w:val="1"/>
                <w:bCs w:val="1"/>
                <w:color w:val="auto"/>
                <w:w w:val="90"/>
              </w:rPr>
              <w:t>At 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1"/>
              </w:rPr>
              <w:t>(prior years unaudited)</w:t>
            </w:r>
          </w:p>
        </w:tc>
        <w:tc>
          <w:tcPr>
            <w:tcW w:w="5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top w:val="single" w:sz="8" w:color="auto"/>
              <w:bottom w:val="single" w:sz="8" w:color="auto"/>
            </w:tcBorders>
            <w:gridSpan w:val="4"/>
            <w:vMerge w:val="restart"/>
          </w:tcPr>
          <w:p>
            <w:pPr>
              <w:jc w:val="center"/>
              <w:ind w:right="140"/>
              <w:spacing w:after="0"/>
              <w:rPr>
                <w:sz w:val="20"/>
                <w:szCs w:val="20"/>
                <w:color w:val="auto"/>
              </w:rPr>
            </w:pPr>
            <w:r>
              <w:rPr>
                <w:rFonts w:ascii="Arial" w:cs="Arial" w:eastAsia="Arial" w:hAnsi="Arial"/>
                <w:sz w:val="18"/>
                <w:szCs w:val="18"/>
                <w:b w:val="1"/>
                <w:bCs w:val="1"/>
                <w:color w:val="auto"/>
                <w:w w:val="97"/>
              </w:rPr>
              <w:t>Total IBNR</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Plus Expected</w:t>
            </w:r>
          </w:p>
        </w:tc>
        <w:tc>
          <w:tcPr>
            <w:tcW w:w="100" w:type="dxa"/>
            <w:vAlign w:val="bottom"/>
          </w:tcPr>
          <w:p>
            <w:pPr>
              <w:spacing w:after="0"/>
              <w:rPr>
                <w:sz w:val="18"/>
                <w:szCs w:val="18"/>
                <w:color w:val="auto"/>
              </w:rPr>
            </w:pPr>
          </w:p>
        </w:tc>
        <w:tc>
          <w:tcPr>
            <w:tcW w:w="104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Development</w:t>
            </w:r>
          </w:p>
        </w:tc>
        <w:tc>
          <w:tcPr>
            <w:tcW w:w="100" w:type="dxa"/>
            <w:vAlign w:val="bottom"/>
          </w:tcPr>
          <w:p>
            <w:pPr>
              <w:spacing w:after="0"/>
              <w:rPr>
                <w:sz w:val="18"/>
                <w:szCs w:val="18"/>
                <w:color w:val="auto"/>
              </w:rPr>
            </w:pPr>
          </w:p>
        </w:tc>
        <w:tc>
          <w:tcPr>
            <w:tcW w:w="104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Accident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on Reported</w:t>
            </w:r>
          </w:p>
        </w:tc>
        <w:tc>
          <w:tcPr>
            <w:tcW w:w="100" w:type="dxa"/>
            <w:vAlign w:val="bottom"/>
          </w:tcPr>
          <w:p>
            <w:pPr>
              <w:spacing w:after="0"/>
              <w:rPr>
                <w:sz w:val="18"/>
                <w:szCs w:val="18"/>
                <w:color w:val="auto"/>
              </w:rPr>
            </w:pPr>
          </w:p>
        </w:tc>
        <w:tc>
          <w:tcPr>
            <w:tcW w:w="104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2009</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720" w:type="dxa"/>
            <w:vAlign w:val="bottom"/>
            <w:gridSpan w:val="3"/>
          </w:tcPr>
          <w:p>
            <w:pPr>
              <w:ind w:left="26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Claims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97"/>
              </w:rPr>
              <w:t>(in thousands, except claim counts)</w:t>
            </w: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$ 13,269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$ 12,790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$ 12,702</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$ 12,655</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$ 12,604</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$ 12,586</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4"/>
              </w:rPr>
              <w:t>$ 12,584</w:t>
            </w: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$ 12,584</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4"/>
              </w:rPr>
              <w:t>$ 12,584</w:t>
            </w: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8"/>
              </w:rPr>
              <w:t>$ 12,585</w:t>
            </w:r>
          </w:p>
        </w:tc>
        <w:tc>
          <w:tcPr>
            <w:tcW w:w="6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8,536</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8,442</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8,411</w:t>
            </w:r>
          </w:p>
        </w:tc>
        <w:tc>
          <w:tcPr>
            <w:tcW w:w="820" w:type="dxa"/>
            <w:vAlign w:val="bottom"/>
            <w:gridSpan w:val="4"/>
          </w:tcPr>
          <w:p>
            <w:pPr>
              <w:ind w:left="320"/>
              <w:spacing w:after="0"/>
              <w:rPr>
                <w:sz w:val="20"/>
                <w:szCs w:val="20"/>
                <w:color w:val="auto"/>
              </w:rPr>
            </w:pPr>
            <w:r>
              <w:rPr>
                <w:rFonts w:ascii="Arial" w:cs="Arial" w:eastAsia="Arial" w:hAnsi="Arial"/>
                <w:sz w:val="18"/>
                <w:szCs w:val="18"/>
                <w:color w:val="auto"/>
              </w:rPr>
              <w:t>8,410</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8,400</w:t>
            </w: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8,400</w:t>
            </w: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8,402</w:t>
            </w: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rPr>
              <w:t>8,405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8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8,191</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8,168</w:t>
            </w: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8,168</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8,168</w:t>
            </w: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8,178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8,749</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8,491</w:t>
            </w:r>
          </w:p>
        </w:tc>
        <w:tc>
          <w:tcPr>
            <w:tcW w:w="820" w:type="dxa"/>
            <w:vAlign w:val="bottom"/>
            <w:gridSpan w:val="4"/>
          </w:tcPr>
          <w:p>
            <w:pPr>
              <w:ind w:left="320"/>
              <w:spacing w:after="0"/>
              <w:rPr>
                <w:sz w:val="20"/>
                <w:szCs w:val="20"/>
                <w:color w:val="auto"/>
              </w:rPr>
            </w:pPr>
            <w:r>
              <w:rPr>
                <w:rFonts w:ascii="Arial" w:cs="Arial" w:eastAsia="Arial" w:hAnsi="Arial"/>
                <w:sz w:val="18"/>
                <w:szCs w:val="18"/>
                <w:color w:val="auto"/>
              </w:rPr>
              <w:t>8,369</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8,361</w:t>
            </w: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8,302</w:t>
            </w: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8,312</w:t>
            </w: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rPr>
              <w:t>8,324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10,823</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10,800</w:t>
            </w: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10,804</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10,843</w:t>
            </w: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10,833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tcPr>
          <w:p>
            <w:pPr>
              <w:ind w:left="320"/>
              <w:spacing w:after="0"/>
              <w:rPr>
                <w:sz w:val="20"/>
                <w:szCs w:val="20"/>
                <w:color w:val="auto"/>
              </w:rPr>
            </w:pPr>
            <w:r>
              <w:rPr>
                <w:rFonts w:ascii="Arial" w:cs="Arial" w:eastAsia="Arial" w:hAnsi="Arial"/>
                <w:sz w:val="18"/>
                <w:szCs w:val="18"/>
                <w:color w:val="auto"/>
              </w:rPr>
              <w:t>7,297</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7,619</w:t>
            </w: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7,591</w:t>
            </w: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7,577</w:t>
            </w: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rPr>
              <w:t>7,612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9,727</w:t>
            </w: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9,806</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9,655</w:t>
            </w: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9,691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9,967</w:t>
            </w: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10,048</w:t>
            </w: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rPr>
              <w:t>10,054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8,722</w:t>
            </w: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8,654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rPr>
              <w:t>10,445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Total</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94,781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Non-Standard</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1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Auto</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40" w:type="dxa"/>
            <w:vAlign w:val="bottom"/>
            <w:gridSpan w:val="30"/>
          </w:tcPr>
          <w:p>
            <w:pPr>
              <w:ind w:left="18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(Primero)</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16"/>
          </w:tcPr>
          <w:p>
            <w:pPr>
              <w:jc w:val="right"/>
              <w:ind w:right="420"/>
              <w:spacing w:after="0"/>
              <w:rPr>
                <w:sz w:val="20"/>
                <w:szCs w:val="20"/>
                <w:color w:val="auto"/>
              </w:rPr>
            </w:pPr>
            <w:r>
              <w:rPr>
                <w:rFonts w:ascii="Arial" w:cs="Arial" w:eastAsia="Arial" w:hAnsi="Arial"/>
                <w:sz w:val="18"/>
                <w:szCs w:val="18"/>
                <w:b w:val="1"/>
                <w:bCs w:val="1"/>
                <w:color w:val="auto"/>
                <w:w w:val="93"/>
              </w:rPr>
              <w:t>For the Year Ended December 31,</w:t>
            </w: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Accident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13"/>
          </w:tcPr>
          <w:p>
            <w:pPr>
              <w:ind w:left="160"/>
              <w:spacing w:after="0"/>
              <w:rPr>
                <w:sz w:val="20"/>
                <w:szCs w:val="20"/>
                <w:color w:val="auto"/>
              </w:rPr>
            </w:pPr>
            <w:r>
              <w:rPr>
                <w:rFonts w:ascii="Arial" w:cs="Arial" w:eastAsia="Arial" w:hAnsi="Arial"/>
                <w:sz w:val="18"/>
                <w:szCs w:val="18"/>
                <w:b w:val="1"/>
                <w:bCs w:val="1"/>
                <w:color w:val="auto"/>
              </w:rPr>
              <w:t>(prior years unaudited)</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2010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b w:val="1"/>
                <w:bCs w:val="1"/>
                <w:color w:val="auto"/>
              </w:rPr>
              <w:t>2011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$ 7,356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$ 11,621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$ 12,495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$ 12,624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$ 12,602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$ 12,584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$ 12,584</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$ 12,584</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2"/>
              </w:rPr>
              <w:t>$ 12,584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12,585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7,792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8,332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8,411</w:t>
            </w:r>
          </w:p>
        </w:tc>
        <w:tc>
          <w:tcPr>
            <w:tcW w:w="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8,410</w:t>
            </w:r>
          </w:p>
        </w:tc>
        <w:tc>
          <w:tcPr>
            <w:tcW w:w="1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8,400</w:t>
            </w:r>
          </w:p>
        </w:tc>
        <w:tc>
          <w:tcPr>
            <w:tcW w:w="1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8,400</w:t>
            </w: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8,402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8,146</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8,168</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8,168</w:t>
            </w: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8,168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4,377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7,522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7,983</w:t>
            </w:r>
          </w:p>
        </w:tc>
        <w:tc>
          <w:tcPr>
            <w:tcW w:w="1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8,276</w:t>
            </w:r>
          </w:p>
        </w:tc>
        <w:tc>
          <w:tcPr>
            <w:tcW w:w="1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8,302</w:t>
            </w: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8,312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8,324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9,675</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10,508</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10,717</w:t>
            </w: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10,805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3,733</w:t>
            </w:r>
          </w:p>
        </w:tc>
        <w:tc>
          <w:tcPr>
            <w:tcW w:w="1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6,707</w:t>
            </w:r>
          </w:p>
        </w:tc>
        <w:tc>
          <w:tcPr>
            <w:tcW w:w="1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7,423</w:t>
            </w: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7,521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5,335</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8,685</w:t>
            </w: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9,479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5,409</w:t>
            </w: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8,882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4,348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5,492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88,385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0" w:type="dxa"/>
            <w:vAlign w:val="bottom"/>
            <w:gridSpan w:val="24"/>
            <w:vMerge w:val="restart"/>
          </w:tcPr>
          <w:p>
            <w:pPr>
              <w:jc w:val="right"/>
              <w:ind w:right="60"/>
              <w:spacing w:after="0"/>
              <w:rPr>
                <w:sz w:val="20"/>
                <w:szCs w:val="20"/>
                <w:color w:val="auto"/>
              </w:rPr>
            </w:pPr>
            <w:r>
              <w:rPr>
                <w:rFonts w:ascii="Arial" w:cs="Arial" w:eastAsia="Arial" w:hAnsi="Arial"/>
                <w:sz w:val="18"/>
                <w:szCs w:val="18"/>
                <w:color w:val="auto"/>
              </w:rPr>
              <w:t>All outstanding liabilities prior to 2009, net of reinsurance</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0" w:type="dxa"/>
            <w:vAlign w:val="bottom"/>
            <w:gridSpan w:val="24"/>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300" w:type="dxa"/>
            <w:vAlign w:val="bottom"/>
            <w:gridSpan w:val="33"/>
            <w:shd w:val="clear" w:color="auto" w:fill="CCEEFF"/>
          </w:tcPr>
          <w:p>
            <w:pPr>
              <w:jc w:val="right"/>
              <w:ind w:right="60"/>
              <w:spacing w:after="0"/>
              <w:rPr>
                <w:sz w:val="20"/>
                <w:szCs w:val="20"/>
                <w:color w:val="auto"/>
              </w:rPr>
            </w:pPr>
            <w:r>
              <w:rPr>
                <w:rFonts w:ascii="Arial" w:cs="Arial" w:eastAsia="Arial" w:hAnsi="Arial"/>
                <w:sz w:val="18"/>
                <w:szCs w:val="18"/>
                <w:color w:val="auto"/>
                <w:w w:val="97"/>
              </w:rPr>
              <w:t>Liabilities for Unpaid Losses and Loss Adjustment Expenses, net of reinsurance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88" w:name="page89"/>
    <w:bookmarkEnd w:id="88"/>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Standard</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Auto</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(Direct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80" w:type="dxa"/>
            <w:vAlign w:val="bottom"/>
            <w:gridSpan w:val="21"/>
          </w:tcPr>
          <w:p>
            <w:pPr>
              <w:ind w:left="60"/>
              <w:spacing w:after="0"/>
              <w:rPr>
                <w:sz w:val="20"/>
                <w:szCs w:val="20"/>
                <w:color w:val="auto"/>
              </w:rPr>
            </w:pPr>
            <w:r>
              <w:rPr>
                <w:rFonts w:ascii="Arial" w:cs="Arial" w:eastAsia="Arial" w:hAnsi="Arial"/>
                <w:sz w:val="18"/>
                <w:szCs w:val="18"/>
                <w:b w:val="1"/>
                <w:bCs w:val="1"/>
                <w:color w:val="auto"/>
                <w:w w:val="91"/>
              </w:rPr>
              <w:t>Incurred Claims and Allocated Claim Adjustment Expenses, Net of Reinsurance</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Auto)</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20" w:type="dxa"/>
            <w:vAlign w:val="bottom"/>
            <w:gridSpan w:val="12"/>
          </w:tcPr>
          <w:p>
            <w:pPr>
              <w:ind w:left="360"/>
              <w:spacing w:after="0"/>
              <w:rPr>
                <w:sz w:val="20"/>
                <w:szCs w:val="20"/>
                <w:color w:val="auto"/>
              </w:rPr>
            </w:pPr>
            <w:r>
              <w:rPr>
                <w:rFonts w:ascii="Arial" w:cs="Arial" w:eastAsia="Arial" w:hAnsi="Arial"/>
                <w:sz w:val="18"/>
                <w:szCs w:val="18"/>
                <w:b w:val="1"/>
                <w:bCs w:val="1"/>
                <w:color w:val="auto"/>
                <w:w w:val="98"/>
              </w:rPr>
              <w:t>For the Year Ended December 31,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13"/>
          </w:tcPr>
          <w:p>
            <w:pPr>
              <w:ind w:left="240"/>
              <w:spacing w:after="0"/>
              <w:rPr>
                <w:sz w:val="20"/>
                <w:szCs w:val="20"/>
                <w:color w:val="auto"/>
              </w:rPr>
            </w:pPr>
            <w:r>
              <w:rPr>
                <w:rFonts w:ascii="Arial" w:cs="Arial" w:eastAsia="Arial" w:hAnsi="Arial"/>
                <w:sz w:val="18"/>
                <w:szCs w:val="18"/>
                <w:b w:val="1"/>
                <w:bCs w:val="1"/>
                <w:color w:val="auto"/>
              </w:rPr>
              <w:t>At 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gridSpan w:val="8"/>
          </w:tcPr>
          <w:p>
            <w:pPr>
              <w:ind w:left="360"/>
              <w:spacing w:after="0"/>
              <w:rPr>
                <w:sz w:val="20"/>
                <w:szCs w:val="20"/>
                <w:color w:val="auto"/>
              </w:rPr>
            </w:pPr>
            <w:r>
              <w:rPr>
                <w:rFonts w:ascii="Arial" w:cs="Arial" w:eastAsia="Arial" w:hAnsi="Arial"/>
                <w:sz w:val="18"/>
                <w:szCs w:val="18"/>
                <w:b w:val="1"/>
                <w:bCs w:val="1"/>
                <w:color w:val="auto"/>
              </w:rPr>
              <w:t>(prior years unaudited)</w:t>
            </w:r>
          </w:p>
        </w:tc>
        <w:tc>
          <w:tcPr>
            <w:tcW w:w="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Borders>
              <w:top w:val="single" w:sz="8" w:color="auto"/>
              <w:bottom w:val="single" w:sz="8" w:color="auto"/>
            </w:tcBorders>
            <w:gridSpan w:val="5"/>
            <w:vMerge w:val="restart"/>
          </w:tcPr>
          <w:p>
            <w:pPr>
              <w:jc w:val="center"/>
              <w:ind w:right="140"/>
              <w:spacing w:after="0"/>
              <w:rPr>
                <w:sz w:val="20"/>
                <w:szCs w:val="20"/>
                <w:color w:val="auto"/>
              </w:rPr>
            </w:pPr>
            <w:r>
              <w:rPr>
                <w:rFonts w:ascii="Arial" w:cs="Arial" w:eastAsia="Arial" w:hAnsi="Arial"/>
                <w:sz w:val="18"/>
                <w:szCs w:val="18"/>
                <w:b w:val="1"/>
                <w:bCs w:val="1"/>
                <w:color w:val="auto"/>
                <w:w w:val="97"/>
              </w:rPr>
              <w:t>Total IBNR</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Plus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7"/>
              </w:rPr>
              <w:t>Expected</w:t>
            </w:r>
          </w:p>
        </w:tc>
        <w:tc>
          <w:tcPr>
            <w:tcW w:w="100" w:type="dxa"/>
            <w:vAlign w:val="bottom"/>
          </w:tcPr>
          <w:p>
            <w:pPr>
              <w:spacing w:after="0"/>
              <w:rPr>
                <w:sz w:val="18"/>
                <w:szCs w:val="18"/>
                <w:color w:val="auto"/>
              </w:rPr>
            </w:pPr>
          </w:p>
        </w:tc>
        <w:tc>
          <w:tcPr>
            <w:tcW w:w="104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Development</w:t>
            </w:r>
          </w:p>
        </w:tc>
        <w:tc>
          <w:tcPr>
            <w:tcW w:w="100" w:type="dxa"/>
            <w:vAlign w:val="bottom"/>
          </w:tcPr>
          <w:p>
            <w:pPr>
              <w:spacing w:after="0"/>
              <w:rPr>
                <w:sz w:val="18"/>
                <w:szCs w:val="18"/>
                <w:color w:val="auto"/>
              </w:rPr>
            </w:pPr>
          </w:p>
        </w:tc>
        <w:tc>
          <w:tcPr>
            <w:tcW w:w="104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Accident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on Reported</w:t>
            </w:r>
          </w:p>
        </w:tc>
        <w:tc>
          <w:tcPr>
            <w:tcW w:w="100" w:type="dxa"/>
            <w:vAlign w:val="bottom"/>
          </w:tcPr>
          <w:p>
            <w:pPr>
              <w:spacing w:after="0"/>
              <w:rPr>
                <w:sz w:val="18"/>
                <w:szCs w:val="18"/>
                <w:color w:val="auto"/>
              </w:rPr>
            </w:pPr>
          </w:p>
        </w:tc>
        <w:tc>
          <w:tcPr>
            <w:tcW w:w="104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2009</w:t>
            </w: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Claims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99"/>
              </w:rPr>
              <w:t>(in thousands, except claim counts)</w:t>
            </w:r>
          </w:p>
        </w:tc>
        <w:tc>
          <w:tcPr>
            <w:tcW w:w="7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$ 4,570</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$ 4,064</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$ 4,062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$ 4,141</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$ 4,102</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$ 4,124</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$ 4,141</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6"/>
              </w:rPr>
              <w:t>$ 4,139</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6"/>
              </w:rPr>
              <w:t>$ 4,105</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$ 4,158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6,189</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4,942</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5,101</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5,010</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5,048</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5,026</w:t>
            </w:r>
          </w:p>
        </w:tc>
        <w:tc>
          <w:tcPr>
            <w:tcW w:w="1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4,911</w:t>
            </w:r>
          </w:p>
        </w:tc>
        <w:tc>
          <w:tcPr>
            <w:tcW w:w="18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4,948</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4,943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3,313</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3,134</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2,937</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2,902</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2,854</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2,874</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3,003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7,164</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4,159</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3,927</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3,916</w:t>
            </w:r>
          </w:p>
        </w:tc>
        <w:tc>
          <w:tcPr>
            <w:tcW w:w="1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4,215</w:t>
            </w:r>
          </w:p>
        </w:tc>
        <w:tc>
          <w:tcPr>
            <w:tcW w:w="18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4,643</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4,909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3,876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10,596</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6,020</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5,869</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5,261</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5,278</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5,160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14,010</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9,068</w:t>
            </w:r>
          </w:p>
        </w:tc>
        <w:tc>
          <w:tcPr>
            <w:tcW w:w="1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6,224</w:t>
            </w:r>
          </w:p>
        </w:tc>
        <w:tc>
          <w:tcPr>
            <w:tcW w:w="18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8,381</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6,745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17,917</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14,498</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13,043</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10,538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10,353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20,547</w:t>
            </w:r>
          </w:p>
        </w:tc>
        <w:tc>
          <w:tcPr>
            <w:tcW w:w="18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14,660</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13,552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11,216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23,376</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18,621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2,461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12,225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25,791</w:t>
            </w: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auto"/>
              </w:rPr>
              <w:t>(6,347)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14,460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97,420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Non-Standard</w:t>
            </w: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1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Auto</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60" w:type="dxa"/>
            <w:vAlign w:val="bottom"/>
            <w:gridSpan w:val="29"/>
          </w:tcPr>
          <w:p>
            <w:pPr>
              <w:jc w:val="right"/>
              <w:ind w:right="180"/>
              <w:spacing w:after="0"/>
              <w:rPr>
                <w:sz w:val="20"/>
                <w:szCs w:val="20"/>
                <w:color w:val="auto"/>
              </w:rPr>
            </w:pPr>
            <w:r>
              <w:rPr>
                <w:rFonts w:ascii="Arial" w:cs="Arial" w:eastAsia="Arial" w:hAnsi="Arial"/>
                <w:sz w:val="18"/>
                <w:szCs w:val="18"/>
                <w:b w:val="1"/>
                <w:bCs w:val="1"/>
                <w:color w:val="auto"/>
                <w:w w:val="92"/>
              </w:rPr>
              <w:t>Paid Claims and Allocated Claim Adjustment Expenses, Net of Reinsurance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(Direct Auto)</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14"/>
          </w:tcPr>
          <w:p>
            <w:pPr>
              <w:ind w:left="100"/>
              <w:spacing w:after="0"/>
              <w:rPr>
                <w:sz w:val="20"/>
                <w:szCs w:val="20"/>
                <w:color w:val="auto"/>
              </w:rPr>
            </w:pPr>
            <w:r>
              <w:rPr>
                <w:rFonts w:ascii="Arial" w:cs="Arial" w:eastAsia="Arial" w:hAnsi="Arial"/>
                <w:sz w:val="18"/>
                <w:szCs w:val="18"/>
                <w:b w:val="1"/>
                <w:bCs w:val="1"/>
                <w:color w:val="auto"/>
              </w:rPr>
              <w:t>For the Year Ended December 31,</w:t>
            </w: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Accident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10"/>
          </w:tcPr>
          <w:p>
            <w:pPr>
              <w:ind w:left="80"/>
              <w:spacing w:after="0"/>
              <w:rPr>
                <w:sz w:val="20"/>
                <w:szCs w:val="20"/>
                <w:color w:val="auto"/>
              </w:rPr>
            </w:pPr>
            <w:r>
              <w:rPr>
                <w:rFonts w:ascii="Arial" w:cs="Arial" w:eastAsia="Arial" w:hAnsi="Arial"/>
                <w:sz w:val="18"/>
                <w:szCs w:val="18"/>
                <w:b w:val="1"/>
                <w:bCs w:val="1"/>
                <w:color w:val="auto"/>
              </w:rPr>
              <w:t>(prior years unaudited)</w:t>
            </w: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20"/>
                <w:szCs w:val="20"/>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$ 1,747</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$ 2,767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$ 3,246</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$ 3,622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$ 3,774</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$ 3,877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$ 4,010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$ 4,059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$ 4,072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2,082</w:t>
            </w:r>
          </w:p>
        </w:tc>
        <w:tc>
          <w:tcPr>
            <w:tcW w:w="18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3,057</w:t>
            </w: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3,742</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4,317</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4,564</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4,748</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4,772</w:t>
            </w:r>
          </w:p>
        </w:tc>
        <w:tc>
          <w:tcPr>
            <w:tcW w:w="800" w:type="dxa"/>
            <w:vAlign w:val="bottom"/>
            <w:gridSpan w:val="6"/>
          </w:tcPr>
          <w:p>
            <w:pPr>
              <w:jc w:val="right"/>
              <w:ind w:right="60"/>
              <w:spacing w:after="0"/>
              <w:rPr>
                <w:sz w:val="20"/>
                <w:szCs w:val="20"/>
                <w:color w:val="auto"/>
              </w:rPr>
            </w:pPr>
            <w:r>
              <w:rPr>
                <w:rFonts w:ascii="Arial" w:cs="Arial" w:eastAsia="Arial" w:hAnsi="Arial"/>
                <w:sz w:val="18"/>
                <w:szCs w:val="18"/>
                <w:color w:val="auto"/>
              </w:rPr>
              <w:t>4,841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4,841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1,290</w:t>
            </w: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1,890</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2,342</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2,590</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2,761</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2,830</w:t>
            </w:r>
          </w:p>
        </w:tc>
        <w:tc>
          <w:tcPr>
            <w:tcW w:w="8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2,851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1,696</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2,421</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3,041</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3,587</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4,081</w:t>
            </w:r>
          </w:p>
        </w:tc>
        <w:tc>
          <w:tcPr>
            <w:tcW w:w="800" w:type="dxa"/>
            <w:vAlign w:val="bottom"/>
            <w:gridSpan w:val="6"/>
          </w:tcPr>
          <w:p>
            <w:pPr>
              <w:jc w:val="right"/>
              <w:ind w:right="60"/>
              <w:spacing w:after="0"/>
              <w:rPr>
                <w:sz w:val="20"/>
                <w:szCs w:val="20"/>
                <w:color w:val="auto"/>
              </w:rPr>
            </w:pPr>
            <w:r>
              <w:rPr>
                <w:rFonts w:ascii="Arial" w:cs="Arial" w:eastAsia="Arial" w:hAnsi="Arial"/>
                <w:sz w:val="18"/>
                <w:szCs w:val="18"/>
                <w:color w:val="auto"/>
              </w:rPr>
              <w:t>4,503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4,671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1,944</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3,123</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3,796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4,291</w:t>
            </w:r>
          </w:p>
        </w:tc>
        <w:tc>
          <w:tcPr>
            <w:tcW w:w="8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4,602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2,201</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3,573</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4,452</w:t>
            </w:r>
          </w:p>
        </w:tc>
        <w:tc>
          <w:tcPr>
            <w:tcW w:w="800" w:type="dxa"/>
            <w:vAlign w:val="bottom"/>
            <w:gridSpan w:val="6"/>
          </w:tcPr>
          <w:p>
            <w:pPr>
              <w:jc w:val="right"/>
              <w:ind w:right="60"/>
              <w:spacing w:after="0"/>
              <w:rPr>
                <w:sz w:val="20"/>
                <w:szCs w:val="20"/>
                <w:color w:val="auto"/>
              </w:rPr>
            </w:pPr>
            <w:r>
              <w:rPr>
                <w:rFonts w:ascii="Arial" w:cs="Arial" w:eastAsia="Arial" w:hAnsi="Arial"/>
                <w:sz w:val="18"/>
                <w:szCs w:val="18"/>
                <w:color w:val="auto"/>
              </w:rPr>
              <w:t>5,369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2,967</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5,202</w:t>
            </w:r>
          </w:p>
        </w:tc>
        <w:tc>
          <w:tcPr>
            <w:tcW w:w="8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7,057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3,526</w:t>
            </w:r>
          </w:p>
        </w:tc>
        <w:tc>
          <w:tcPr>
            <w:tcW w:w="800" w:type="dxa"/>
            <w:vAlign w:val="bottom"/>
            <w:gridSpan w:val="6"/>
          </w:tcPr>
          <w:p>
            <w:pPr>
              <w:jc w:val="right"/>
              <w:ind w:right="60"/>
              <w:spacing w:after="0"/>
              <w:rPr>
                <w:sz w:val="20"/>
                <w:szCs w:val="20"/>
                <w:color w:val="auto"/>
              </w:rPr>
            </w:pPr>
            <w:r>
              <w:rPr>
                <w:rFonts w:ascii="Arial" w:cs="Arial" w:eastAsia="Arial" w:hAnsi="Arial"/>
                <w:sz w:val="18"/>
                <w:szCs w:val="18"/>
                <w:color w:val="auto"/>
              </w:rPr>
              <w:t>6,272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4,385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6,034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57,030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500" w:type="dxa"/>
            <w:vAlign w:val="bottom"/>
            <w:gridSpan w:val="22"/>
            <w:vMerge w:val="restart"/>
          </w:tcPr>
          <w:p>
            <w:pPr>
              <w:jc w:val="right"/>
              <w:ind w:right="60"/>
              <w:spacing w:after="0"/>
              <w:rPr>
                <w:sz w:val="20"/>
                <w:szCs w:val="20"/>
                <w:color w:val="auto"/>
              </w:rPr>
            </w:pPr>
            <w:r>
              <w:rPr>
                <w:rFonts w:ascii="Arial" w:cs="Arial" w:eastAsia="Arial" w:hAnsi="Arial"/>
                <w:sz w:val="18"/>
                <w:szCs w:val="18"/>
                <w:color w:val="auto"/>
                <w:w w:val="97"/>
              </w:rPr>
              <w:t>All outstanding liabilities prior to 2009, net of reinsurance</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4500" w:type="dxa"/>
            <w:vAlign w:val="bottom"/>
            <w:gridSpan w:val="2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60" w:type="dxa"/>
            <w:vAlign w:val="bottom"/>
            <w:gridSpan w:val="29"/>
            <w:shd w:val="clear" w:color="auto" w:fill="CCEEFF"/>
          </w:tcPr>
          <w:p>
            <w:pPr>
              <w:jc w:val="right"/>
              <w:ind w:right="60"/>
              <w:spacing w:after="0"/>
              <w:rPr>
                <w:sz w:val="20"/>
                <w:szCs w:val="20"/>
                <w:color w:val="auto"/>
              </w:rPr>
            </w:pPr>
            <w:r>
              <w:rPr>
                <w:rFonts w:ascii="Arial" w:cs="Arial" w:eastAsia="Arial" w:hAnsi="Arial"/>
                <w:sz w:val="18"/>
                <w:szCs w:val="18"/>
                <w:color w:val="auto"/>
                <w:w w:val="95"/>
              </w:rPr>
              <w:t>Liabilities for Unpaid Losses and Loss Adjustment Expenses, net of reinsurance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40,390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89" w:name="page90"/>
    <w:bookmarkEnd w:id="89"/>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Home and</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920" w:type="dxa"/>
            <w:vAlign w:val="bottom"/>
            <w:gridSpan w:val="31"/>
          </w:tcPr>
          <w:p>
            <w:pPr>
              <w:jc w:val="right"/>
              <w:ind w:right="700"/>
              <w:spacing w:after="0"/>
              <w:rPr>
                <w:sz w:val="20"/>
                <w:szCs w:val="20"/>
                <w:color w:val="auto"/>
              </w:rPr>
            </w:pPr>
            <w:r>
              <w:rPr>
                <w:rFonts w:ascii="Arial" w:cs="Arial" w:eastAsia="Arial" w:hAnsi="Arial"/>
                <w:sz w:val="18"/>
                <w:szCs w:val="18"/>
                <w:b w:val="1"/>
                <w:bCs w:val="1"/>
                <w:color w:val="auto"/>
                <w:w w:val="91"/>
              </w:rPr>
              <w:t>Incurred Claims and Allocated Claim Adjustment Expenses, Net of Reinsurance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Farm</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gridSpan w:val="14"/>
          </w:tcPr>
          <w:p>
            <w:pPr>
              <w:jc w:val="right"/>
              <w:ind w:right="120"/>
              <w:spacing w:after="0"/>
              <w:rPr>
                <w:sz w:val="20"/>
                <w:szCs w:val="20"/>
                <w:color w:val="auto"/>
              </w:rPr>
            </w:pPr>
            <w:r>
              <w:rPr>
                <w:rFonts w:ascii="Arial" w:cs="Arial" w:eastAsia="Arial" w:hAnsi="Arial"/>
                <w:sz w:val="18"/>
                <w:szCs w:val="18"/>
                <w:b w:val="1"/>
                <w:bCs w:val="1"/>
                <w:color w:val="auto"/>
                <w:w w:val="91"/>
              </w:rPr>
              <w:t>For the Year Ended December 31,</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12"/>
          </w:tcPr>
          <w:p>
            <w:pPr>
              <w:ind w:left="240"/>
              <w:spacing w:after="0"/>
              <w:rPr>
                <w:sz w:val="20"/>
                <w:szCs w:val="20"/>
                <w:color w:val="auto"/>
              </w:rPr>
            </w:pPr>
            <w:r>
              <w:rPr>
                <w:rFonts w:ascii="Arial" w:cs="Arial" w:eastAsia="Arial" w:hAnsi="Arial"/>
                <w:sz w:val="18"/>
                <w:szCs w:val="18"/>
                <w:b w:val="1"/>
                <w:bCs w:val="1"/>
                <w:color w:val="auto"/>
              </w:rPr>
              <w:t>At 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9"/>
          </w:tcPr>
          <w:p>
            <w:pPr>
              <w:jc w:val="right"/>
              <w:ind w:right="90"/>
              <w:spacing w:after="0"/>
              <w:rPr>
                <w:sz w:val="20"/>
                <w:szCs w:val="20"/>
                <w:color w:val="auto"/>
              </w:rPr>
            </w:pPr>
            <w:r>
              <w:rPr>
                <w:rFonts w:ascii="Arial" w:cs="Arial" w:eastAsia="Arial" w:hAnsi="Arial"/>
                <w:sz w:val="18"/>
                <w:szCs w:val="18"/>
                <w:b w:val="1"/>
                <w:bCs w:val="1"/>
                <w:color w:val="auto"/>
              </w:rPr>
              <w:t>(prior years unaudited)</w:t>
            </w:r>
          </w:p>
        </w:tc>
        <w:tc>
          <w:tcPr>
            <w:tcW w:w="4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gridSpan w:val="6"/>
            <w:vMerge w:val="restart"/>
          </w:tcPr>
          <w:p>
            <w:pPr>
              <w:jc w:val="center"/>
              <w:ind w:right="180"/>
              <w:spacing w:after="0"/>
              <w:rPr>
                <w:sz w:val="20"/>
                <w:szCs w:val="20"/>
                <w:color w:val="auto"/>
              </w:rPr>
            </w:pPr>
            <w:r>
              <w:rPr>
                <w:rFonts w:ascii="Arial" w:cs="Arial" w:eastAsia="Arial" w:hAnsi="Arial"/>
                <w:sz w:val="18"/>
                <w:szCs w:val="18"/>
                <w:b w:val="1"/>
                <w:bCs w:val="1"/>
                <w:color w:val="auto"/>
                <w:w w:val="95"/>
              </w:rPr>
              <w:t>Total IBNR</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7"/>
              </w:rPr>
              <w:t>Plus Expected</w:t>
            </w:r>
          </w:p>
        </w:tc>
        <w:tc>
          <w:tcPr>
            <w:tcW w:w="100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Development</w:t>
            </w:r>
          </w:p>
        </w:tc>
        <w:tc>
          <w:tcPr>
            <w:tcW w:w="20" w:type="dxa"/>
            <w:vAlign w:val="bottom"/>
          </w:tcPr>
          <w:p>
            <w:pPr>
              <w:spacing w:after="0"/>
              <w:rPr>
                <w:sz w:val="18"/>
                <w:szCs w:val="18"/>
                <w:color w:val="auto"/>
              </w:rPr>
            </w:pPr>
          </w:p>
        </w:tc>
        <w:tc>
          <w:tcPr>
            <w:tcW w:w="9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Accident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on Reported</w:t>
            </w:r>
          </w:p>
        </w:tc>
        <w:tc>
          <w:tcPr>
            <w:tcW w:w="20" w:type="dxa"/>
            <w:vAlign w:val="bottom"/>
          </w:tcPr>
          <w:p>
            <w:pPr>
              <w:spacing w:after="0"/>
              <w:rPr>
                <w:sz w:val="18"/>
                <w:szCs w:val="18"/>
                <w:color w:val="auto"/>
              </w:rPr>
            </w:pPr>
          </w:p>
        </w:tc>
        <w:tc>
          <w:tcPr>
            <w:tcW w:w="980" w:type="dxa"/>
            <w:vAlign w:val="bottom"/>
            <w:gridSpan w:val="5"/>
          </w:tcPr>
          <w:p>
            <w:pPr>
              <w:ind w:left="60"/>
              <w:spacing w:after="0"/>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6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7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2011</w:t>
            </w:r>
          </w:p>
        </w:tc>
        <w:tc>
          <w:tcPr>
            <w:tcW w:w="7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7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8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620" w:type="dxa"/>
            <w:vAlign w:val="bottom"/>
            <w:gridSpan w:val="3"/>
          </w:tcPr>
          <w:p>
            <w:pPr>
              <w:ind w:left="220"/>
              <w:spacing w:after="0"/>
              <w:rPr>
                <w:sz w:val="20"/>
                <w:szCs w:val="20"/>
                <w:color w:val="auto"/>
              </w:rPr>
            </w:pPr>
            <w:r>
              <w:rPr>
                <w:rFonts w:ascii="Arial" w:cs="Arial" w:eastAsia="Arial" w:hAnsi="Arial"/>
                <w:sz w:val="18"/>
                <w:szCs w:val="18"/>
                <w:b w:val="1"/>
                <w:bCs w:val="1"/>
                <w:color w:val="auto"/>
                <w:w w:val="94"/>
              </w:rPr>
              <w:t>2015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1"/>
              </w:rPr>
              <w:t>Claims</w:t>
            </w:r>
          </w:p>
        </w:tc>
        <w:tc>
          <w:tcPr>
            <w:tcW w:w="20" w:type="dxa"/>
            <w:vAlign w:val="bottom"/>
          </w:tcPr>
          <w:p>
            <w:pPr>
              <w:spacing w:after="0"/>
              <w:rPr>
                <w:sz w:val="20"/>
                <w:szCs w:val="20"/>
                <w:color w:val="auto"/>
              </w:rPr>
            </w:pPr>
          </w:p>
        </w:tc>
        <w:tc>
          <w:tcPr>
            <w:tcW w:w="980" w:type="dxa"/>
            <w:vAlign w:val="bottom"/>
            <w:gridSpan w:val="5"/>
          </w:tcPr>
          <w:p>
            <w:pPr>
              <w:ind w:left="160"/>
              <w:spacing w:after="0"/>
              <w:rPr>
                <w:sz w:val="20"/>
                <w:szCs w:val="20"/>
                <w:color w:val="auto"/>
              </w:rPr>
            </w:pPr>
            <w:r>
              <w:rPr>
                <w:rFonts w:ascii="Arial" w:cs="Arial" w:eastAsia="Arial" w:hAnsi="Arial"/>
                <w:sz w:val="18"/>
                <w:szCs w:val="18"/>
                <w:b w:val="1"/>
                <w:bCs w:val="1"/>
                <w:color w:val="auto"/>
              </w:rPr>
              <w:t>Claims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1"/>
              </w:rPr>
              <w:t>(in thousands, except claim</w:t>
            </w:r>
          </w:p>
        </w:tc>
        <w:tc>
          <w:tcPr>
            <w:tcW w:w="7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counts)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$ 16,584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$ 15,797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$ 15,657</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$ 15,577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$ 16,065</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$ 16,074</w:t>
            </w: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6"/>
              </w:rPr>
              <w:t>$ 16,001</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$ 16,001</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$ 16,001</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16,002</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23,477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23,007</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22,454</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22,209</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22,198</w:t>
            </w:r>
          </w:p>
        </w:tc>
        <w:tc>
          <w:tcPr>
            <w:tcW w:w="720" w:type="dxa"/>
            <w:vAlign w:val="bottom"/>
            <w:gridSpan w:val="5"/>
          </w:tcPr>
          <w:p>
            <w:pPr>
              <w:ind w:left="220"/>
              <w:spacing w:after="0"/>
              <w:rPr>
                <w:sz w:val="20"/>
                <w:szCs w:val="20"/>
                <w:color w:val="auto"/>
              </w:rPr>
            </w:pPr>
            <w:r>
              <w:rPr>
                <w:rFonts w:ascii="Arial" w:cs="Arial" w:eastAsia="Arial" w:hAnsi="Arial"/>
                <w:sz w:val="18"/>
                <w:szCs w:val="18"/>
                <w:color w:val="auto"/>
                <w:w w:val="87"/>
              </w:rPr>
              <w:t>22,202</w:t>
            </w: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22,190</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22,190</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22,190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5,348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31,948</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32,104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32,113</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31,771</w:t>
            </w:r>
          </w:p>
        </w:tc>
        <w:tc>
          <w:tcPr>
            <w:tcW w:w="7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w w:val="87"/>
              </w:rPr>
              <w:t>31,684</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31,388</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31,306</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31,313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25,179</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24,439</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24,320</w:t>
            </w:r>
          </w:p>
        </w:tc>
        <w:tc>
          <w:tcPr>
            <w:tcW w:w="720" w:type="dxa"/>
            <w:vAlign w:val="bottom"/>
            <w:gridSpan w:val="5"/>
          </w:tcPr>
          <w:p>
            <w:pPr>
              <w:ind w:left="220"/>
              <w:spacing w:after="0"/>
              <w:rPr>
                <w:sz w:val="20"/>
                <w:szCs w:val="20"/>
                <w:color w:val="auto"/>
              </w:rPr>
            </w:pPr>
            <w:r>
              <w:rPr>
                <w:rFonts w:ascii="Arial" w:cs="Arial" w:eastAsia="Arial" w:hAnsi="Arial"/>
                <w:sz w:val="18"/>
                <w:szCs w:val="18"/>
                <w:color w:val="auto"/>
                <w:w w:val="87"/>
              </w:rPr>
              <w:t>24,091</w:t>
            </w: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24,081</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24,079</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24,088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29,976</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29,217</w:t>
            </w:r>
          </w:p>
        </w:tc>
        <w:tc>
          <w:tcPr>
            <w:tcW w:w="7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w w:val="87"/>
              </w:rPr>
              <w:t>28,531</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28,315</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28,286</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28,315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36,663</w:t>
            </w:r>
          </w:p>
        </w:tc>
        <w:tc>
          <w:tcPr>
            <w:tcW w:w="720" w:type="dxa"/>
            <w:vAlign w:val="bottom"/>
            <w:gridSpan w:val="5"/>
          </w:tcPr>
          <w:p>
            <w:pPr>
              <w:ind w:left="220"/>
              <w:spacing w:after="0"/>
              <w:rPr>
                <w:sz w:val="20"/>
                <w:szCs w:val="20"/>
                <w:color w:val="auto"/>
              </w:rPr>
            </w:pPr>
            <w:r>
              <w:rPr>
                <w:rFonts w:ascii="Arial" w:cs="Arial" w:eastAsia="Arial" w:hAnsi="Arial"/>
                <w:sz w:val="18"/>
                <w:szCs w:val="18"/>
                <w:color w:val="auto"/>
                <w:w w:val="87"/>
              </w:rPr>
              <w:t>36,001</w:t>
            </w: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35,770</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35,589</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35,684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w w:val="87"/>
              </w:rPr>
              <w:t>32,789</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31,818</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31,297</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31,577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45,825</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44,510</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44,945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42,110</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41,593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42,515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$ 318,222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Home and</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gridSpan w:val="33"/>
          </w:tcPr>
          <w:p>
            <w:pPr>
              <w:ind w:left="40"/>
              <w:spacing w:after="0"/>
              <w:rPr>
                <w:sz w:val="20"/>
                <w:szCs w:val="20"/>
                <w:color w:val="auto"/>
              </w:rPr>
            </w:pPr>
            <w:r>
              <w:rPr>
                <w:rFonts w:ascii="Arial" w:cs="Arial" w:eastAsia="Arial" w:hAnsi="Arial"/>
                <w:sz w:val="18"/>
                <w:szCs w:val="18"/>
                <w:b w:val="1"/>
                <w:bCs w:val="1"/>
                <w:color w:val="auto"/>
                <w:w w:val="93"/>
              </w:rPr>
              <w:t>Paid Claims and Allocated Claim Adjustment Expenses, Net of Reinsurance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Farm</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17"/>
          </w:tcPr>
          <w:p>
            <w:pPr>
              <w:ind w:left="60"/>
              <w:spacing w:after="0"/>
              <w:rPr>
                <w:sz w:val="20"/>
                <w:szCs w:val="20"/>
                <w:color w:val="auto"/>
              </w:rPr>
            </w:pPr>
            <w:r>
              <w:rPr>
                <w:rFonts w:ascii="Arial" w:cs="Arial" w:eastAsia="Arial" w:hAnsi="Arial"/>
                <w:sz w:val="18"/>
                <w:szCs w:val="18"/>
                <w:b w:val="1"/>
                <w:bCs w:val="1"/>
                <w:color w:val="auto"/>
              </w:rPr>
              <w:t>For the Year Ended December 31,</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Accident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11"/>
          </w:tcPr>
          <w:p>
            <w:pPr>
              <w:ind w:left="20"/>
              <w:spacing w:after="0"/>
              <w:rPr>
                <w:sz w:val="20"/>
                <w:szCs w:val="20"/>
                <w:color w:val="auto"/>
              </w:rPr>
            </w:pPr>
            <w:r>
              <w:rPr>
                <w:rFonts w:ascii="Arial" w:cs="Arial" w:eastAsia="Arial" w:hAnsi="Arial"/>
                <w:sz w:val="18"/>
                <w:szCs w:val="18"/>
                <w:b w:val="1"/>
                <w:bCs w:val="1"/>
                <w:color w:val="auto"/>
              </w:rPr>
              <w:t>(prior years unaudited)</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3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40" w:type="dxa"/>
            <w:vAlign w:val="bottom"/>
          </w:tcPr>
          <w:p>
            <w:pPr>
              <w:spacing w:after="0"/>
              <w:rPr>
                <w:sz w:val="20"/>
                <w:szCs w:val="20"/>
                <w:color w:val="auto"/>
              </w:rPr>
            </w:pPr>
          </w:p>
        </w:tc>
        <w:tc>
          <w:tcPr>
            <w:tcW w:w="7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2016</w:t>
            </w:r>
          </w:p>
        </w:tc>
        <w:tc>
          <w:tcPr>
            <w:tcW w:w="12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$ 12,657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$ 14,654</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$ 14,904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$ 15,436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$ 15,935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2"/>
              </w:rPr>
              <w:t>$ 15,960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$ 16,000</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2"/>
              </w:rPr>
              <w:t>$ 16,001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$ 16,001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19,902</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21,940</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21,955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22,068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10"/>
              <w:spacing w:after="0"/>
              <w:rPr>
                <w:sz w:val="20"/>
                <w:szCs w:val="20"/>
                <w:color w:val="auto"/>
              </w:rPr>
            </w:pPr>
            <w:r>
              <w:rPr>
                <w:rFonts w:ascii="Arial" w:cs="Arial" w:eastAsia="Arial" w:hAnsi="Arial"/>
                <w:sz w:val="18"/>
                <w:szCs w:val="18"/>
                <w:color w:val="auto"/>
                <w:w w:val="90"/>
              </w:rPr>
              <w:t>22,117</w:t>
            </w:r>
          </w:p>
        </w:tc>
        <w:tc>
          <w:tcPr>
            <w:tcW w:w="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22,154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22,190</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22,190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29,399</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33,019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31,126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90"/>
              </w:rPr>
              <w:t>31,460</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31,702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31,277</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31,304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21,761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23,863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10"/>
              <w:spacing w:after="0"/>
              <w:rPr>
                <w:sz w:val="20"/>
                <w:szCs w:val="20"/>
                <w:color w:val="auto"/>
              </w:rPr>
            </w:pPr>
            <w:r>
              <w:rPr>
                <w:rFonts w:ascii="Arial" w:cs="Arial" w:eastAsia="Arial" w:hAnsi="Arial"/>
                <w:sz w:val="18"/>
                <w:szCs w:val="18"/>
                <w:color w:val="auto"/>
                <w:w w:val="90"/>
              </w:rPr>
              <w:t>24,029</w:t>
            </w:r>
          </w:p>
        </w:tc>
        <w:tc>
          <w:tcPr>
            <w:tcW w:w="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24,168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24,075</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24,076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24,087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23,354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90"/>
              </w:rPr>
              <w:t>26,934</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27,183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27,221</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27,456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10"/>
              <w:spacing w:after="0"/>
              <w:rPr>
                <w:sz w:val="20"/>
                <w:szCs w:val="20"/>
                <w:color w:val="auto"/>
              </w:rPr>
            </w:pPr>
            <w:r>
              <w:rPr>
                <w:rFonts w:ascii="Arial" w:cs="Arial" w:eastAsia="Arial" w:hAnsi="Arial"/>
                <w:sz w:val="18"/>
                <w:szCs w:val="18"/>
                <w:color w:val="auto"/>
                <w:w w:val="90"/>
              </w:rPr>
              <w:t>32,207</w:t>
            </w:r>
          </w:p>
        </w:tc>
        <w:tc>
          <w:tcPr>
            <w:tcW w:w="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35,199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35,219</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35,371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35,481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27,204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30,164</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30,350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37,656</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44,942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44,270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34,657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37,881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308,220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gridSpan w:val="26"/>
            <w:vMerge w:val="restart"/>
          </w:tcPr>
          <w:p>
            <w:pPr>
              <w:jc w:val="right"/>
              <w:ind w:right="20"/>
              <w:spacing w:after="0"/>
              <w:rPr>
                <w:sz w:val="20"/>
                <w:szCs w:val="20"/>
                <w:color w:val="auto"/>
              </w:rPr>
            </w:pPr>
            <w:r>
              <w:rPr>
                <w:rFonts w:ascii="Arial" w:cs="Arial" w:eastAsia="Arial" w:hAnsi="Arial"/>
                <w:sz w:val="18"/>
                <w:szCs w:val="18"/>
                <w:color w:val="auto"/>
                <w:w w:val="99"/>
              </w:rPr>
              <w:t>All outstanding liabilities prior to 2009, net of reinsurance</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26"/>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120" w:type="dxa"/>
            <w:vAlign w:val="bottom"/>
            <w:gridSpan w:val="33"/>
            <w:shd w:val="clear" w:color="auto" w:fill="CCEEFF"/>
          </w:tcPr>
          <w:p>
            <w:pPr>
              <w:jc w:val="right"/>
              <w:ind w:right="20"/>
              <w:spacing w:after="0"/>
              <w:rPr>
                <w:sz w:val="20"/>
                <w:szCs w:val="20"/>
                <w:color w:val="auto"/>
              </w:rPr>
            </w:pPr>
            <w:r>
              <w:rPr>
                <w:rFonts w:ascii="Arial" w:cs="Arial" w:eastAsia="Arial" w:hAnsi="Arial"/>
                <w:sz w:val="18"/>
                <w:szCs w:val="18"/>
                <w:color w:val="auto"/>
                <w:w w:val="95"/>
              </w:rPr>
              <w:t>Liabilities for Unpaid Losses and Loss Adjustment Expenses, net of reinsurance</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w:t>
            </w: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90" w:name="page91"/>
    <w:bookmarkEnd w:id="90"/>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40" w:type="dxa"/>
            <w:vAlign w:val="bottom"/>
            <w:gridSpan w:val="35"/>
          </w:tcPr>
          <w:p>
            <w:pPr>
              <w:jc w:val="center"/>
              <w:ind w:right="740"/>
              <w:spacing w:after="0"/>
              <w:rPr>
                <w:sz w:val="20"/>
                <w:szCs w:val="20"/>
                <w:color w:val="auto"/>
              </w:rPr>
            </w:pPr>
            <w:r>
              <w:rPr>
                <w:rFonts w:ascii="Arial" w:cs="Arial" w:eastAsia="Arial" w:hAnsi="Arial"/>
                <w:sz w:val="18"/>
                <w:szCs w:val="18"/>
                <w:b w:val="1"/>
                <w:bCs w:val="1"/>
                <w:color w:val="auto"/>
                <w:w w:val="90"/>
              </w:rPr>
              <w:t>Incurred Claims and Allocated Claim Adjustment Expenses, Net of Reinsurance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Crop</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20"/>
          </w:tcPr>
          <w:p>
            <w:pPr>
              <w:jc w:val="center"/>
              <w:ind w:left="50"/>
              <w:spacing w:after="0"/>
              <w:rPr>
                <w:sz w:val="20"/>
                <w:szCs w:val="20"/>
                <w:color w:val="auto"/>
              </w:rPr>
            </w:pPr>
            <w:r>
              <w:rPr>
                <w:rFonts w:ascii="Arial" w:cs="Arial" w:eastAsia="Arial" w:hAnsi="Arial"/>
                <w:sz w:val="18"/>
                <w:szCs w:val="18"/>
                <w:b w:val="1"/>
                <w:bCs w:val="1"/>
                <w:color w:val="auto"/>
                <w:w w:val="90"/>
              </w:rPr>
              <w:t>For the Year Ended December 31,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12"/>
          </w:tcPr>
          <w:p>
            <w:pPr>
              <w:ind w:left="260"/>
              <w:spacing w:after="0"/>
              <w:rPr>
                <w:sz w:val="20"/>
                <w:szCs w:val="20"/>
                <w:color w:val="auto"/>
              </w:rPr>
            </w:pPr>
            <w:r>
              <w:rPr>
                <w:rFonts w:ascii="Arial" w:cs="Arial" w:eastAsia="Arial" w:hAnsi="Arial"/>
                <w:sz w:val="18"/>
                <w:szCs w:val="18"/>
                <w:b w:val="1"/>
                <w:bCs w:val="1"/>
                <w:color w:val="auto"/>
              </w:rPr>
              <w:t>At 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10"/>
          </w:tcPr>
          <w:p>
            <w:pPr>
              <w:jc w:val="right"/>
              <w:ind w:right="70"/>
              <w:spacing w:after="0"/>
              <w:rPr>
                <w:sz w:val="20"/>
                <w:szCs w:val="20"/>
                <w:color w:val="auto"/>
              </w:rPr>
            </w:pPr>
            <w:r>
              <w:rPr>
                <w:rFonts w:ascii="Arial" w:cs="Arial" w:eastAsia="Arial" w:hAnsi="Arial"/>
                <w:sz w:val="18"/>
                <w:szCs w:val="18"/>
                <w:b w:val="1"/>
                <w:bCs w:val="1"/>
                <w:color w:val="auto"/>
              </w:rPr>
              <w:t>(prior years unaudited)</w:t>
            </w: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Borders>
              <w:top w:val="single" w:sz="8" w:color="auto"/>
              <w:bottom w:val="single" w:sz="8" w:color="auto"/>
            </w:tcBorders>
            <w:gridSpan w:val="7"/>
            <w:vMerge w:val="restart"/>
          </w:tcPr>
          <w:p>
            <w:pPr>
              <w:jc w:val="center"/>
              <w:ind w:right="280"/>
              <w:spacing w:after="0"/>
              <w:rPr>
                <w:sz w:val="20"/>
                <w:szCs w:val="20"/>
                <w:color w:val="auto"/>
              </w:rPr>
            </w:pPr>
            <w:r>
              <w:rPr>
                <w:rFonts w:ascii="Arial" w:cs="Arial" w:eastAsia="Arial" w:hAnsi="Arial"/>
                <w:sz w:val="18"/>
                <w:szCs w:val="18"/>
                <w:b w:val="1"/>
                <w:bCs w:val="1"/>
                <w:color w:val="auto"/>
                <w:w w:val="97"/>
              </w:rPr>
              <w:t>Total IBNR</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7"/>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12"/>
          </w:tcPr>
          <w:p>
            <w:pPr>
              <w:spacing w:after="0"/>
              <w:rPr>
                <w:sz w:val="20"/>
                <w:szCs w:val="20"/>
                <w:color w:val="auto"/>
              </w:rPr>
            </w:pPr>
            <w:r>
              <w:rPr>
                <w:rFonts w:ascii="Arial" w:cs="Arial" w:eastAsia="Arial" w:hAnsi="Arial"/>
                <w:sz w:val="18"/>
                <w:szCs w:val="18"/>
                <w:b w:val="1"/>
                <w:bCs w:val="1"/>
                <w:color w:val="auto"/>
                <w:w w:val="99"/>
              </w:rPr>
              <w:t>Plus Expected  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0"/>
              </w:rPr>
              <w:t>Development</w:t>
            </w:r>
          </w:p>
        </w:tc>
        <w:tc>
          <w:tcPr>
            <w:tcW w:w="10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Accident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8"/>
              </w:rPr>
              <w:t>on Reported</w:t>
            </w:r>
          </w:p>
        </w:tc>
        <w:tc>
          <w:tcPr>
            <w:tcW w:w="10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7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1"/>
              </w:rPr>
              <w:t>Claims</w:t>
            </w:r>
          </w:p>
        </w:tc>
        <w:tc>
          <w:tcPr>
            <w:tcW w:w="10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89"/>
              </w:rPr>
              <w:t>(in thousands, except claim</w:t>
            </w:r>
          </w:p>
        </w:tc>
        <w:tc>
          <w:tcPr>
            <w:tcW w:w="7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counts)</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2"/>
              </w:rPr>
              <w:t>$ 17,517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$ 15,450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$ 15,450</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$ 15,450</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$ 15,450</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$ 15,450</w:t>
            </w:r>
          </w:p>
        </w:tc>
        <w:tc>
          <w:tcPr>
            <w:tcW w:w="8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$ 15,450</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$ 15,450</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9"/>
              </w:rPr>
              <w:t>$ 15,450</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15,450</w:t>
            </w: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20,742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20,717</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20,717</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20,717</w:t>
            </w:r>
          </w:p>
        </w:tc>
        <w:tc>
          <w:tcPr>
            <w:tcW w:w="800" w:type="dxa"/>
            <w:vAlign w:val="bottom"/>
            <w:gridSpan w:val="6"/>
          </w:tcPr>
          <w:p>
            <w:pPr>
              <w:jc w:val="right"/>
              <w:ind w:right="20"/>
              <w:spacing w:after="0"/>
              <w:rPr>
                <w:sz w:val="20"/>
                <w:szCs w:val="20"/>
                <w:color w:val="auto"/>
              </w:rPr>
            </w:pPr>
            <w:r>
              <w:rPr>
                <w:rFonts w:ascii="Arial" w:cs="Arial" w:eastAsia="Arial" w:hAnsi="Arial"/>
                <w:sz w:val="18"/>
                <w:szCs w:val="18"/>
                <w:color w:val="auto"/>
              </w:rPr>
              <w:t>20,717</w:t>
            </w:r>
          </w:p>
        </w:tc>
        <w:tc>
          <w:tcPr>
            <w:tcW w:w="800" w:type="dxa"/>
            <w:vAlign w:val="bottom"/>
            <w:gridSpan w:val="6"/>
          </w:tcPr>
          <w:p>
            <w:pPr>
              <w:jc w:val="right"/>
              <w:ind w:right="60"/>
              <w:spacing w:after="0"/>
              <w:rPr>
                <w:sz w:val="20"/>
                <w:szCs w:val="20"/>
                <w:color w:val="auto"/>
              </w:rPr>
            </w:pPr>
            <w:r>
              <w:rPr>
                <w:rFonts w:ascii="Arial" w:cs="Arial" w:eastAsia="Arial" w:hAnsi="Arial"/>
                <w:sz w:val="18"/>
                <w:szCs w:val="18"/>
                <w:color w:val="auto"/>
              </w:rPr>
              <w:t>20,717</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20,717</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20,717</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20,717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55,094</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54,953</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59,651</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59,651</w:t>
            </w:r>
          </w:p>
        </w:tc>
        <w:tc>
          <w:tcPr>
            <w:tcW w:w="8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59,651</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59,651</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59,651</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59,651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13,546</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13,676</w:t>
            </w:r>
          </w:p>
        </w:tc>
        <w:tc>
          <w:tcPr>
            <w:tcW w:w="800" w:type="dxa"/>
            <w:vAlign w:val="bottom"/>
            <w:gridSpan w:val="6"/>
          </w:tcPr>
          <w:p>
            <w:pPr>
              <w:jc w:val="right"/>
              <w:ind w:right="20"/>
              <w:spacing w:after="0"/>
              <w:rPr>
                <w:sz w:val="20"/>
                <w:szCs w:val="20"/>
                <w:color w:val="auto"/>
              </w:rPr>
            </w:pPr>
            <w:r>
              <w:rPr>
                <w:rFonts w:ascii="Arial" w:cs="Arial" w:eastAsia="Arial" w:hAnsi="Arial"/>
                <w:sz w:val="18"/>
                <w:szCs w:val="18"/>
                <w:color w:val="auto"/>
              </w:rPr>
              <w:t>13,673</w:t>
            </w:r>
          </w:p>
        </w:tc>
        <w:tc>
          <w:tcPr>
            <w:tcW w:w="800" w:type="dxa"/>
            <w:vAlign w:val="bottom"/>
            <w:gridSpan w:val="6"/>
          </w:tcPr>
          <w:p>
            <w:pPr>
              <w:jc w:val="right"/>
              <w:ind w:right="60"/>
              <w:spacing w:after="0"/>
              <w:rPr>
                <w:sz w:val="20"/>
                <w:szCs w:val="20"/>
                <w:color w:val="auto"/>
              </w:rPr>
            </w:pPr>
            <w:r>
              <w:rPr>
                <w:rFonts w:ascii="Arial" w:cs="Arial" w:eastAsia="Arial" w:hAnsi="Arial"/>
                <w:sz w:val="18"/>
                <w:szCs w:val="18"/>
                <w:color w:val="auto"/>
              </w:rPr>
              <w:t>13,673</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13,673</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13,673</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13,673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40,976</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39,665</w:t>
            </w:r>
          </w:p>
        </w:tc>
        <w:tc>
          <w:tcPr>
            <w:tcW w:w="8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39,665</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39,665</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39,665</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39,665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6"/>
          </w:tcPr>
          <w:p>
            <w:pPr>
              <w:jc w:val="right"/>
              <w:ind w:right="20"/>
              <w:spacing w:after="0"/>
              <w:rPr>
                <w:sz w:val="20"/>
                <w:szCs w:val="20"/>
                <w:color w:val="auto"/>
              </w:rPr>
            </w:pPr>
            <w:r>
              <w:rPr>
                <w:rFonts w:ascii="Arial" w:cs="Arial" w:eastAsia="Arial" w:hAnsi="Arial"/>
                <w:sz w:val="18"/>
                <w:szCs w:val="18"/>
                <w:color w:val="auto"/>
              </w:rPr>
              <w:t>22,686</w:t>
            </w:r>
          </w:p>
        </w:tc>
        <w:tc>
          <w:tcPr>
            <w:tcW w:w="800" w:type="dxa"/>
            <w:vAlign w:val="bottom"/>
            <w:gridSpan w:val="6"/>
          </w:tcPr>
          <w:p>
            <w:pPr>
              <w:jc w:val="right"/>
              <w:ind w:right="60"/>
              <w:spacing w:after="0"/>
              <w:rPr>
                <w:sz w:val="20"/>
                <w:szCs w:val="20"/>
                <w:color w:val="auto"/>
              </w:rPr>
            </w:pPr>
            <w:r>
              <w:rPr>
                <w:rFonts w:ascii="Arial" w:cs="Arial" w:eastAsia="Arial" w:hAnsi="Arial"/>
                <w:sz w:val="18"/>
                <w:szCs w:val="18"/>
                <w:color w:val="auto"/>
              </w:rPr>
              <w:t>20,333</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20,333</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20,333</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20,333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13,813</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13,849</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13,849</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13,849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20,209</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19,582</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19,487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33,733</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34,181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12,506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ind w:left="34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$ 249,512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60" w:type="dxa"/>
            <w:vAlign w:val="bottom"/>
            <w:gridSpan w:val="37"/>
          </w:tcPr>
          <w:p>
            <w:pPr>
              <w:ind w:left="80"/>
              <w:spacing w:after="0"/>
              <w:rPr>
                <w:sz w:val="20"/>
                <w:szCs w:val="20"/>
                <w:color w:val="auto"/>
              </w:rPr>
            </w:pPr>
            <w:r>
              <w:rPr>
                <w:rFonts w:ascii="Arial" w:cs="Arial" w:eastAsia="Arial" w:hAnsi="Arial"/>
                <w:sz w:val="18"/>
                <w:szCs w:val="18"/>
                <w:b w:val="1"/>
                <w:bCs w:val="1"/>
                <w:color w:val="auto"/>
                <w:w w:val="93"/>
              </w:rPr>
              <w:t>Paid Claims and Allocated Claim Adjustment Expenses, Net of Reinsurance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Crop</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17"/>
          </w:tcPr>
          <w:p>
            <w:pPr>
              <w:jc w:val="right"/>
              <w:ind w:right="380"/>
              <w:spacing w:after="0"/>
              <w:rPr>
                <w:sz w:val="20"/>
                <w:szCs w:val="20"/>
                <w:color w:val="auto"/>
              </w:rPr>
            </w:pPr>
            <w:r>
              <w:rPr>
                <w:rFonts w:ascii="Arial" w:cs="Arial" w:eastAsia="Arial" w:hAnsi="Arial"/>
                <w:sz w:val="18"/>
                <w:szCs w:val="18"/>
                <w:b w:val="1"/>
                <w:bCs w:val="1"/>
                <w:color w:val="auto"/>
                <w:w w:val="91"/>
              </w:rPr>
              <w:t>For the Year Ended December 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60" w:type="dxa"/>
            <w:vAlign w:val="bottom"/>
            <w:gridSpan w:val="16"/>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Accident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16"/>
          </w:tcPr>
          <w:p>
            <w:pPr>
              <w:ind w:left="120"/>
              <w:spacing w:after="0"/>
              <w:rPr>
                <w:sz w:val="20"/>
                <w:szCs w:val="20"/>
                <w:color w:val="auto"/>
              </w:rPr>
            </w:pPr>
            <w:r>
              <w:rPr>
                <w:rFonts w:ascii="Arial" w:cs="Arial" w:eastAsia="Arial" w:hAnsi="Arial"/>
                <w:sz w:val="18"/>
                <w:szCs w:val="18"/>
                <w:b w:val="1"/>
                <w:bCs w:val="1"/>
                <w:color w:val="auto"/>
              </w:rPr>
              <w:t>(prior years unaudited)</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2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4"/>
              </w:rPr>
              <w:t>2011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2012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2013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$ 13,462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$ 15,450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$ 15,450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5"/>
              </w:rPr>
              <w:t>$ 15,450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2"/>
              </w:rPr>
              <w:t>$ 15,450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$ 15,450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$ 15,450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$ 15,450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$ 15,450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19,678</w:t>
            </w: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20,717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20,717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20,717</w:t>
            </w:r>
          </w:p>
        </w:tc>
        <w:tc>
          <w:tcPr>
            <w:tcW w:w="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20,717</w:t>
            </w: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20,717</w:t>
            </w:r>
          </w:p>
        </w:tc>
        <w:tc>
          <w:tcPr>
            <w:tcW w:w="2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20,717</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20,717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57,741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59,651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59,651</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59,651</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59,651</w:t>
            </w: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59,651</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59,651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13,078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13,673</w:t>
            </w:r>
          </w:p>
        </w:tc>
        <w:tc>
          <w:tcPr>
            <w:tcW w:w="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13,673</w:t>
            </w: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13,673</w:t>
            </w:r>
          </w:p>
        </w:tc>
        <w:tc>
          <w:tcPr>
            <w:tcW w:w="2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13,673</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13,673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35,511</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39,665</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39,665</w:t>
            </w: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39,665</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39,665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17,788</w:t>
            </w: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20,333</w:t>
            </w:r>
          </w:p>
        </w:tc>
        <w:tc>
          <w:tcPr>
            <w:tcW w:w="2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20,333</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20,333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12,866</w:t>
            </w: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13,849</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13,849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16,444</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19,487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32,767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10,764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247,770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20" w:type="dxa"/>
            <w:vAlign w:val="bottom"/>
            <w:gridSpan w:val="26"/>
            <w:vMerge w:val="restart"/>
          </w:tcPr>
          <w:p>
            <w:pPr>
              <w:jc w:val="right"/>
              <w:ind w:right="20"/>
              <w:spacing w:after="0"/>
              <w:rPr>
                <w:sz w:val="20"/>
                <w:szCs w:val="20"/>
                <w:color w:val="auto"/>
              </w:rPr>
            </w:pPr>
            <w:r>
              <w:rPr>
                <w:rFonts w:ascii="Arial" w:cs="Arial" w:eastAsia="Arial" w:hAnsi="Arial"/>
                <w:sz w:val="18"/>
                <w:szCs w:val="18"/>
                <w:color w:val="auto"/>
                <w:w w:val="99"/>
              </w:rPr>
              <w:t>All outstanding liabilities prior to 2009, net of reinsurance</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20" w:type="dxa"/>
            <w:vAlign w:val="bottom"/>
            <w:gridSpan w:val="26"/>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60" w:type="dxa"/>
            <w:vAlign w:val="bottom"/>
            <w:gridSpan w:val="37"/>
            <w:shd w:val="clear" w:color="auto" w:fill="CCEEFF"/>
          </w:tcPr>
          <w:p>
            <w:pPr>
              <w:jc w:val="right"/>
              <w:ind w:right="20"/>
              <w:spacing w:after="0"/>
              <w:rPr>
                <w:sz w:val="20"/>
                <w:szCs w:val="20"/>
                <w:color w:val="auto"/>
              </w:rPr>
            </w:pPr>
            <w:r>
              <w:rPr>
                <w:rFonts w:ascii="Arial" w:cs="Arial" w:eastAsia="Arial" w:hAnsi="Arial"/>
                <w:sz w:val="18"/>
                <w:szCs w:val="18"/>
                <w:color w:val="auto"/>
                <w:w w:val="96"/>
              </w:rPr>
              <w:t>Liabilities for Unpaid Losses and Loss Adjustment Expenses, net of reinsurance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88</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91" w:name="page92"/>
    <w:bookmarkEnd w:id="91"/>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presents a reconciliation of the net incurred and paid claims development tables to the liability for unpaid losses and loss adjustment expenses in our Consolidated Balance Sheet: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4260" w:type="dxa"/>
            <w:vAlign w:val="bottom"/>
            <w:gridSpan w:val="4"/>
          </w:tcPr>
          <w:p>
            <w:pPr>
              <w:ind w:left="2700"/>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outstanding liabilities:</w:t>
            </w:r>
          </w:p>
        </w:tc>
        <w:tc>
          <w:tcPr>
            <w:tcW w:w="27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Private passenger auto</w:t>
            </w:r>
          </w:p>
        </w:tc>
        <w:tc>
          <w:tcPr>
            <w:tcW w:w="322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Non-standard auto (Primero)</w:t>
            </w:r>
          </w:p>
        </w:tc>
        <w:tc>
          <w:tcPr>
            <w:tcW w:w="2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Non-standard auto (Direct Auto)</w:t>
            </w:r>
          </w:p>
        </w:tc>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Home and farm</w:t>
            </w:r>
          </w:p>
        </w:tc>
        <w:tc>
          <w:tcPr>
            <w:tcW w:w="2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Crop</w:t>
            </w:r>
          </w:p>
        </w:tc>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 other</w:t>
            </w:r>
          </w:p>
        </w:tc>
        <w:tc>
          <w:tcPr>
            <w:tcW w:w="2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Reinsurance ceded:</w:t>
            </w:r>
          </w:p>
        </w:tc>
        <w:tc>
          <w:tcPr>
            <w:tcW w:w="2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Private passenger auto</w:t>
            </w:r>
          </w:p>
        </w:tc>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Non-standard auto</w:t>
            </w:r>
          </w:p>
        </w:tc>
        <w:tc>
          <w:tcPr>
            <w:tcW w:w="2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Home and farm</w:t>
            </w:r>
          </w:p>
        </w:tc>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Crop</w:t>
            </w:r>
          </w:p>
        </w:tc>
        <w:tc>
          <w:tcPr>
            <w:tcW w:w="2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All other</w:t>
            </w:r>
          </w:p>
        </w:tc>
        <w:tc>
          <w:tcPr>
            <w:tcW w:w="2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Gross liability for unpaid losses and loss adjustment expenses</w:t>
            </w:r>
          </w:p>
        </w:tc>
        <w:tc>
          <w:tcPr>
            <w:tcW w:w="322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required supplementary information about average historical claims duration as of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60" w:type="dxa"/>
            <w:vAlign w:val="bottom"/>
            <w:tcBorders>
              <w:bottom w:val="single" w:sz="8" w:color="auto"/>
            </w:tcBorders>
            <w:gridSpan w:val="16"/>
          </w:tcPr>
          <w:p>
            <w:pPr>
              <w:jc w:val="right"/>
              <w:ind w:right="580"/>
              <w:spacing w:after="0"/>
              <w:rPr>
                <w:sz w:val="20"/>
                <w:szCs w:val="20"/>
                <w:color w:val="auto"/>
              </w:rPr>
            </w:pPr>
            <w:r>
              <w:rPr>
                <w:rFonts w:ascii="Arial" w:cs="Arial" w:eastAsia="Arial" w:hAnsi="Arial"/>
                <w:sz w:val="18"/>
                <w:szCs w:val="18"/>
                <w:b w:val="1"/>
                <w:bCs w:val="1"/>
                <w:color w:val="auto"/>
                <w:w w:val="94"/>
              </w:rPr>
              <w:t>Average Annual Percentage Payout of Incurred Claims by Age, Net of Reinsurance</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242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Years</w:t>
            </w:r>
          </w:p>
        </w:tc>
        <w:tc>
          <w:tcPr>
            <w:tcW w:w="700" w:type="dxa"/>
            <w:vAlign w:val="bottom"/>
          </w:tcPr>
          <w:p>
            <w:pPr>
              <w:ind w:left="320"/>
              <w:spacing w:after="0" w:line="182" w:lineRule="exact"/>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5"/>
                <w:szCs w:val="15"/>
                <w:color w:val="auto"/>
              </w:rPr>
            </w:pPr>
          </w:p>
        </w:tc>
        <w:tc>
          <w:tcPr>
            <w:tcW w:w="70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5"/>
                <w:szCs w:val="15"/>
                <w:color w:val="auto"/>
              </w:rPr>
            </w:pPr>
          </w:p>
        </w:tc>
        <w:tc>
          <w:tcPr>
            <w:tcW w:w="6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5"/>
                <w:szCs w:val="15"/>
                <w:color w:val="auto"/>
              </w:rPr>
            </w:pPr>
          </w:p>
        </w:tc>
        <w:tc>
          <w:tcPr>
            <w:tcW w:w="6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5"/>
                <w:szCs w:val="15"/>
                <w:color w:val="auto"/>
              </w:rPr>
            </w:pPr>
          </w:p>
        </w:tc>
        <w:tc>
          <w:tcPr>
            <w:tcW w:w="6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5"/>
                <w:szCs w:val="15"/>
                <w:color w:val="auto"/>
              </w:rPr>
            </w:pPr>
          </w:p>
        </w:tc>
        <w:tc>
          <w:tcPr>
            <w:tcW w:w="6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5"/>
                <w:szCs w:val="15"/>
                <w:color w:val="auto"/>
              </w:rPr>
            </w:pPr>
          </w:p>
        </w:tc>
        <w:tc>
          <w:tcPr>
            <w:tcW w:w="6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5"/>
                <w:szCs w:val="15"/>
                <w:color w:val="auto"/>
              </w:rPr>
            </w:pPr>
          </w:p>
        </w:tc>
        <w:tc>
          <w:tcPr>
            <w:tcW w:w="68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7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52.9%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Non-Standard Auto</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(Primero)</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80.0%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Non-Standard Auto</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Auto)</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39.9%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Home and Farm</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70.9%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Crop</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93.4%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2" w:name="page93"/>
    <w:bookmarkEnd w:id="92"/>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gridSpan w:val="2"/>
          </w:tcPr>
          <w:p>
            <w:pPr>
              <w:spacing w:after="0"/>
              <w:rPr>
                <w:sz w:val="20"/>
                <w:szCs w:val="20"/>
                <w:color w:val="auto"/>
              </w:rPr>
            </w:pPr>
            <w:r>
              <w:rPr>
                <w:rFonts w:ascii="Arial" w:cs="Arial" w:eastAsia="Arial" w:hAnsi="Arial"/>
                <w:sz w:val="18"/>
                <w:szCs w:val="18"/>
                <w:b w:val="1"/>
                <w:bCs w:val="1"/>
                <w:color w:val="auto"/>
                <w:w w:val="87"/>
              </w:rPr>
              <w:t>11.</w:t>
            </w:r>
          </w:p>
        </w:tc>
        <w:tc>
          <w:tcPr>
            <w:tcW w:w="5480" w:type="dxa"/>
            <w:vAlign w:val="bottom"/>
          </w:tcPr>
          <w:p>
            <w:pPr>
              <w:ind w:left="520"/>
              <w:spacing w:after="0"/>
              <w:rPr>
                <w:sz w:val="20"/>
                <w:szCs w:val="20"/>
                <w:color w:val="auto"/>
              </w:rPr>
            </w:pPr>
            <w:r>
              <w:rPr>
                <w:rFonts w:ascii="Arial" w:cs="Arial" w:eastAsia="Arial" w:hAnsi="Arial"/>
                <w:sz w:val="18"/>
                <w:szCs w:val="18"/>
                <w:b w:val="1"/>
                <w:bCs w:val="1"/>
                <w:color w:val="auto"/>
              </w:rPr>
              <w:t>Property and Equipment</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Property and equipment consisted of the following:</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Estimated Useful</w:t>
            </w:r>
          </w:p>
        </w:tc>
        <w:tc>
          <w:tcPr>
            <w:tcW w:w="0" w:type="dxa"/>
            <w:vAlign w:val="bottom"/>
          </w:tcPr>
          <w:p>
            <w:pPr>
              <w:spacing w:after="0"/>
              <w:rPr>
                <w:sz w:val="1"/>
                <w:szCs w:val="1"/>
                <w:color w:val="auto"/>
              </w:rPr>
            </w:pPr>
          </w:p>
        </w:tc>
      </w:tr>
      <w:tr>
        <w:trPr>
          <w:trHeight w:val="234"/>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Cost:</w:t>
            </w: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0"/>
        </w:trPr>
        <w:tc>
          <w:tcPr>
            <w:tcW w:w="5720" w:type="dxa"/>
            <w:vAlign w:val="bottom"/>
            <w:gridSpan w:val="3"/>
            <w:vMerge w:val="continue"/>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Real estate</w:t>
            </w:r>
          </w:p>
        </w:tc>
        <w:tc>
          <w:tcPr>
            <w:tcW w:w="16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11,911</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10,633</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10 - 31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120"/>
              <w:spacing w:after="0"/>
              <w:rPr>
                <w:sz w:val="20"/>
                <w:szCs w:val="20"/>
                <w:color w:val="auto"/>
              </w:rPr>
            </w:pPr>
            <w:r>
              <w:rPr>
                <w:rFonts w:ascii="Arial" w:cs="Arial" w:eastAsia="Arial" w:hAnsi="Arial"/>
                <w:sz w:val="18"/>
                <w:szCs w:val="18"/>
                <w:color w:val="auto"/>
              </w:rPr>
              <w:t>Electronic data processing equipment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1,286</w:t>
            </w: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1,288</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Furniture and fixtures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3,511</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gridSpan w:val="2"/>
          </w:tcPr>
          <w:p>
            <w:pPr>
              <w:ind w:left="120"/>
              <w:spacing w:after="0"/>
              <w:rPr>
                <w:sz w:val="20"/>
                <w:szCs w:val="20"/>
                <w:color w:val="auto"/>
              </w:rPr>
            </w:pPr>
            <w:r>
              <w:rPr>
                <w:rFonts w:ascii="Arial" w:cs="Arial" w:eastAsia="Arial" w:hAnsi="Arial"/>
                <w:sz w:val="18"/>
                <w:szCs w:val="18"/>
                <w:color w:val="auto"/>
              </w:rPr>
              <w:t>Automobiles</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1,596</w:t>
            </w: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1,595</w:t>
            </w:r>
          </w:p>
        </w:tc>
        <w:tc>
          <w:tcPr>
            <w:tcW w:w="2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2-3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cost</w:t>
            </w: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(10,643)</w:t>
            </w:r>
          </w:p>
        </w:tc>
        <w:tc>
          <w:tcPr>
            <w:tcW w:w="4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(11,150)</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3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$492, $500, and $441 during the years ended December 31, 2018, 2017 and 2016, respectively.</w:t>
      </w:r>
    </w:p>
    <w:p>
      <w:pPr>
        <w:spacing w:after="0" w:line="200" w:lineRule="exact"/>
        <w:rPr>
          <w:sz w:val="20"/>
          <w:szCs w:val="20"/>
          <w:color w:val="auto"/>
        </w:rPr>
      </w:pPr>
    </w:p>
    <w:p>
      <w:pPr>
        <w:spacing w:after="0" w:line="372" w:lineRule="exact"/>
        <w:rPr>
          <w:sz w:val="20"/>
          <w:szCs w:val="20"/>
          <w:color w:val="auto"/>
        </w:rPr>
      </w:pPr>
    </w:p>
    <w:p>
      <w:pPr>
        <w:ind w:left="680" w:hanging="672"/>
        <w:spacing w:after="0"/>
        <w:tabs>
          <w:tab w:leader="none" w:pos="6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2" w:lineRule="exact"/>
        <w:rPr>
          <w:sz w:val="20"/>
          <w:szCs w:val="20"/>
          <w:color w:val="auto"/>
        </w:rPr>
      </w:pPr>
    </w:p>
    <w:p>
      <w:pPr>
        <w:ind w:left="20" w:right="120" w:firstLine="636"/>
        <w:spacing w:after="0" w:line="279" w:lineRule="auto"/>
        <w:rPr>
          <w:sz w:val="20"/>
          <w:szCs w:val="20"/>
          <w:color w:val="auto"/>
        </w:rPr>
      </w:pPr>
      <w:r>
        <w:rPr>
          <w:rFonts w:ascii="Arial" w:cs="Arial" w:eastAsia="Arial" w:hAnsi="Arial"/>
          <w:sz w:val="17"/>
          <w:szCs w:val="17"/>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$1,315, $1,289, and $1,258 during the years ended December 31, 2018, 2017, and 2016 respectively. Royalty amounts payable of $108 and $99 were accrued as a liability to the NDFB at December 31, 2018 and December 31, 2017, respectively.</w:t>
      </w:r>
    </w:p>
    <w:p>
      <w:pPr>
        <w:spacing w:after="0" w:line="63" w:lineRule="exact"/>
        <w:rPr>
          <w:sz w:val="20"/>
          <w:szCs w:val="20"/>
          <w:color w:val="auto"/>
        </w:rPr>
      </w:pPr>
    </w:p>
    <w:p>
      <w:pPr>
        <w:ind w:left="20" w:right="80" w:firstLine="636"/>
        <w:spacing w:after="0" w:line="276"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2018 exceeded the amount of statutory capital and surplus necessary to satisfy regulatory requirements, including the RBC requirements, by a significant margin.</w:t>
      </w:r>
    </w:p>
    <w:p>
      <w:pPr>
        <w:spacing w:after="0" w:line="64" w:lineRule="exact"/>
        <w:rPr>
          <w:sz w:val="20"/>
          <w:szCs w:val="20"/>
          <w:color w:val="auto"/>
        </w:rPr>
      </w:pPr>
    </w:p>
    <w:p>
      <w:pPr>
        <w:ind w:left="20" w:right="40" w:firstLine="636"/>
        <w:spacing w:after="0" w:line="255" w:lineRule="auto"/>
        <w:rPr>
          <w:sz w:val="20"/>
          <w:szCs w:val="20"/>
          <w:color w:val="auto"/>
        </w:rPr>
      </w:pPr>
      <w:r>
        <w:rPr>
          <w:rFonts w:ascii="Arial" w:cs="Arial" w:eastAsia="Arial" w:hAnsi="Arial"/>
          <w:sz w:val="18"/>
          <w:szCs w:val="18"/>
          <w:color w:val="auto"/>
        </w:rPr>
        <w:t>The amount available for payment of dividends from Nodak Insurance to NI Holdings during 2019 without the prior approval of the North Dakota Insurance Department is $17,588 based upon the policyholders’ surplus of Nodak Insurance at December 31, 2018.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years ended December 31, 2018 or 2017.</w:t>
      </w:r>
    </w:p>
    <w:p>
      <w:pPr>
        <w:spacing w:after="0" w:line="81" w:lineRule="exact"/>
        <w:rPr>
          <w:sz w:val="20"/>
          <w:szCs w:val="20"/>
          <w:color w:val="auto"/>
        </w:rPr>
      </w:pPr>
    </w:p>
    <w:p>
      <w:pPr>
        <w:ind w:left="20" w:right="20" w:firstLine="636"/>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2019 without the prior approval of the Illinois Department of Insurance is $6,653 based upon the policyholders’ surplus of Direct Auto at December 31, 2018.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year ended December 31, 2018.</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3" w:name="page94"/>
    <w:bookmarkEnd w:id="93"/>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illustrates the impact of including Battle Creek in our Consolidated Balance Sheets prior to intercompany eliminations: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(overdraft)</w:t>
            </w:r>
          </w:p>
        </w:tc>
        <w:tc>
          <w:tcPr>
            <w:tcW w:w="2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4,304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Premiums and agents’ balances receivable</w:t>
            </w:r>
          </w:p>
        </w:tc>
        <w:tc>
          <w:tcPr>
            <w:tcW w:w="2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tcPr>
          <w:p>
            <w:pPr>
              <w:ind w:left="12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(1)</w:t>
            </w:r>
          </w:p>
        </w:tc>
        <w:tc>
          <w:tcPr>
            <w:tcW w:w="2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21,117</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investment income</w:t>
            </w:r>
          </w:p>
        </w:tc>
        <w:tc>
          <w:tcPr>
            <w:tcW w:w="2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Deferred income tax asset, net</w:t>
            </w: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w:t>
            </w:r>
          </w:p>
        </w:tc>
        <w:tc>
          <w:tcPr>
            <w:tcW w:w="2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Unpaid losses and loss adjustment expenses</w:t>
            </w:r>
          </w:p>
        </w:tc>
        <w:tc>
          <w:tcPr>
            <w:tcW w:w="2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6,579</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Unearned premiums</w:t>
            </w:r>
          </w:p>
        </w:tc>
        <w:tc>
          <w:tcPr>
            <w:tcW w:w="2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14,538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tcPr>
          <w:p>
            <w:pPr>
              <w:ind w:left="12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2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Reinsurance premiums payable </w:t>
            </w:r>
            <w:r>
              <w:rPr>
                <w:rFonts w:ascii="Arial" w:cs="Arial" w:eastAsia="Arial" w:hAnsi="Arial"/>
                <w:sz w:val="29"/>
                <w:szCs w:val="29"/>
                <w:color w:val="auto"/>
                <w:vertAlign w:val="superscript"/>
              </w:rPr>
              <w:t>(1)</w:t>
            </w:r>
          </w:p>
        </w:tc>
        <w:tc>
          <w:tcPr>
            <w:tcW w:w="2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972</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2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3,263</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equity</w:t>
            </w:r>
          </w:p>
        </w:tc>
        <w:tc>
          <w:tcPr>
            <w:tcW w:w="2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2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29,931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(1)  Amount eliminated in consolidation.</w:t>
            </w:r>
          </w:p>
        </w:tc>
        <w:tc>
          <w:tcPr>
            <w:tcW w:w="2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Total statutory revenues of Battle Creek, after intercompany eliminations, which is limited to net investment income, were $159, $153, and $174 during the year ended December 31, 2018, 2017, and 2016, respectively. There were no statutory-basis expenses reported, after intercompany eliminations, during the years ended December 31, 2018, 2017, and 2016.</w:t>
      </w:r>
    </w:p>
    <w:p>
      <w:pPr>
        <w:spacing w:after="0" w:line="200" w:lineRule="exact"/>
        <w:rPr>
          <w:sz w:val="20"/>
          <w:szCs w:val="20"/>
          <w:color w:val="auto"/>
        </w:rPr>
      </w:pPr>
    </w:p>
    <w:p>
      <w:pPr>
        <w:spacing w:after="0" w:line="342" w:lineRule="exact"/>
        <w:rPr>
          <w:sz w:val="20"/>
          <w:szCs w:val="20"/>
          <w:color w:val="auto"/>
        </w:rPr>
      </w:pPr>
    </w:p>
    <w:p>
      <w:pPr>
        <w:ind w:left="680" w:hanging="672"/>
        <w:spacing w:after="0"/>
        <w:tabs>
          <w:tab w:leader="none" w:pos="6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8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Company sponsors a money purchase plan that covers all eligible employees. Plan costs are funded annually as they are earned. The Company’s contributions expense to the money purchase plan totaled $598, $854, and $762 during the years ended December 31, 2018, 2017, and 2016, respectively.</w:t>
      </w:r>
    </w:p>
    <w:p>
      <w:pPr>
        <w:spacing w:after="0" w:line="9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Company also sponsors a 401(k) plan with an automatic contribution to all eligible employees and a matching contribution for eligible employees of 50% up to 3% of eligible compensation. The Company’s contributions expense to the 401(k) plan totaled $475, $411, and $422 during the years ended December 31, 2018, 2017, and 2016, respectively. All fees associated with both plans are deducted from the eligible employee accounts.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Effective April 28, 2016, the Board of Directors authorized a non-qualified deferred compensation plan covering key executives of the Company as designated by the Board of Directors. The Company’s policy is to fund the plan in a given calendar year by amounts that exceed the maximum contribution allowed by the Employee Retirement Income Security Act (“ERISA”), beginning in 2017. The Company’s expenses included $451 and $183 for the years ended December 31, 2018 and 2017, respectively.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Ownership Plan</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has established an Employee Stock Ownership Plan (the “ESOP”). The ESOP is intended to be an employee stock ownership plan within the meaning of Internal Revenue Code Section 4975(e)(7) and will invest primarily in common stock of the Company.</w:t>
      </w:r>
    </w:p>
    <w:p>
      <w:pPr>
        <w:sectPr>
          <w:pgSz w:w="11900" w:h="16838" w:orient="portrait"/>
          <w:cols w:equalWidth="0" w:num="1">
            <w:col w:w="11420"/>
          </w:cols>
          <w:pgMar w:left="240" w:top="233" w:right="23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94" w:name="page95"/>
    <w:bookmarkEnd w:id="94"/>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3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4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and Direct Auto will not participate in the ESOP. American West and Battle Creek have no employees.</w:t>
      </w:r>
    </w:p>
    <w:p>
      <w:pPr>
        <w:spacing w:after="0" w:line="14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4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recognized compensation expense of $400 and $401 during the years ended December 31, 2018 and 2017, respectively.</w:t>
      </w:r>
    </w:p>
    <w:p>
      <w:pPr>
        <w:spacing w:after="0" w:line="19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Through December 31, 2018, 48,630 ESOP shares had been released and allocated to participants, with the remainder of 191,370 ESOP shares held in suspense at December 31, 2018. Using the Company’s year-end market price of $15.73, the fair value of the unearned ESOP shares was $3,010 at December 31, 2018.</w:t>
      </w:r>
    </w:p>
    <w:p>
      <w:pPr>
        <w:spacing w:after="0" w:line="200" w:lineRule="exact"/>
        <w:rPr>
          <w:sz w:val="20"/>
          <w:szCs w:val="20"/>
          <w:color w:val="auto"/>
        </w:rPr>
      </w:pPr>
    </w:p>
    <w:p>
      <w:pPr>
        <w:spacing w:after="0" w:line="342"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Nodak Insurance has a $5,000 line of credit with Wells Fargo Bank, N.A. There were no outstanding amounts during the years ended December 31, 2018, 2017, or 2016. This line of credit is scheduled to expire on December 31, 2019.</w:t>
      </w: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260" w:type="dxa"/>
            <w:vAlign w:val="bottom"/>
            <w:tcBorders>
              <w:bottom w:val="single" w:sz="8" w:color="0000EE"/>
            </w:tcBorders>
            <w:gridSpan w:val="2"/>
          </w:tcPr>
          <w:p>
            <w:pPr>
              <w:jc w:val="center"/>
              <w:spacing w:after="0"/>
              <w:rPr>
                <w:rFonts w:ascii="Arial" w:cs="Arial" w:eastAsia="Arial" w:hAnsi="Arial"/>
                <w:sz w:val="18"/>
                <w:szCs w:val="18"/>
                <w:i w:val="1"/>
                <w:iCs w:val="1"/>
                <w:color w:val="0000EE"/>
                <w:w w:val="88"/>
              </w:rPr>
            </w:pPr>
            <w:hyperlink w:anchor="page3">
              <w:r>
                <w:rPr>
                  <w:rFonts w:ascii="Arial" w:cs="Arial" w:eastAsia="Arial" w:hAnsi="Arial"/>
                  <w:sz w:val="18"/>
                  <w:szCs w:val="18"/>
                  <w:i w:val="1"/>
                  <w:iCs w:val="1"/>
                  <w:color w:val="0000EE"/>
                  <w:w w:val="88"/>
                </w:rPr>
                <w:t>Table of Contents</w:t>
              </w:r>
            </w:hyperlink>
          </w:p>
        </w:tc>
        <w:tc>
          <w:tcPr>
            <w:tcW w:w="5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17"/>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15.</w:t>
            </w:r>
          </w:p>
        </w:tc>
        <w:tc>
          <w:tcPr>
            <w:tcW w:w="5880" w:type="dxa"/>
            <w:vAlign w:val="bottom"/>
            <w:gridSpan w:val="2"/>
          </w:tcPr>
          <w:p>
            <w:pPr>
              <w:ind w:left="120"/>
              <w:spacing w:after="0"/>
              <w:rPr>
                <w:sz w:val="20"/>
                <w:szCs w:val="20"/>
                <w:color w:val="auto"/>
              </w:rPr>
            </w:pPr>
            <w:r>
              <w:rPr>
                <w:rFonts w:ascii="Arial" w:cs="Arial" w:eastAsia="Arial" w:hAnsi="Arial"/>
                <w:sz w:val="18"/>
                <w:szCs w:val="18"/>
                <w:b w:val="1"/>
                <w:bCs w:val="1"/>
                <w:color w:val="auto"/>
              </w:rPr>
              <w:t>Income Taxes</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w w:val="99"/>
              </w:rPr>
              <w:t>The components of our provision for income tax expense were as follows:</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66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8,020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8"/>
                <w:szCs w:val="18"/>
                <w:color w:val="auto"/>
              </w:rPr>
            </w:pP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w w:val="91"/>
              </w:rPr>
              <w:t>Deferred</w:t>
            </w:r>
          </w:p>
        </w:tc>
        <w:tc>
          <w:tcPr>
            <w:tcW w:w="6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(692)</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(2,067)</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23"/>
        </w:trPr>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480" w:type="dxa"/>
            <w:vAlign w:val="bottom"/>
            <w:tcBorders>
              <w:top w:val="single" w:sz="8" w:color="CCEEFF"/>
              <w:bottom w:val="single" w:sz="8" w:color="CCEEFF"/>
            </w:tcBorders>
            <w:gridSpan w:val="3"/>
            <w:shd w:val="clear" w:color="auto" w:fill="CCEEFF"/>
          </w:tcPr>
          <w:p>
            <w:pPr>
              <w:jc w:val="center"/>
              <w:ind w:right="5220"/>
              <w:spacing w:after="0"/>
              <w:rPr>
                <w:sz w:val="20"/>
                <w:szCs w:val="20"/>
                <w:color w:val="auto"/>
              </w:rPr>
            </w:pPr>
            <w:r>
              <w:rPr>
                <w:rFonts w:ascii="Arial" w:cs="Arial" w:eastAsia="Arial" w:hAnsi="Arial"/>
                <w:sz w:val="18"/>
                <w:szCs w:val="18"/>
                <w:color w:val="auto"/>
                <w:w w:val="93"/>
              </w:rPr>
              <w:t>Total provision</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7,328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provision for income taxes differs from the amount that would be computed by applying the statutory federal rate to income before provision for income taxes as a result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38,572</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22,006</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Expected provision for federal income taxes</w:t>
            </w:r>
          </w:p>
        </w:tc>
        <w:tc>
          <w:tcPr>
            <w:tcW w:w="9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8,100</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7,702</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Permanent differences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(736)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 conversion and IPO expenses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Impact of effective tax rate change on deferred income tax assets and liabilities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provision</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Income tax expense for the year ended December 31, 2017 includes a reduction of $1,274 to current income tax expense due to a new corporate income tax rate for tax year 2018 and beyond, enacted on December 22, 2017. 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 The valuation allowance against certain deferred income tax assets was $587, $628, and $1,022 at December 31, 2018, 2017, and 2016, respectively.</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96" w:name="page97"/>
    <w:bookmarkEnd w:id="96"/>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income tax effects of temporary differences that give rise to significant portions of our deferred income tax assets and deferred income tax liabilities, valued at the new effective tax rate of 21% at December 31, 2018 and 2017,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Unearned premium</w:t>
            </w:r>
          </w:p>
        </w:tc>
        <w:tc>
          <w:tcPr>
            <w:tcW w:w="348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3,560</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Unpaid losses and loss adjustment expenses</w:t>
            </w:r>
          </w:p>
        </w:tc>
        <w:tc>
          <w:tcPr>
            <w:tcW w:w="2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Carryovers</w:t>
            </w:r>
          </w:p>
        </w:tc>
        <w:tc>
          <w:tcPr>
            <w:tcW w:w="2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1,005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income tax assets</w:t>
            </w:r>
          </w:p>
        </w:tc>
        <w:tc>
          <w:tcPr>
            <w:tcW w:w="26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5,741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policy acquisition costs</w:t>
            </w:r>
          </w:p>
        </w:tc>
        <w:tc>
          <w:tcPr>
            <w:tcW w:w="2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2,702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Net unrealized gains on investments</w:t>
            </w:r>
          </w:p>
        </w:tc>
        <w:tc>
          <w:tcPr>
            <w:tcW w:w="2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2,688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Intangibles</w:t>
            </w:r>
          </w:p>
        </w:tc>
        <w:tc>
          <w:tcPr>
            <w:tcW w:w="2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deferred income tax liabilities</w:t>
            </w:r>
          </w:p>
        </w:tc>
        <w:tc>
          <w:tcPr>
            <w:tcW w:w="2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5,865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deferred income tax liability</w:t>
            </w:r>
          </w:p>
        </w:tc>
        <w:tc>
          <w:tcPr>
            <w:tcW w:w="2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Deferred income tax liability, net</w:t>
            </w:r>
          </w:p>
        </w:tc>
        <w:tc>
          <w:tcPr>
            <w:tcW w:w="2640" w:type="dxa"/>
            <w:vAlign w:val="bottom"/>
          </w:tcPr>
          <w:p>
            <w:pPr>
              <w:spacing w:after="0"/>
              <w:rPr>
                <w:sz w:val="19"/>
                <w:szCs w:val="19"/>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2018 and 2017, we had no unrecognized tax benefits, no accrued interest and penalties, and no significant uncertain tax positions.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interest and penalties were recognized during the years ended December 31, 2018, 2017, or 2016.</w:t>
      </w:r>
    </w:p>
    <w:p>
      <w:pPr>
        <w:spacing w:after="0" w:line="170"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At December 31, 2018 and 2017, the Company, other than Battle Creek, had no income tax related carryovers for net operating losses, alternative minimum tax credits, or capital losses. Battle Creek, which files its income tax returns on a stand-alone basis, had net operating loss carryovers of $4,786 and $4,951 at December 31, 2018 and 2017, respectively. The net operating loss carryforward expires beginning in 2021 through 2030.</w:t>
      </w:r>
    </w:p>
    <w:p>
      <w:pPr>
        <w:spacing w:after="0" w:line="200" w:lineRule="exact"/>
        <w:rPr>
          <w:sz w:val="20"/>
          <w:szCs w:val="20"/>
          <w:color w:val="auto"/>
        </w:rPr>
      </w:pPr>
    </w:p>
    <w:p>
      <w:pPr>
        <w:spacing w:after="0" w:line="307"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89" w:lineRule="exact"/>
        <w:rPr>
          <w:sz w:val="20"/>
          <w:szCs w:val="20"/>
          <w:color w:val="auto"/>
        </w:rPr>
      </w:pPr>
    </w:p>
    <w:p>
      <w:pPr>
        <w:ind w:left="20" w:right="40" w:firstLine="635"/>
        <w:spacing w:after="0" w:line="259" w:lineRule="auto"/>
        <w:rPr>
          <w:sz w:val="20"/>
          <w:szCs w:val="20"/>
          <w:color w:val="auto"/>
        </w:rPr>
      </w:pPr>
      <w:r>
        <w:rPr>
          <w:rFonts w:ascii="Arial" w:cs="Arial" w:eastAsia="Arial" w:hAnsi="Arial"/>
          <w:sz w:val="18"/>
          <w:szCs w:val="18"/>
          <w:color w:val="auto"/>
        </w:rPr>
        <w:t>Our Primero subsidiary leases a facility in Spearfish, South Dakota under a non-cancellable operating lease expiring in 2023. Our Direct Auto subsidiary leases a facility in Chicago, Illinois under a non-cancellable operating lease expiring in 2020. We leased equipment and software under non-cancellable operating leases expiring at various times through 2017. There were expenses of $140, $80, and $74 related to these leases during the years ended December 31, 2018, 2017, and 2016, respectively.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we have minimum future commitments under non-cancellable leases as follows: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Estimated Future</w:t>
            </w:r>
          </w:p>
        </w:tc>
      </w:tr>
      <w:tr>
        <w:trPr>
          <w:trHeight w:val="234"/>
        </w:trPr>
        <w:tc>
          <w:tcPr>
            <w:tcW w:w="7080" w:type="dxa"/>
            <w:vAlign w:val="bottom"/>
            <w:gridSpan w:val="2"/>
          </w:tcPr>
          <w:p>
            <w:pPr>
              <w:jc w:val="right"/>
              <w:ind w:right="4970"/>
              <w:spacing w:after="0"/>
              <w:rPr>
                <w:sz w:val="20"/>
                <w:szCs w:val="20"/>
                <w:color w:val="auto"/>
              </w:rPr>
            </w:pPr>
            <w:r>
              <w:rPr>
                <w:rFonts w:ascii="Arial" w:cs="Arial" w:eastAsia="Arial" w:hAnsi="Arial"/>
                <w:sz w:val="18"/>
                <w:szCs w:val="18"/>
                <w:b w:val="1"/>
                <w:bCs w:val="1"/>
                <w:color w:val="auto"/>
                <w:w w:val="88"/>
              </w:rPr>
              <w:t>Year ending December 31,</w:t>
            </w:r>
          </w:p>
        </w:tc>
        <w:tc>
          <w:tcPr>
            <w:tcW w:w="206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Minimum Commitments</w:t>
            </w: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jc w:val="right"/>
              <w:ind w:right="6470"/>
              <w:spacing w:after="0"/>
              <w:rPr>
                <w:sz w:val="20"/>
                <w:szCs w:val="20"/>
                <w:color w:val="auto"/>
              </w:rPr>
            </w:pPr>
            <w:r>
              <w:rPr>
                <w:rFonts w:ascii="Arial" w:cs="Arial" w:eastAsia="Arial" w:hAnsi="Arial"/>
                <w:sz w:val="18"/>
                <w:szCs w:val="18"/>
                <w:color w:val="auto"/>
              </w:rPr>
              <w:t>2019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jc w:val="right"/>
              <w:ind w:right="647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jc w:val="right"/>
              <w:ind w:right="6470"/>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jc w:val="right"/>
              <w:ind w:right="647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jc w:val="right"/>
              <w:ind w:right="647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sub-lease a portion of our home office building under non-cancellable operating leases.</w:t>
      </w:r>
    </w:p>
    <w:p>
      <w:pPr>
        <w:spacing w:after="0" w:line="200" w:lineRule="exact"/>
        <w:rPr>
          <w:sz w:val="20"/>
          <w:szCs w:val="20"/>
          <w:color w:val="auto"/>
        </w:rPr>
      </w:pPr>
    </w:p>
    <w:p>
      <w:pPr>
        <w:spacing w:after="0" w:line="386" w:lineRule="exact"/>
        <w:rPr>
          <w:sz w:val="20"/>
          <w:szCs w:val="20"/>
          <w:color w:val="auto"/>
        </w:rPr>
      </w:pPr>
    </w:p>
    <w:p>
      <w:pPr>
        <w:ind w:left="680" w:hanging="672"/>
        <w:spacing w:after="0"/>
        <w:tabs>
          <w:tab w:leader="none" w:pos="6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14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does not have any unrecorded or potential contingent liabilities or material commitments requiring the use of assets as of December 31, 2018 and 2017.</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97" w:name="page98"/>
    <w:bookmarkEnd w:id="97"/>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18.</w:t>
            </w:r>
          </w:p>
        </w:tc>
        <w:tc>
          <w:tcPr>
            <w:tcW w:w="8140" w:type="dxa"/>
            <w:vAlign w:val="bottom"/>
          </w:tcPr>
          <w:p>
            <w:pPr>
              <w:ind w:left="240"/>
              <w:spacing w:after="0"/>
              <w:rPr>
                <w:sz w:val="20"/>
                <w:szCs w:val="20"/>
                <w:color w:val="auto"/>
              </w:rPr>
            </w:pPr>
            <w:r>
              <w:rPr>
                <w:rFonts w:ascii="Arial" w:cs="Arial" w:eastAsia="Arial" w:hAnsi="Arial"/>
                <w:sz w:val="18"/>
                <w:szCs w:val="18"/>
                <w:b w:val="1"/>
                <w:bCs w:val="1"/>
                <w:color w:val="auto"/>
              </w:rPr>
              <w:t>Common Stock</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440" w:type="dxa"/>
            <w:vAlign w:val="bottom"/>
          </w:tcPr>
          <w:p>
            <w:pPr>
              <w:spacing w:after="0"/>
              <w:rPr>
                <w:sz w:val="24"/>
                <w:szCs w:val="24"/>
                <w:color w:val="auto"/>
              </w:rPr>
            </w:pPr>
          </w:p>
        </w:tc>
        <w:tc>
          <w:tcPr>
            <w:tcW w:w="8140" w:type="dxa"/>
            <w:vAlign w:val="bottom"/>
          </w:tcPr>
          <w:p>
            <w:pPr>
              <w:ind w:left="220"/>
              <w:spacing w:after="0"/>
              <w:rPr>
                <w:sz w:val="20"/>
                <w:szCs w:val="20"/>
                <w:color w:val="auto"/>
              </w:rPr>
            </w:pPr>
            <w:r>
              <w:rPr>
                <w:rFonts w:ascii="Arial" w:cs="Arial" w:eastAsia="Arial" w:hAnsi="Arial"/>
                <w:sz w:val="18"/>
                <w:szCs w:val="18"/>
                <w:color w:val="auto"/>
              </w:rPr>
              <w:t>Changes in the number of common stock shares outstanding are as follows:</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4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4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44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beginning</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22,337,644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ind w:left="140"/>
              <w:spacing w:after="0"/>
              <w:rPr>
                <w:sz w:val="20"/>
                <w:szCs w:val="20"/>
                <w:color w:val="auto"/>
              </w:rPr>
            </w:pPr>
            <w:r>
              <w:rPr>
                <w:rFonts w:ascii="Arial" w:cs="Arial" w:eastAsia="Arial" w:hAnsi="Arial"/>
                <w:sz w:val="18"/>
                <w:szCs w:val="18"/>
                <w:color w:val="auto"/>
              </w:rPr>
              <w:t>Initial public offering</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r>
      <w:tr>
        <w:trPr>
          <w:trHeight w:val="216"/>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Shares repurchased related to employee stock ownership plan</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(240,000)</w:t>
            </w:r>
          </w:p>
        </w:tc>
      </w:tr>
      <w:tr>
        <w:trPr>
          <w:trHeight w:val="216"/>
        </w:trPr>
        <w:tc>
          <w:tcPr>
            <w:tcW w:w="8580" w:type="dxa"/>
            <w:vAlign w:val="bottom"/>
            <w:gridSpan w:val="2"/>
          </w:tcPr>
          <w:p>
            <w:pPr>
              <w:ind w:left="140"/>
              <w:spacing w:after="0"/>
              <w:rPr>
                <w:sz w:val="20"/>
                <w:szCs w:val="20"/>
                <w:color w:val="auto"/>
              </w:rPr>
            </w:pPr>
            <w:r>
              <w:rPr>
                <w:rFonts w:ascii="Arial" w:cs="Arial" w:eastAsia="Arial" w:hAnsi="Arial"/>
                <w:sz w:val="18"/>
                <w:szCs w:val="18"/>
                <w:color w:val="auto"/>
              </w:rPr>
              <w:t>Treasury shares repurchased through stock repurchase authorization</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(191,265)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(446,671)</w:t>
            </w:r>
          </w:p>
        </w:tc>
      </w:tr>
      <w:tr>
        <w:trPr>
          <w:trHeight w:val="216"/>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Issuance of treasury shares for vesting of stock awards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gridSpan w:val="2"/>
          </w:tcPr>
          <w:p>
            <w:pPr>
              <w:ind w:left="140"/>
              <w:spacing w:after="0"/>
              <w:rPr>
                <w:sz w:val="20"/>
                <w:szCs w:val="20"/>
                <w:color w:val="auto"/>
              </w:rPr>
            </w:pPr>
            <w:r>
              <w:rPr>
                <w:rFonts w:ascii="Arial" w:cs="Arial" w:eastAsia="Arial" w:hAnsi="Arial"/>
                <w:sz w:val="18"/>
                <w:szCs w:val="18"/>
                <w:color w:val="auto"/>
              </w:rPr>
              <w:t>Issuance of shares related to employee stock ownership plan</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24,315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24,315</w:t>
            </w:r>
          </w:p>
        </w:tc>
      </w:tr>
      <w:tr>
        <w:trPr>
          <w:trHeight w:val="223"/>
        </w:trPr>
        <w:tc>
          <w:tcPr>
            <w:tcW w:w="8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outstanding, ending</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22,192,894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22,337,644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Shares were not available prior to the Company’s IPO in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May 23, 2017, our Board of Directors approved an authorization for the repurchase of up to $8 million of the Company’s outstanding common stock. We completed the repurchase of 446,671 shares of our common stock for $8,037 during the three months ended June 30, 2017, and reflected the cost of this treasury stock as a reduction of Equity within our Consolidated Balance Sheet as of December 31, 2018 and 2017.</w:t>
      </w:r>
    </w:p>
    <w:p>
      <w:pPr>
        <w:spacing w:after="0" w:line="125"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On February 28, 2018, our Board of Directors approved an authorization for the repurchase of up to approximately $10 million of the Company’s outstanding common stock. We completed the repurchase of 191,265 shares of our common stock for $2,996 during the three months ended December 31, 2018, and reflected the cost of this treasury stock as a reduction of Equity within our Consolidated Balance Sheet as of December 31, 2018.</w:t>
      </w:r>
    </w:p>
    <w:p>
      <w:pPr>
        <w:spacing w:after="0" w:line="200" w:lineRule="exact"/>
        <w:rPr>
          <w:sz w:val="20"/>
          <w:szCs w:val="20"/>
          <w:color w:val="auto"/>
        </w:rPr>
      </w:pPr>
    </w:p>
    <w:p>
      <w:pPr>
        <w:spacing w:after="0" w:line="307"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8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At its 2017 Annual Shareholders’ Meeting, the NI Holdings 2017, Inc. Stock and Incentive Plan (the “Plan”) was approved by shareholders. 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to compensate such persons through various stock and cash-based arrangements, and to provide them with opportunities for stock ownership in the Company, thereby aligning the interests of such persons with the Company’s shareholders.</w:t>
      </w:r>
    </w:p>
    <w:p>
      <w:pPr>
        <w:spacing w:after="0" w:line="11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total aggregate number of shares of common stock that awards may be issued under all awards made under the Plan shall not exceed 500,000 shares of common stock, subject to adjustments as provided in the Plan. No eligible participant may be granted more than 100,000 shares from any stock options, stock appreciation rights, or performance awards denominated in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$100 in any calendar year.</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December 1, 2017, the Compensation Committee awarded RSUs to non-employee directors and select executives. RSUs are promises to issue actual shares of common stock at the end of a vesting period. The RSUs granted to executives under the Plan were based on salary and generally vest 20% per year over a five-year period, while RSUs granted to non-employee directors vested in May 2018. Dividend equivalents on RSUs are accrued during the vesting period and paid in cash at the end of the vesting period, but are subject to forfeiture until the underlying shares become vested. Participants do not have voting rights with respect to RSUs. On March 1, 2018, the first tranche of executive RSUs vested.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March 1, 2018, the Compensation Committee awarded additional RSUs to select executives with the same terms as the previous awards.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8" w:name="page99"/>
    <w:bookmarkEnd w:id="98"/>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May 22, 2018, the RSUs awarded to non-employee directors vested and additional RSUs were awarded to non-employee directors to vest on the date of the next annual meeting of shareholders.</w:t>
      </w:r>
    </w:p>
    <w:p>
      <w:pPr>
        <w:spacing w:after="0" w:line="13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Company recognizes stock-based compensation costs based on the grant date fair value over the vesting period of the awards. Estimated forfeitures are included in the determination of compensation costs. No forfeitures are currently estimated.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outstanding restricted stock units is presented below:</w:t>
      </w:r>
    </w:p>
    <w:p>
      <w:pPr>
        <w:spacing w:after="0" w:line="181" w:lineRule="exact"/>
        <w:rPr>
          <w:sz w:val="20"/>
          <w:szCs w:val="20"/>
          <w:color w:val="auto"/>
        </w:rPr>
      </w:pPr>
    </w:p>
    <w:p>
      <w:pPr>
        <w:jc w:val="center"/>
        <w:ind w:left="9800"/>
        <w:spacing w:after="0"/>
        <w:rPr>
          <w:sz w:val="20"/>
          <w:szCs w:val="20"/>
          <w:color w:val="auto"/>
        </w:rPr>
      </w:pPr>
      <w:r>
        <w:rPr>
          <w:rFonts w:ascii="Arial" w:cs="Arial" w:eastAsia="Arial" w:hAnsi="Arial"/>
          <w:sz w:val="16"/>
          <w:szCs w:val="16"/>
          <w:b w:val="1"/>
          <w:bCs w:val="1"/>
          <w:color w:val="auto"/>
        </w:rPr>
        <w:t>Weighted-Average</w:t>
      </w:r>
    </w:p>
    <w:p>
      <w:pPr>
        <w:spacing w:after="0" w:line="50" w:lineRule="exact"/>
        <w:rPr>
          <w:sz w:val="20"/>
          <w:szCs w:val="20"/>
          <w:color w:val="auto"/>
        </w:rPr>
      </w:pPr>
    </w:p>
    <w:p>
      <w:pPr>
        <w:jc w:val="center"/>
        <w:ind w:left="9800"/>
        <w:spacing w:after="0"/>
        <w:rPr>
          <w:sz w:val="20"/>
          <w:szCs w:val="20"/>
          <w:color w:val="auto"/>
        </w:rPr>
      </w:pPr>
      <w:r>
        <w:rPr>
          <w:rFonts w:ascii="Arial" w:cs="Arial" w:eastAsia="Arial" w:hAnsi="Arial"/>
          <w:sz w:val="18"/>
          <w:szCs w:val="18"/>
          <w:b w:val="1"/>
          <w:bCs w:val="1"/>
          <w:color w:val="auto"/>
        </w:rPr>
        <w:t>Grant-Date</w:t>
      </w:r>
    </w:p>
    <w:p>
      <w:pPr>
        <w:spacing w:after="0" w:line="9" w:lineRule="exact"/>
        <w:rPr>
          <w:sz w:val="20"/>
          <w:szCs w:val="20"/>
          <w:color w:val="auto"/>
        </w:rPr>
      </w:pPr>
    </w:p>
    <w:p>
      <w:pPr>
        <w:jc w:val="center"/>
        <w:ind w:left="9800"/>
        <w:spacing w:after="0"/>
        <w:rPr>
          <w:sz w:val="20"/>
          <w:szCs w:val="20"/>
          <w:color w:val="auto"/>
        </w:rPr>
      </w:pPr>
      <w:r>
        <w:rPr>
          <w:rFonts w:ascii="Arial" w:cs="Arial" w:eastAsia="Arial" w:hAnsi="Arial"/>
          <w:sz w:val="18"/>
          <w:szCs w:val="18"/>
          <w:b w:val="1"/>
          <w:bCs w:val="1"/>
          <w:color w:val="auto"/>
        </w:rPr>
        <w:t>Fair Value</w:t>
      </w:r>
    </w:p>
    <w:p>
      <w:pPr>
        <w:spacing w:after="0" w:line="9" w:lineRule="exact"/>
        <w:rPr>
          <w:sz w:val="20"/>
          <w:szCs w:val="20"/>
          <w:color w:val="auto"/>
        </w:rPr>
      </w:pPr>
    </w:p>
    <w:p>
      <w:pPr>
        <w:ind w:left="8820"/>
        <w:spacing w:after="0"/>
        <w:tabs>
          <w:tab w:leader="none" w:pos="1020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Per Share</w:t>
      </w:r>
    </w:p>
    <w:p>
      <w:pPr>
        <w:sectPr>
          <w:pgSz w:w="11900" w:h="16838" w:orient="portrait"/>
          <w:cols w:equalWidth="0" w:num="1">
            <w:col w:w="11420"/>
          </w:cols>
          <w:pgMar w:left="240" w:top="233"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Units outstanding at January 1, 2017</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2017</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vested during 2017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Units outstanding at December 31, 2017</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2018</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vested during 2018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Units outstanding at December 31, 2018</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56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1260" w:type="dxa"/>
            <w:vAlign w:val="bottom"/>
          </w:tcPr>
          <w:p>
            <w:pPr>
              <w:jc w:val="right"/>
              <w:spacing w:after="0"/>
              <w:rPr>
                <w:sz w:val="20"/>
                <w:szCs w:val="20"/>
                <w:color w:val="auto"/>
              </w:rPr>
            </w:pPr>
            <w:r>
              <w:rPr>
                <w:rFonts w:ascii="Arial" w:cs="Arial" w:eastAsia="Arial" w:hAnsi="Arial"/>
                <w:sz w:val="18"/>
                <w:szCs w:val="18"/>
                <w:color w:val="auto"/>
              </w:rPr>
              <w:t>83,000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17.31</w:t>
            </w:r>
          </w:p>
        </w:tc>
      </w:tr>
      <w:tr>
        <w:trPr>
          <w:trHeight w:val="244"/>
        </w:trPr>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(17,500)</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17.31</w:t>
            </w: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65,500</w:t>
            </w:r>
          </w:p>
        </w:tc>
        <w:tc>
          <w:tcPr>
            <w:tcW w:w="2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17.31</w:t>
            </w:r>
          </w:p>
        </w:tc>
      </w:tr>
      <w:tr>
        <w:trPr>
          <w:trHeight w:val="411"/>
        </w:trPr>
        <w:tc>
          <w:tcPr>
            <w:tcW w:w="126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44"/>
        </w:trPr>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(31,620)</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73,880</w:t>
            </w:r>
          </w:p>
        </w:tc>
        <w:tc>
          <w:tcPr>
            <w:tcW w:w="2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-1183005</wp:posOffset>
            </wp:positionV>
            <wp:extent cx="72466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-899795</wp:posOffset>
            </wp:positionV>
            <wp:extent cx="72466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-608330</wp:posOffset>
            </wp:positionV>
            <wp:extent cx="72466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-325120</wp:posOffset>
            </wp:positionV>
            <wp:extent cx="72466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980"/>
          </w:cols>
          <w:pgMar w:left="240" w:top="233" w:right="239" w:bottom="1440" w:gutter="0" w:footer="0" w:header="0"/>
          <w:type w:val="continuous"/>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20" w:type="dxa"/>
            <w:vAlign w:val="bottom"/>
          </w:tcPr>
          <w:p>
            <w:pPr>
              <w:ind w:left="640"/>
              <w:spacing w:after="0"/>
              <w:rPr>
                <w:sz w:val="20"/>
                <w:szCs w:val="20"/>
                <w:color w:val="auto"/>
              </w:rPr>
            </w:pPr>
            <w:r>
              <w:rPr>
                <w:rFonts w:ascii="Arial" w:cs="Arial" w:eastAsia="Arial" w:hAnsi="Arial"/>
                <w:sz w:val="18"/>
                <w:szCs w:val="18"/>
                <w:color w:val="auto"/>
              </w:rPr>
              <w:t>The following table shows the impact of RSU activity to the Company’s financial results:</w:t>
            </w: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Income tax benefit</w:t>
            </w: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RSU compensation expense, net of income taxes</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 grant-date fair value of vested RSUs at end of period</w:t>
            </w:r>
          </w:p>
        </w:tc>
        <w:tc>
          <w:tcPr>
            <w:tcW w:w="16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9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Note: Share-based compensation was not available prior to the Company’s IPO in March 2017.</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December 31, 2018, there was $664 of unrecognized compensation cost related to outstanding RSUs. That cost is expected to be recognized over a weighted-average period of 3.31 years.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8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On March 1, 2018, the Compensation Committee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5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recognizes stock-based compensation costs based on the grant date fair value over the performance period of the awards. Estimated forfeitures are included in the determination of compensation costs. No forfeitures are currently estimated. The current cost estimate assumes that the cumulative growth target will be achieved.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Borders>
              <w:bottom w:val="single" w:sz="8" w:color="0000EE"/>
            </w:tcBorders>
          </w:tcPr>
          <w:p>
            <w:pPr>
              <w:ind w:left="40"/>
              <w:spacing w:after="0"/>
              <w:rPr>
                <w:rFonts w:ascii="Arial" w:cs="Arial" w:eastAsia="Arial" w:hAnsi="Arial"/>
                <w:sz w:val="18"/>
                <w:szCs w:val="18"/>
                <w:i w:val="1"/>
                <w:iCs w:val="1"/>
                <w:color w:val="0000EE"/>
                <w:w w:val="87"/>
              </w:rPr>
            </w:pPr>
            <w:hyperlink w:anchor="page3">
              <w:r>
                <w:rPr>
                  <w:rFonts w:ascii="Arial" w:cs="Arial" w:eastAsia="Arial" w:hAnsi="Arial"/>
                  <w:sz w:val="18"/>
                  <w:szCs w:val="18"/>
                  <w:i w:val="1"/>
                  <w:iCs w:val="1"/>
                  <w:color w:val="0000EE"/>
                  <w:w w:val="87"/>
                </w:rPr>
                <w:t>Table of Contents</w:t>
              </w:r>
            </w:hyperlink>
          </w:p>
        </w:tc>
        <w:tc>
          <w:tcPr>
            <w:tcW w:w="6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8660" w:type="dxa"/>
            <w:vAlign w:val="bottom"/>
            <w:gridSpan w:val="5"/>
          </w:tcPr>
          <w:p>
            <w:pPr>
              <w:ind w:left="640"/>
              <w:spacing w:after="0"/>
              <w:rPr>
                <w:sz w:val="20"/>
                <w:szCs w:val="20"/>
                <w:color w:val="auto"/>
              </w:rPr>
            </w:pPr>
            <w:r>
              <w:rPr>
                <w:rFonts w:ascii="Arial" w:cs="Arial" w:eastAsia="Arial" w:hAnsi="Arial"/>
                <w:sz w:val="18"/>
                <w:szCs w:val="18"/>
                <w:color w:val="auto"/>
                <w:w w:val="92"/>
              </w:rPr>
              <w:t>A summary of the Company’s outstanding PSUs for the year ended December 31, 2018, is presented below:</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4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Performance Share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w w:val="88"/>
              </w:rPr>
              <w:t>Units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Units outstanding at January 1, 2018</w:t>
            </w:r>
          </w:p>
        </w:tc>
        <w:tc>
          <w:tcPr>
            <w:tcW w:w="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gridSpan w:val="2"/>
          </w:tcPr>
          <w:p>
            <w:pPr>
              <w:ind w:left="120"/>
              <w:spacing w:after="0"/>
              <w:rPr>
                <w:sz w:val="20"/>
                <w:szCs w:val="20"/>
                <w:color w:val="auto"/>
              </w:rPr>
            </w:pPr>
            <w:r>
              <w:rPr>
                <w:rFonts w:ascii="Arial" w:cs="Arial" w:eastAsia="Arial" w:hAnsi="Arial"/>
                <w:sz w:val="18"/>
                <w:szCs w:val="18"/>
                <w:color w:val="auto"/>
              </w:rPr>
              <w:t>PSUs granted during 2018 (at target)</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48,600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CEEFF"/>
              <w:left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Units outstanding at December 31, 2018</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gridSpan w:val="2"/>
            <w:vMerge w:val="restart"/>
          </w:tcPr>
          <w:p>
            <w:pPr>
              <w:ind w:left="640"/>
              <w:spacing w:after="0"/>
              <w:rPr>
                <w:sz w:val="20"/>
                <w:szCs w:val="20"/>
                <w:color w:val="auto"/>
              </w:rPr>
            </w:pPr>
            <w:r>
              <w:rPr>
                <w:rFonts w:ascii="Arial" w:cs="Arial" w:eastAsia="Arial" w:hAnsi="Arial"/>
                <w:sz w:val="18"/>
                <w:szCs w:val="18"/>
                <w:color w:val="auto"/>
                <w:w w:val="99"/>
              </w:rPr>
              <w:t>The following table shows the impact of PSU activity to the Company’s financial results:</w:t>
            </w: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760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7"/>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63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PSU compensation expense</w:t>
            </w:r>
          </w:p>
        </w:tc>
        <w:tc>
          <w:tcPr>
            <w:tcW w:w="9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CEEFF"/>
              <w:left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PSU compensation expense, net of income taxes</w:t>
            </w:r>
          </w:p>
        </w:tc>
        <w:tc>
          <w:tcPr>
            <w:tcW w:w="9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30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grant-date fair value of vested PSUs at end of period</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30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Share-based compensation was not available prior to the Company’s IPO in March 2017.</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4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December 31, 2018, there was $556 of unrecognized compensation cost related to outstanding PSUs. That cost is expected to be recognized over a weighted-average period of 2.00 years.</w:t>
      </w:r>
    </w:p>
    <w:p>
      <w:pPr>
        <w:spacing w:after="0" w:line="200" w:lineRule="exact"/>
        <w:rPr>
          <w:sz w:val="20"/>
          <w:szCs w:val="20"/>
          <w:color w:val="auto"/>
        </w:rPr>
      </w:pPr>
    </w:p>
    <w:p>
      <w:pPr>
        <w:spacing w:after="0" w:line="331"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As described in Note 1, the conversion of the mutual company to a stock company resulted in the issuance of NI Holdings common shares on March 13, 2017. Earnings per share is computed by dividing net income available to common shareholders for the period by the weighted average number of common shares outstanding for the same period. The weighted average number of common shares outstanding was 22,358,858 and 22,512,401 for the years ended December 31, 2018 and 2017, respectively. For the period prior to the date of the conversion, we assumed that the net common shares issued in the initial public offering of 22,760,000 shares were outstanding since January 1, 2017.</w:t>
      </w:r>
    </w:p>
    <w:p>
      <w:pPr>
        <w:spacing w:after="0" w:line="13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Unearned ESOP shares are not considered outstanding until they are released and allocated to plan participants. Unearned RSU and PSU shares are not considered outstanding until they are earned by award participants.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00" w:name="page101"/>
    <w:bookmarkEnd w:id="100"/>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presents a reconciliation of the numerators and denominators we used in the basic and diluted per share computations for our common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Numerator:</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NI Holdings</w:t>
            </w:r>
          </w:p>
        </w:tc>
        <w:tc>
          <w:tcPr>
            <w:tcW w:w="2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31,081</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15,991</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Denominator:</w:t>
            </w:r>
          </w:p>
        </w:tc>
        <w:tc>
          <w:tcPr>
            <w:tcW w:w="2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shares outstanding</w:t>
            </w:r>
          </w:p>
        </w:tc>
        <w:tc>
          <w:tcPr>
            <w:tcW w:w="2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22,358,858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22,512,401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Basic earnings per common share</w:t>
            </w:r>
          </w:p>
        </w:tc>
        <w:tc>
          <w:tcPr>
            <w:tcW w:w="206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Borders>
              <w:bottom w:val="single" w:sz="8" w:color="CCEEFF"/>
            </w:tcBorders>
            <w:vMerge w:val="continue"/>
          </w:tcPr>
          <w:p>
            <w:pPr>
              <w:spacing w:after="0"/>
              <w:rPr>
                <w:sz w:val="20"/>
                <w:szCs w:val="20"/>
                <w:color w:val="auto"/>
              </w:rPr>
            </w:pPr>
          </w:p>
        </w:tc>
        <w:tc>
          <w:tcPr>
            <w:tcW w:w="20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Numerator:</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Net income attributable to NI Holdings</w:t>
            </w:r>
          </w:p>
        </w:tc>
        <w:tc>
          <w:tcPr>
            <w:tcW w:w="2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31,081</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15,991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Denominator:</w:t>
            </w:r>
          </w:p>
        </w:tc>
        <w:tc>
          <w:tcPr>
            <w:tcW w:w="20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Number of shares used in basic computation</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22,358,858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22,512,401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380"/>
              <w:spacing w:after="0"/>
              <w:rPr>
                <w:sz w:val="20"/>
                <w:szCs w:val="20"/>
                <w:color w:val="auto"/>
              </w:rPr>
            </w:pPr>
            <w:r>
              <w:rPr>
                <w:rFonts w:ascii="Arial" w:cs="Arial" w:eastAsia="Arial" w:hAnsi="Arial"/>
                <w:sz w:val="18"/>
                <w:szCs w:val="18"/>
                <w:color w:val="auto"/>
              </w:rPr>
              <w:t>Add: Restricted stock units and performance share units</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26,896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Number of shares used in diluted computation</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22,385,754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22,512,629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120"/>
              <w:spacing w:after="0"/>
              <w:rPr>
                <w:sz w:val="20"/>
                <w:szCs w:val="20"/>
                <w:color w:val="auto"/>
              </w:rPr>
            </w:pPr>
            <w:r>
              <w:rPr>
                <w:rFonts w:ascii="Arial" w:cs="Arial" w:eastAsia="Arial" w:hAnsi="Arial"/>
                <w:sz w:val="18"/>
                <w:szCs w:val="18"/>
                <w:color w:val="auto"/>
              </w:rPr>
              <w:t>Diluted earnings per common share</w:t>
            </w:r>
          </w:p>
        </w:tc>
        <w:tc>
          <w:tcPr>
            <w:tcW w:w="20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1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0.71</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n/a</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60" w:type="dxa"/>
            <w:vAlign w:val="bottom"/>
            <w:vMerge w:val="restart"/>
          </w:tcPr>
          <w:p>
            <w:pPr>
              <w:jc w:val="right"/>
              <w:ind w:right="1190"/>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01" w:name="page102"/>
    <w:bookmarkEnd w:id="101"/>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80" w:hanging="672"/>
        <w:spacing w:after="0"/>
        <w:tabs>
          <w:tab w:leader="none" w:pos="6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four primary reportable operating segments, which consist of private passenger auto insurance, non-standard auto insurance, home and farm insurance, and crop insurance. A fifth segment captures all other insurance coverages we sell, including commercial coverages and our assumed reinsurance lines of business. We operate only in the United States, and no single customer or agent provides 10 percent or more of our revenues. The following tables provide available information of these segments for the years ended December 31, 2018, 2017, and 2016. For presentation in these tables, “LAE” refers to loss adjustment expenses.</w:t>
      </w:r>
    </w:p>
    <w:p>
      <w:pPr>
        <w:spacing w:after="0" w:line="16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ratios presented in these tables are non-GAAP financial measures under Securities and Exchange Commission rules and regulations. The non-GAAP ratios may not be comparable to similarly-named measures reported by other companies.</w:t>
      </w:r>
    </w:p>
    <w:p>
      <w:pPr>
        <w:spacing w:after="0" w:line="130"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loss and LAE ratio equals losses and loss adjustment expenses divided by net premiums earned. The expense ratio equals amortization of deferred policy acquisition costs and other underwriting and general expenses, divided by net premiums earned. The combined ratio equals losses and loss adjustment expenses, amortization of deferred policy acquisition costs, and other underwriting and general expenses, divided by net premiums earned.</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2" w:name="page103"/>
    <w:bookmarkEnd w:id="102"/>
    <w:p>
      <w:pPr>
        <w:spacing w:after="0"/>
        <w:rPr>
          <w:rFonts w:ascii="Arial" w:cs="Arial" w:eastAsia="Arial" w:hAnsi="Arial"/>
          <w:sz w:val="22"/>
          <w:szCs w:val="22"/>
          <w:i w:val="1"/>
          <w:iCs w:val="1"/>
          <w:u w:val="single" w:color="auto"/>
          <w:color w:val="0000EE"/>
        </w:rPr>
      </w:pPr>
      <w:hyperlink w:anchor="page3">
        <w:r>
          <w:rPr>
            <w:rFonts w:ascii="Arial" w:cs="Arial" w:eastAsia="Arial" w:hAnsi="Arial"/>
            <w:sz w:val="22"/>
            <w:szCs w:val="22"/>
            <w:i w:val="1"/>
            <w:iCs w:val="1"/>
            <w:u w:val="single" w:color="auto"/>
            <w:color w:val="0000EE"/>
          </w:rPr>
          <w:t>Table of Contents</w:t>
        </w:r>
      </w:hyperlink>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8"/>
                <w:szCs w:val="18"/>
                <w:b w:val="1"/>
                <w:bCs w:val="1"/>
                <w:color w:val="auto"/>
                <w:w w:val="91"/>
              </w:rPr>
              <w:t>Year Ended December 31, 2018</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Private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Passenger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Standard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Auto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Auto</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Crop</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All 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27,964</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2,306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Direct losses and LAE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44,644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14,338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42,993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14,206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Ceded losses and LAE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14,338</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 (loss)</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Fee and other income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before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6,180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3,974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38,572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43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7,328</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31,244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43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5" w:lineRule="exact"/>
        <w:rPr>
          <w:sz w:val="20"/>
          <w:szCs w:val="20"/>
          <w:color w:val="auto"/>
        </w:rPr>
      </w:pPr>
    </w:p>
    <w:p>
      <w:pPr>
        <w:ind w:left="521" w:hanging="521"/>
        <w:spacing w:after="0"/>
        <w:tabs>
          <w:tab w:leader="none" w:pos="521" w:val="left"/>
        </w:tabs>
        <w:numPr>
          <w:ilvl w:val="0"/>
          <w:numId w:val="43"/>
        </w:numPr>
        <w:rPr>
          <w:rFonts w:ascii="Arial" w:cs="Arial" w:eastAsia="Arial" w:hAnsi="Arial"/>
          <w:sz w:val="16"/>
          <w:szCs w:val="16"/>
          <w:color w:val="auto"/>
        </w:rPr>
      </w:pPr>
      <w:r>
        <w:rPr>
          <w:rFonts w:ascii="Arial" w:cs="Arial" w:eastAsia="Arial" w:hAnsi="Arial"/>
          <w:sz w:val="16"/>
          <w:szCs w:val="16"/>
          <w:color w:val="auto"/>
        </w:rPr>
        <w:t>31,081</w:t>
      </w:r>
    </w:p>
    <w:p>
      <w:pPr>
        <w:spacing w:after="0" w:line="46" w:lineRule="exact"/>
        <w:rPr>
          <w:sz w:val="20"/>
          <w:szCs w:val="20"/>
          <w:color w:val="auto"/>
        </w:rPr>
      </w:pPr>
    </w:p>
    <w:p>
      <w:pPr>
        <w:sectPr>
          <w:pgSz w:w="11900" w:h="16838" w:orient="portrait"/>
          <w:cols w:equalWidth="0" w:num="2">
            <w:col w:w="9579" w:space="720"/>
            <w:col w:w="1121"/>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4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and LAE ratio</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41.5%</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Expense ratio</w:t>
            </w:r>
          </w:p>
        </w:tc>
        <w:tc>
          <w:tcPr>
            <w:tcW w:w="6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40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11.1%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Combined ratio</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96.9%</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52.6%</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Balances at December 31, 2018:</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Premiums and agents’ balances receivable</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16,558</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8,630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Deferred policy acquisition costs</w:t>
            </w:r>
          </w:p>
        </w:tc>
        <w:tc>
          <w:tcPr>
            <w:tcW w:w="6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3,658</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3,364</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5,279</w:t>
            </w:r>
          </w:p>
        </w:tc>
        <w:tc>
          <w:tcPr>
            <w:tcW w:w="40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Reinsurance recoverables on losses</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384</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240"/>
              <w:spacing w:after="0" w:line="201" w:lineRule="exact"/>
              <w:rPr>
                <w:sz w:val="20"/>
                <w:szCs w:val="20"/>
                <w:color w:val="auto"/>
              </w:rPr>
            </w:pPr>
            <w:r>
              <w:rPr>
                <w:rFonts w:ascii="Arial" w:cs="Arial" w:eastAsia="Arial" w:hAnsi="Arial"/>
                <w:sz w:val="18"/>
                <w:szCs w:val="18"/>
                <w:color w:val="auto"/>
              </w:rPr>
              <w:t>Receivable from Federal Crop Insurance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6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16,169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other intangibles</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4,623</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18,154</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46,786</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10,732</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2,126</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6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26,022</w:t>
            </w: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17,177</w:t>
            </w:r>
          </w:p>
        </w:tc>
        <w:tc>
          <w:tcPr>
            <w:tcW w:w="4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36,883</w:t>
            </w:r>
          </w:p>
        </w:tc>
        <w:tc>
          <w:tcPr>
            <w:tcW w:w="40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84,767</w:t>
            </w: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type w:val="continuous"/>
        </w:sectPr>
      </w:pPr>
    </w:p>
    <w:bookmarkStart w:id="103" w:name="page104"/>
    <w:bookmarkEnd w:id="103"/>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8"/>
                <w:szCs w:val="18"/>
                <w:b w:val="1"/>
                <w:bCs w:val="1"/>
                <w:color w:val="auto"/>
                <w:w w:val="90"/>
              </w:rPr>
              <w:t>Year Ended December 31, 2017</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3"/>
              </w:rPr>
              <w:t>Private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Passenger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Standard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Auto</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Crop</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All 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Direct losses and LAE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34,743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8,690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40,381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36,110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Ceded losses and LAE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(5,322)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 (loss)</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Fee and other income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before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jc w:val="right"/>
        <w:ind w:right="6079"/>
        <w:spacing w:after="0"/>
        <w:rPr>
          <w:sz w:val="20"/>
          <w:szCs w:val="20"/>
          <w:color w:val="auto"/>
        </w:rPr>
      </w:pPr>
      <w:r>
        <w:rPr>
          <w:rFonts w:ascii="Arial" w:cs="Arial" w:eastAsia="Arial" w:hAnsi="Arial"/>
          <w:sz w:val="16"/>
          <w:szCs w:val="16"/>
          <w:color w:val="auto"/>
        </w:rPr>
        <w:t>Net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jc w:val="right"/>
        <w:ind w:right="6119"/>
        <w:spacing w:after="0"/>
        <w:rPr>
          <w:sz w:val="20"/>
          <w:szCs w:val="20"/>
          <w:color w:val="auto"/>
        </w:rPr>
      </w:pPr>
      <w:r>
        <w:rPr>
          <w:rFonts w:ascii="Arial" w:cs="Arial" w:eastAsia="Arial" w:hAnsi="Arial"/>
          <w:sz w:val="18"/>
          <w:szCs w:val="18"/>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5,031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2,997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43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6,394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43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5" w:lineRule="exact"/>
        <w:rPr>
          <w:sz w:val="20"/>
          <w:szCs w:val="20"/>
          <w:color w:val="auto"/>
        </w:rPr>
      </w:pPr>
    </w:p>
    <w:p>
      <w:pPr>
        <w:ind w:left="521" w:hanging="521"/>
        <w:spacing w:after="0"/>
        <w:tabs>
          <w:tab w:leader="none" w:pos="521" w:val="left"/>
        </w:tabs>
        <w:numPr>
          <w:ilvl w:val="0"/>
          <w:numId w:val="44"/>
        </w:numPr>
        <w:rPr>
          <w:rFonts w:ascii="Arial" w:cs="Arial" w:eastAsia="Arial" w:hAnsi="Arial"/>
          <w:sz w:val="18"/>
          <w:szCs w:val="18"/>
          <w:color w:val="auto"/>
        </w:rPr>
      </w:pPr>
      <w:r>
        <w:rPr>
          <w:rFonts w:ascii="Arial" w:cs="Arial" w:eastAsia="Arial" w:hAnsi="Arial"/>
          <w:sz w:val="18"/>
          <w:szCs w:val="18"/>
          <w:color w:val="auto"/>
        </w:rPr>
        <w:t>15,991</w:t>
      </w:r>
    </w:p>
    <w:p>
      <w:pPr>
        <w:spacing w:after="0" w:line="23" w:lineRule="exact"/>
        <w:rPr>
          <w:sz w:val="20"/>
          <w:szCs w:val="20"/>
          <w:color w:val="auto"/>
        </w:rPr>
      </w:pPr>
    </w:p>
    <w:p>
      <w:pPr>
        <w:sectPr>
          <w:pgSz w:w="11900" w:h="16838" w:orient="portrait"/>
          <w:cols w:equalWidth="0" w:num="2">
            <w:col w:w="9579" w:space="720"/>
            <w:col w:w="1121"/>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4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and LAE ratio</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82.5%</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68.0%</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74.0%</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Expense ratio</w:t>
            </w:r>
          </w:p>
        </w:tc>
        <w:tc>
          <w:tcPr>
            <w:tcW w:w="6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10.1%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Combined ratio</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111.6%</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84.1%</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Balances at December 31, 2017:</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Premiums and agents’ balances receivable</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15,430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7,856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Deferred policy acquisition costs</w:t>
            </w:r>
          </w:p>
        </w:tc>
        <w:tc>
          <w:tcPr>
            <w:tcW w:w="6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3,404</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4,638</w:t>
            </w:r>
          </w:p>
        </w:tc>
        <w:tc>
          <w:tcPr>
            <w:tcW w:w="40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Reinsurance recoverables on losses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1,449</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133</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240"/>
              <w:spacing w:after="0" w:line="201" w:lineRule="exact"/>
              <w:rPr>
                <w:sz w:val="20"/>
                <w:szCs w:val="20"/>
                <w:color w:val="auto"/>
              </w:rPr>
            </w:pPr>
            <w:r>
              <w:rPr>
                <w:rFonts w:ascii="Arial" w:cs="Arial" w:eastAsia="Arial" w:hAnsi="Arial"/>
                <w:sz w:val="18"/>
                <w:szCs w:val="18"/>
                <w:color w:val="auto"/>
              </w:rPr>
              <w:t>Receivable from Federal Crop Insurance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6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10,501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other intangibles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2,628</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17,805</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10,510</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1,152</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6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24,442</w:t>
            </w: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1,762</w:t>
            </w:r>
          </w:p>
        </w:tc>
        <w:tc>
          <w:tcPr>
            <w:tcW w:w="4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32,691</w:t>
            </w:r>
          </w:p>
        </w:tc>
        <w:tc>
          <w:tcPr>
            <w:tcW w:w="40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63,262</w:t>
            </w: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101</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104" w:name="page105"/>
    <w:bookmarkEnd w:id="104"/>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8"/>
                <w:szCs w:val="18"/>
                <w:b w:val="1"/>
                <w:bCs w:val="1"/>
                <w:color w:val="auto"/>
                <w:w w:val="90"/>
              </w:rPr>
              <w:t>Year Ended December 31, 2016</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Private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Passenger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Standard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Auto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Auto</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Crop</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All 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2,691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Direct losses and LAE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9,965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65,119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23,173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Ceded losses and LAE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(21,749)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 (loss)</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Fee and other income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before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3,644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5,681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43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1,479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43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5" w:lineRule="exact"/>
        <w:rPr>
          <w:sz w:val="20"/>
          <w:szCs w:val="20"/>
          <w:color w:val="auto"/>
        </w:rPr>
      </w:pPr>
    </w:p>
    <w:p>
      <w:pPr>
        <w:ind w:left="601" w:hanging="601"/>
        <w:spacing w:after="0"/>
        <w:tabs>
          <w:tab w:leader="none" w:pos="6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4,551</w:t>
      </w:r>
    </w:p>
    <w:p>
      <w:pPr>
        <w:spacing w:after="0" w:line="46" w:lineRule="exact"/>
        <w:rPr>
          <w:sz w:val="20"/>
          <w:szCs w:val="20"/>
          <w:color w:val="auto"/>
        </w:rPr>
      </w:pPr>
    </w:p>
    <w:p>
      <w:pPr>
        <w:sectPr>
          <w:pgSz w:w="11900" w:h="16838" w:orient="portrait"/>
          <w:cols w:equalWidth="0" w:num="2">
            <w:col w:w="9579" w:space="720"/>
            <w:col w:w="1121"/>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4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and LAE ratio</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58.4%</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Expense ratio</w:t>
            </w:r>
          </w:p>
        </w:tc>
        <w:tc>
          <w:tcPr>
            <w:tcW w:w="6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3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40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13.6%</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Combined ratio</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120.8%</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119.1%</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72.1%</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Balances at December 31, 2016:</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Premiums and agents’ balances receivable</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13,390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6,671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Deferred policy acquisition costs</w:t>
            </w:r>
          </w:p>
        </w:tc>
        <w:tc>
          <w:tcPr>
            <w:tcW w:w="6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3,412</w:t>
            </w:r>
          </w:p>
        </w:tc>
        <w:tc>
          <w:tcPr>
            <w:tcW w:w="3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4,998</w:t>
            </w:r>
          </w:p>
        </w:tc>
        <w:tc>
          <w:tcPr>
            <w:tcW w:w="40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Reinsurance recoverables on losses</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3,845</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579</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240"/>
              <w:spacing w:after="0" w:line="201" w:lineRule="exact"/>
              <w:rPr>
                <w:sz w:val="20"/>
                <w:szCs w:val="20"/>
                <w:color w:val="auto"/>
              </w:rPr>
            </w:pPr>
            <w:r>
              <w:rPr>
                <w:rFonts w:ascii="Arial" w:cs="Arial" w:eastAsia="Arial" w:hAnsi="Arial"/>
                <w:sz w:val="18"/>
                <w:szCs w:val="18"/>
                <w:color w:val="auto"/>
              </w:rPr>
              <w:t>Receivable from Federal Crop Insurance</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6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16,761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other intangibles</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2,628</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24,713</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5,933</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15,483</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4,270</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6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22,119</w:t>
            </w:r>
          </w:p>
        </w:tc>
        <w:tc>
          <w:tcPr>
            <w:tcW w:w="3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4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29,777</w:t>
            </w:r>
          </w:p>
        </w:tc>
        <w:tc>
          <w:tcPr>
            <w:tcW w:w="40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57,445</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102</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105" w:name="page106"/>
    <w:bookmarkEnd w:id="10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 including the $4,578 gain realized on the bargain purchase of Direct Auto in 2018.</w:t>
      </w:r>
    </w:p>
    <w:p>
      <w:pPr>
        <w:spacing w:after="0" w:line="146"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color w:val="auto"/>
        </w:rPr>
        <w:t>We do not assign or allocate all Consolidated Statement of Operations or Consolidated Balance Sheet line items to our operating segments. Those line items include investment income, net realized capital gain on investments, other income excluding non-standard auto insurance fees, and income taxes within the Consolidated Statement of Operations. For the Consolidated Balance Sheet, those items include cash and investments, property and equipment, other assets, accrued expenses, federal income taxes recoverable or payable, and equity.</w:t>
      </w: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6" w:name="page107"/>
    <w:bookmarkEnd w:id="10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680" w:hanging="672"/>
        <w:spacing w:after="0"/>
        <w:tabs>
          <w:tab w:leader="none" w:pos="6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Net Income, Capital and Surplus, and Dividend Restrictions</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table presents selected information, as filed with insurance regulatory authorities, for our insurance subsidiaries as determined in accordance with accounting practices prescribed or permitted by such insurance regulatory authorities as of and for the years ended December 31, 2018, 2017 and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8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Nodak Insurance:</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Statutory capital and surplus</w:t>
            </w:r>
          </w:p>
        </w:tc>
        <w:tc>
          <w:tcPr>
            <w:tcW w:w="2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175,875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156,545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unassigned surplus</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170,875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151,545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Statutory net income</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19,943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13,915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American West:</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capital and surplus</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Statutory unassigned surplus</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7,888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6,408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net income</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Primero:</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Statutory capital and surplus</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9,767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8,936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unassigned surplus (deficit)</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Statutory net income (loss)</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Battle Creek:</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capital and surplus</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Statutory unassigned surplus</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net income</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Direct Auto:</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Statutory capital and surplus</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19,146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12,057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Statutory unassigned surplus</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Statutory net income</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7,530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bl>
    <w:p>
      <w:pPr>
        <w:spacing w:after="0" w:line="36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2018 and 2017 exceeded the amount of statutory capital and surplus necessary to satisfy regulatory requirements, including the RBC requirements, by a significant margin.</w:t>
      </w:r>
    </w:p>
    <w:p>
      <w:pPr>
        <w:spacing w:after="0" w:line="13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Amounts available for distribution in 2019 to Nodak Insurance as dividends from its insurance subsidiaries without prior approval of insurance regulatory authorities are $1,389 from American West and $977 from Primero. No dividends were paid to Nodak Insurance from either entity during the years ended December 31, 2018, 2017, or 2016.</w:t>
      </w:r>
    </w:p>
    <w:p>
      <w:pPr>
        <w:spacing w:after="0" w:line="15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amount available for payment of dividends from Nodak Insurance to NI Holdings during 2019 without the prior approval of the North Dakota Insurance Department is $17,588 based upon the policyholders’ surplus of Nodak Insurance at December 31, 2018.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in the years ended December 31, 2018 or 2017.</w:t>
      </w:r>
    </w:p>
    <w:p>
      <w:pPr>
        <w:spacing w:after="0" w:line="14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2019 without the prior approval of the Illinois Department of Insurance is $6,653 based upon the policyholders’ surplus of Direct Auto at December 31, 2018.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year ended December 31, 2018.</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07" w:name="page108"/>
    <w:bookmarkEnd w:id="107"/>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Data (Unaudited)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provides a summary of unaudited quarterly results for the periods presented. Earnings per share data is only available for the quarterly periods subsequent to the conversion and sale of stock.</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w w:val="90"/>
              </w:rPr>
              <w:t>Year Ended December 31, 2018</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First Quarter</w:t>
            </w:r>
          </w:p>
        </w:tc>
        <w:tc>
          <w:tcPr>
            <w:tcW w:w="144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Second Quarter</w:t>
            </w:r>
          </w:p>
        </w:tc>
        <w:tc>
          <w:tcPr>
            <w:tcW w:w="1440" w:type="dxa"/>
            <w:vAlign w:val="bottom"/>
            <w:gridSpan w:val="4"/>
          </w:tcPr>
          <w:p>
            <w:pPr>
              <w:ind w:left="100"/>
              <w:spacing w:after="0"/>
              <w:rPr>
                <w:sz w:val="20"/>
                <w:szCs w:val="20"/>
                <w:color w:val="auto"/>
              </w:rPr>
            </w:pPr>
            <w:r>
              <w:rPr>
                <w:rFonts w:ascii="Arial" w:cs="Arial" w:eastAsia="Arial" w:hAnsi="Arial"/>
                <w:sz w:val="18"/>
                <w:szCs w:val="18"/>
                <w:b w:val="1"/>
                <w:bCs w:val="1"/>
                <w:color w:val="auto"/>
              </w:rPr>
              <w:t>Third Quarter</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4"/>
              </w:rPr>
              <w:t>Fourth Quarter</w:t>
            </w:r>
          </w:p>
        </w:tc>
        <w:tc>
          <w:tcPr>
            <w:tcW w:w="100" w:type="dxa"/>
            <w:vAlign w:val="bottom"/>
          </w:tcPr>
          <w:p>
            <w:pPr>
              <w:spacing w:after="0"/>
              <w:rPr>
                <w:sz w:val="19"/>
                <w:szCs w:val="19"/>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54,136</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1,629</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1,659</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64,100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57,023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expenses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30,726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52,523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52,194</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38,355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non-controlling interest</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14,959</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4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r>
    </w:tbl>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w w:val="90"/>
              </w:rPr>
              <w:t>Year Ended December 31, 2017</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First Quarter</w:t>
            </w:r>
          </w:p>
        </w:tc>
        <w:tc>
          <w:tcPr>
            <w:tcW w:w="144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Second Quarter</w:t>
            </w:r>
          </w:p>
        </w:tc>
        <w:tc>
          <w:tcPr>
            <w:tcW w:w="1440" w:type="dxa"/>
            <w:vAlign w:val="bottom"/>
            <w:gridSpan w:val="4"/>
          </w:tcPr>
          <w:p>
            <w:pPr>
              <w:ind w:left="100"/>
              <w:spacing w:after="0"/>
              <w:rPr>
                <w:sz w:val="20"/>
                <w:szCs w:val="20"/>
                <w:color w:val="auto"/>
              </w:rPr>
            </w:pPr>
            <w:r>
              <w:rPr>
                <w:rFonts w:ascii="Arial" w:cs="Arial" w:eastAsia="Arial" w:hAnsi="Arial"/>
                <w:sz w:val="18"/>
                <w:szCs w:val="18"/>
                <w:b w:val="1"/>
                <w:bCs w:val="1"/>
                <w:color w:val="auto"/>
              </w:rPr>
              <w:t>Third Quarter</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4"/>
              </w:rPr>
              <w:t>Fourth Quarter</w:t>
            </w:r>
          </w:p>
        </w:tc>
        <w:tc>
          <w:tcPr>
            <w:tcW w:w="100" w:type="dxa"/>
            <w:vAlign w:val="bottom"/>
          </w:tcPr>
          <w:p>
            <w:pPr>
              <w:spacing w:after="0"/>
              <w:rPr>
                <w:sz w:val="19"/>
                <w:szCs w:val="19"/>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52,525</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1,404</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56,566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50,187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expenses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27,740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47,655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59,691</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32,048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non-controlling interest</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13,439</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4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w w:val="90"/>
              </w:rPr>
              <w:t>Year Ended December 31, 2016</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First Quarter</w:t>
            </w:r>
          </w:p>
        </w:tc>
        <w:tc>
          <w:tcPr>
            <w:tcW w:w="146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Second Quarter</w:t>
            </w:r>
          </w:p>
        </w:tc>
        <w:tc>
          <w:tcPr>
            <w:tcW w:w="14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Third Quarter</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Fourth Quarter</w:t>
            </w:r>
          </w:p>
        </w:tc>
        <w:tc>
          <w:tcPr>
            <w:tcW w:w="100" w:type="dxa"/>
            <w:vAlign w:val="bottom"/>
          </w:tcPr>
          <w:p>
            <w:pPr>
              <w:spacing w:after="0"/>
              <w:rPr>
                <w:sz w:val="19"/>
                <w:szCs w:val="19"/>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52,639</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59,135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expenses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41,472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61,696</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32,674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non-controlling interest</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389" w:lineRule="exact"/>
        <w:rPr>
          <w:sz w:val="20"/>
          <w:szCs w:val="20"/>
          <w:color w:val="auto"/>
        </w:rPr>
      </w:pPr>
    </w:p>
    <w:p>
      <w:pPr>
        <w:ind w:left="680" w:hanging="672"/>
        <w:spacing w:after="0"/>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have evaluated subsequent events through March 13, 2019, the date these consolidated financial statements were available for issuance.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8" w:name="page109"/>
    <w:bookmarkEnd w:id="108"/>
    <w:p>
      <w:pPr>
        <w:ind w:left="6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changes or disagreements with accountants on accounting and financial disclosure.</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Company’s Chief Executive Officer and Chief Financial Officer have reviewed and evaluated the effectiveness of the Company’s disclosure controls and procedures (as required by Exchange Act Rules 240.13a-15(b) and 15d-14(a)) as of December 31, 2018. 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Internal Controls over Financial Reporting</w:t>
      </w:r>
    </w:p>
    <w:p>
      <w:pPr>
        <w:spacing w:after="0" w:line="18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Rule 13a-15(f) under the Exchange Act. Under the supervision and with the participation of our Chief Executive Officer and our Chief Financial Officer, our management has reviewed and evaluated the effectiveness of our internal control over financial reporting based on the framework and criteria established in Internal Control – Integrated Framework (2013) issued by the Committee of Sponsoring Organizations of the Treadway Commission (the “COSO Framework”). Based on our evaluation under the COSO Framework, the Chief Executive Officer and Chief Financial Officer have concluded that the Company’s current internal control over financial reporting is effective, and that our consolidated financial statements we include in this Form 10-K Report present fairly, in all material respects, our financial position, results of operations, and cash flows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year ended December 31, 2018,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9" w:name="page110"/>
    <w:bookmarkEnd w:id="109"/>
    <w:p>
      <w:pPr>
        <w:spacing w:after="0"/>
        <w:rPr>
          <w:rFonts w:ascii="Arial" w:cs="Arial" w:eastAsia="Arial" w:hAnsi="Arial"/>
          <w:sz w:val="22"/>
          <w:szCs w:val="22"/>
          <w:i w:val="1"/>
          <w:iCs w:val="1"/>
          <w:u w:val="single" w:color="auto"/>
          <w:color w:val="0000EE"/>
        </w:rPr>
      </w:pPr>
      <w:hyperlink w:anchor="page3">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incorporate the response to this Item 10 by reference to our proxy statement we will file with the SEC on or about April 11, 2019 relating to our Annual Meeting of Shareholders that we will hold on May 21, 2019 (our “Proxy Statement”).</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We have posted a copy of our Code of Ethics and Business Conduct on the Governance Highlights page of the Corporate Governance section of our website, </w:t>
      </w:r>
      <w:r>
        <w:rPr>
          <w:rFonts w:ascii="Arial" w:cs="Arial" w:eastAsia="Arial" w:hAnsi="Arial"/>
          <w:sz w:val="18"/>
          <w:szCs w:val="18"/>
          <w:u w:val="single" w:color="auto"/>
          <w:color w:val="auto"/>
        </w:rPr>
        <w:t>www.niholdingsinc.com</w:t>
      </w:r>
      <w:r>
        <w:rPr>
          <w:rFonts w:ascii="Arial" w:cs="Arial" w:eastAsia="Arial" w:hAnsi="Arial"/>
          <w:sz w:val="18"/>
          <w:szCs w:val="18"/>
          <w:color w:val="auto"/>
        </w:rPr>
        <w:t>, which you can access free of charge. Information contained on the website is not incorporated by reference in, or considered part of, this Form 10-K. We intend to disclose on our website any amendments to, or waivers from, our Code of Ethics and Business Conduct that are required to be disclosed by law or NASDAQ Listing Rules.</w:t>
      </w:r>
    </w:p>
    <w:p>
      <w:pPr>
        <w:spacing w:after="0" w:line="200" w:lineRule="exact"/>
        <w:rPr>
          <w:sz w:val="20"/>
          <w:szCs w:val="20"/>
          <w:color w:val="auto"/>
        </w:rPr>
      </w:pPr>
    </w:p>
    <w:p>
      <w:pPr>
        <w:spacing w:after="0" w:line="3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11 by reference to our Proxy Statement.</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12 by reference to our Proxy Statement.</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13 by reference to our Proxy Statement.</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14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110" w:name="page111"/>
    <w:bookmarkEnd w:id="110"/>
    <w:p>
      <w:pPr>
        <w:spacing w:after="0"/>
        <w:rPr>
          <w:rFonts w:ascii="Arial" w:cs="Arial" w:eastAsia="Arial" w:hAnsi="Arial"/>
          <w:sz w:val="22"/>
          <w:szCs w:val="22"/>
          <w:i w:val="1"/>
          <w:iCs w:val="1"/>
          <w:u w:val="single" w:color="auto"/>
          <w:color w:val="0000EE"/>
        </w:rPr>
      </w:pPr>
      <w:hyperlink w:anchor="page3">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Financial Statements and Financial Statement Schedules</w:t>
      </w:r>
    </w:p>
    <w:p>
      <w:pPr>
        <w:spacing w:after="0" w:line="189"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18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Statements and</w:t>
      </w:r>
    </w:p>
    <w:p>
      <w:pPr>
        <w:spacing w:after="0" w:line="198" w:lineRule="exact"/>
        <w:rPr>
          <w:rFonts w:ascii="Arial" w:cs="Arial" w:eastAsia="Arial" w:hAnsi="Arial"/>
          <w:sz w:val="18"/>
          <w:szCs w:val="18"/>
          <w:color w:val="auto"/>
        </w:rPr>
      </w:pPr>
    </w:p>
    <w:p>
      <w:pPr>
        <w:ind w:left="660" w:right="5180" w:hanging="652"/>
        <w:spacing w:after="0" w:line="510"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Financial Statement schedules required to be filed by Item 8 of this report. Schedule I Condensed financial information of registrant – NI Holdings, Inc.</w:t>
      </w:r>
    </w:p>
    <w:p>
      <w:pPr>
        <w:spacing w:after="0" w:line="1" w:lineRule="exact"/>
        <w:rPr>
          <w:rFonts w:ascii="Arial" w:cs="Arial" w:eastAsia="Arial" w:hAnsi="Arial"/>
          <w:sz w:val="16"/>
          <w:szCs w:val="16"/>
          <w:color w:val="auto"/>
        </w:rPr>
      </w:pPr>
    </w:p>
    <w:p>
      <w:pPr>
        <w:ind w:left="660" w:right="420"/>
        <w:spacing w:after="0" w:line="277" w:lineRule="auto"/>
        <w:rPr>
          <w:rFonts w:ascii="Arial" w:cs="Arial" w:eastAsia="Arial" w:hAnsi="Arial"/>
          <w:sz w:val="16"/>
          <w:szCs w:val="16"/>
          <w:color w:val="auto"/>
        </w:rPr>
      </w:pPr>
      <w:r>
        <w:rPr>
          <w:rFonts w:ascii="Arial" w:cs="Arial" w:eastAsia="Arial" w:hAnsi="Arial"/>
          <w:sz w:val="18"/>
          <w:szCs w:val="18"/>
          <w:color w:val="auto"/>
        </w:rPr>
        <w:t>All other financial schedules are not required under the related instructions, as they are inapplicable or the information has been included in the Consolidated Financial Statements, and therefore have been omitted.</w:t>
      </w:r>
    </w:p>
    <w:p>
      <w:pPr>
        <w:spacing w:after="0" w:line="143" w:lineRule="exact"/>
        <w:rPr>
          <w:rFonts w:ascii="Arial" w:cs="Arial" w:eastAsia="Arial" w:hAnsi="Arial"/>
          <w:sz w:val="16"/>
          <w:szCs w:val="16"/>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exhibits are required by Item 601 of Regulation S-K and are included as part of this Form 10-K:</w:t>
      </w:r>
    </w:p>
    <w:p>
      <w:pPr>
        <w:spacing w:after="0" w:line="184" w:lineRule="exact"/>
        <w:rPr>
          <w:rFonts w:ascii="Arial" w:cs="Arial" w:eastAsia="Arial" w:hAnsi="Arial"/>
          <w:sz w:val="18"/>
          <w:szCs w:val="18"/>
          <w:color w:val="auto"/>
        </w:rPr>
      </w:pPr>
    </w:p>
    <w:p>
      <w:pPr>
        <w:ind w:left="1300" w:right="100" w:hanging="64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2.1</w:t>
      </w:r>
      <w:hyperlink r:id="rId157">
        <w:r>
          <w:rPr>
            <w:rFonts w:ascii="Arial" w:cs="Arial" w:eastAsia="Arial" w:hAnsi="Arial"/>
            <w:sz w:val="18"/>
            <w:szCs w:val="18"/>
            <w:u w:val="single" w:color="auto"/>
            <w:color w:val="0000EE"/>
          </w:rPr>
          <w:t>Plan of Mutual Property and Casualty Insurance Company Conversion and Minority Offering of Nodak Mutual Insurance Company, dated</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as of January 21, 2016 (1)</w:t>
        </w:r>
      </w:hyperlink>
    </w:p>
    <w:p>
      <w:pPr>
        <w:spacing w:after="0" w:line="129" w:lineRule="exact"/>
        <w:rPr>
          <w:rFonts w:ascii="Arial" w:cs="Arial" w:eastAsia="Arial" w:hAnsi="Arial"/>
          <w:sz w:val="18"/>
          <w:szCs w:val="18"/>
          <w:u w:val="single" w:color="auto"/>
          <w:color w:val="0000EE"/>
        </w:rPr>
      </w:pPr>
    </w:p>
    <w:p>
      <w:pPr>
        <w:ind w:left="660"/>
        <w:spacing w:after="0"/>
        <w:rPr>
          <w:rFonts w:ascii="Arial" w:cs="Arial" w:eastAsia="Arial" w:hAnsi="Arial"/>
          <w:sz w:val="17"/>
          <w:szCs w:val="17"/>
          <w:u w:val="single" w:color="auto"/>
          <w:color w:val="0000EE"/>
        </w:rPr>
      </w:pPr>
      <w:r>
        <w:rPr>
          <w:rFonts w:ascii="Arial" w:cs="Arial" w:eastAsia="Arial" w:hAnsi="Arial"/>
          <w:sz w:val="18"/>
          <w:szCs w:val="18"/>
          <w:color w:val="auto"/>
        </w:rPr>
        <w:t>3.1</w:t>
      </w:r>
      <w:hyperlink r:id="rId158">
        <w:r>
          <w:rPr>
            <w:rFonts w:ascii="Arial" w:cs="Arial" w:eastAsia="Arial" w:hAnsi="Arial"/>
            <w:sz w:val="17"/>
            <w:szCs w:val="17"/>
            <w:u w:val="single" w:color="auto"/>
            <w:color w:val="0000EE"/>
          </w:rPr>
          <w:t>Articles of Incorporation of NI Holdings, Inc. (1)</w:t>
        </w:r>
      </w:hyperlink>
    </w:p>
    <w:p>
      <w:pPr>
        <w:spacing w:after="0" w:line="198" w:lineRule="exact"/>
        <w:rPr>
          <w:rFonts w:ascii="Arial" w:cs="Arial" w:eastAsia="Arial" w:hAnsi="Arial"/>
          <w:sz w:val="17"/>
          <w:szCs w:val="17"/>
          <w:u w:val="single" w:color="auto"/>
          <w:color w:val="0000EE"/>
        </w:rPr>
      </w:pPr>
    </w:p>
    <w:p>
      <w:pPr>
        <w:ind w:left="660"/>
        <w:spacing w:after="0"/>
        <w:rPr>
          <w:rFonts w:ascii="Arial" w:cs="Arial" w:eastAsia="Arial" w:hAnsi="Arial"/>
          <w:sz w:val="17"/>
          <w:szCs w:val="17"/>
          <w:u w:val="single" w:color="auto"/>
          <w:color w:val="0000EE"/>
        </w:rPr>
      </w:pPr>
      <w:r>
        <w:rPr>
          <w:rFonts w:ascii="Arial" w:cs="Arial" w:eastAsia="Arial" w:hAnsi="Arial"/>
          <w:sz w:val="18"/>
          <w:szCs w:val="18"/>
          <w:color w:val="auto"/>
        </w:rPr>
        <w:t>3.2</w:t>
      </w:r>
      <w:hyperlink r:id="rId159">
        <w:r>
          <w:rPr>
            <w:rFonts w:ascii="Arial" w:cs="Arial" w:eastAsia="Arial" w:hAnsi="Arial"/>
            <w:sz w:val="17"/>
            <w:szCs w:val="17"/>
            <w:u w:val="single" w:color="auto"/>
            <w:color w:val="0000EE"/>
          </w:rPr>
          <w:t>Bylaws of NI Holdings, Inc. (1)</w:t>
        </w:r>
      </w:hyperlink>
    </w:p>
    <w:p>
      <w:pPr>
        <w:spacing w:after="0" w:line="184" w:lineRule="exact"/>
        <w:rPr>
          <w:rFonts w:ascii="Arial" w:cs="Arial" w:eastAsia="Arial" w:hAnsi="Arial"/>
          <w:sz w:val="17"/>
          <w:szCs w:val="17"/>
          <w:u w:val="single" w:color="auto"/>
          <w:color w:val="0000EE"/>
        </w:rPr>
      </w:pPr>
    </w:p>
    <w:p>
      <w:pPr>
        <w:ind w:left="660"/>
        <w:spacing w:after="0"/>
        <w:rPr>
          <w:rFonts w:ascii="Arial" w:cs="Arial" w:eastAsia="Arial" w:hAnsi="Arial"/>
          <w:sz w:val="16"/>
          <w:szCs w:val="16"/>
          <w:u w:val="single" w:color="auto"/>
          <w:color w:val="0000EE"/>
        </w:rPr>
      </w:pPr>
      <w:r>
        <w:rPr>
          <w:rFonts w:ascii="Arial" w:cs="Arial" w:eastAsia="Arial" w:hAnsi="Arial"/>
          <w:sz w:val="18"/>
          <w:szCs w:val="18"/>
          <w:color w:val="auto"/>
        </w:rPr>
        <w:t>4.1</w:t>
      </w:r>
      <w:hyperlink r:id="rId160">
        <w:r>
          <w:rPr>
            <w:rFonts w:ascii="Arial" w:cs="Arial" w:eastAsia="Arial" w:hAnsi="Arial"/>
            <w:sz w:val="16"/>
            <w:szCs w:val="16"/>
            <w:u w:val="single" w:color="auto"/>
            <w:color w:val="0000EE"/>
          </w:rPr>
          <w:t>Form of certificate evidencing shares of common stock of NI Holdings, Inc. (1)</w:t>
        </w:r>
      </w:hyperlink>
    </w:p>
    <w:p>
      <w:pPr>
        <w:spacing w:after="0" w:line="184" w:lineRule="exact"/>
        <w:rPr>
          <w:rFonts w:ascii="Arial" w:cs="Arial" w:eastAsia="Arial" w:hAnsi="Arial"/>
          <w:sz w:val="16"/>
          <w:szCs w:val="16"/>
          <w:u w:val="single" w:color="auto"/>
          <w:color w:val="0000EE"/>
        </w:rPr>
      </w:pPr>
    </w:p>
    <w:p>
      <w:pPr>
        <w:ind w:left="660"/>
        <w:spacing w:after="0"/>
        <w:rPr>
          <w:rFonts w:ascii="Arial" w:cs="Arial" w:eastAsia="Arial" w:hAnsi="Arial"/>
          <w:sz w:val="16"/>
          <w:szCs w:val="16"/>
          <w:u w:val="single" w:color="auto"/>
          <w:color w:val="0000EE"/>
        </w:rPr>
      </w:pPr>
      <w:r>
        <w:rPr>
          <w:rFonts w:ascii="Arial" w:cs="Arial" w:eastAsia="Arial" w:hAnsi="Arial"/>
          <w:sz w:val="18"/>
          <w:szCs w:val="18"/>
          <w:color w:val="auto"/>
        </w:rPr>
        <w:t>10.1</w:t>
      </w:r>
      <w:hyperlink r:id="rId161">
        <w:r>
          <w:rPr>
            <w:rFonts w:ascii="Arial" w:cs="Arial" w:eastAsia="Arial" w:hAnsi="Arial"/>
            <w:sz w:val="16"/>
            <w:szCs w:val="16"/>
            <w:u w:val="single" w:color="auto"/>
            <w:color w:val="0000EE"/>
          </w:rPr>
          <w:t>2016 NI Holdings, Inc. Equity Incentive Plan (1)</w:t>
        </w:r>
      </w:hyperlink>
    </w:p>
    <w:p>
      <w:pPr>
        <w:spacing w:after="0" w:line="198" w:lineRule="exact"/>
        <w:rPr>
          <w:rFonts w:ascii="Arial" w:cs="Arial" w:eastAsia="Arial" w:hAnsi="Arial"/>
          <w:sz w:val="16"/>
          <w:szCs w:val="16"/>
          <w:u w:val="single" w:color="auto"/>
          <w:color w:val="0000EE"/>
        </w:rPr>
      </w:pPr>
    </w:p>
    <w:p>
      <w:pPr>
        <w:ind w:left="660"/>
        <w:spacing w:after="0"/>
        <w:rPr>
          <w:rFonts w:ascii="Arial" w:cs="Arial" w:eastAsia="Arial" w:hAnsi="Arial"/>
          <w:sz w:val="16"/>
          <w:szCs w:val="16"/>
          <w:u w:val="single" w:color="auto"/>
          <w:color w:val="0000EE"/>
        </w:rPr>
      </w:pPr>
      <w:r>
        <w:rPr>
          <w:rFonts w:ascii="Arial" w:cs="Arial" w:eastAsia="Arial" w:hAnsi="Arial"/>
          <w:sz w:val="18"/>
          <w:szCs w:val="18"/>
          <w:color w:val="auto"/>
        </w:rPr>
        <w:t>10.2</w:t>
      </w:r>
      <w:hyperlink r:id="rId162">
        <w:r>
          <w:rPr>
            <w:rFonts w:ascii="Arial" w:cs="Arial" w:eastAsia="Arial" w:hAnsi="Arial"/>
            <w:sz w:val="16"/>
            <w:szCs w:val="16"/>
            <w:u w:val="single" w:color="auto"/>
            <w:color w:val="0000EE"/>
          </w:rPr>
          <w:t>Nodak Mutual Insurance Company Nonqualified Deferred Compensation Plan (1)</w:t>
        </w:r>
      </w:hyperlink>
    </w:p>
    <w:p>
      <w:pPr>
        <w:spacing w:after="0" w:line="184" w:lineRule="exact"/>
        <w:rPr>
          <w:rFonts w:ascii="Arial" w:cs="Arial" w:eastAsia="Arial" w:hAnsi="Arial"/>
          <w:sz w:val="16"/>
          <w:szCs w:val="16"/>
          <w:u w:val="single" w:color="auto"/>
          <w:color w:val="0000EE"/>
        </w:rPr>
      </w:pPr>
    </w:p>
    <w:p>
      <w:pPr>
        <w:ind w:left="1300" w:right="680" w:hanging="64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 </w:t>
      </w:r>
      <w:hyperlink r:id="rId163">
        <w:r>
          <w:rPr>
            <w:rFonts w:ascii="Arial" w:cs="Arial" w:eastAsia="Arial" w:hAnsi="Arial"/>
            <w:sz w:val="18"/>
            <w:szCs w:val="18"/>
            <w:u w:val="single" w:color="auto"/>
            <w:color w:val="0000EE"/>
          </w:rPr>
          <w:t>Employment Agreement dated as of April 28, 2016, between Michael J. Alexander and Nodak Mutual Insurance Company and NI</w:t>
        </w:r>
      </w:hyperlink>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EE"/>
          </w:rPr>
          <w:t>Holdings, Inc. (1)</w:t>
        </w:r>
      </w:hyperlink>
    </w:p>
    <w:p>
      <w:pPr>
        <w:spacing w:after="0" w:line="129" w:lineRule="exact"/>
        <w:rPr>
          <w:rFonts w:ascii="Arial" w:cs="Arial" w:eastAsia="Arial" w:hAnsi="Arial"/>
          <w:sz w:val="18"/>
          <w:szCs w:val="18"/>
          <w:u w:val="single" w:color="auto"/>
          <w:color w:val="0000EE"/>
        </w:rPr>
      </w:pPr>
    </w:p>
    <w:p>
      <w:pPr>
        <w:ind w:left="660"/>
        <w:spacing w:after="0"/>
        <w:rPr>
          <w:rFonts w:ascii="Arial" w:cs="Arial" w:eastAsia="Arial" w:hAnsi="Arial"/>
          <w:sz w:val="16"/>
          <w:szCs w:val="16"/>
          <w:color w:val="auto"/>
        </w:rPr>
      </w:pPr>
      <w:r>
        <w:rPr>
          <w:rFonts w:ascii="Arial" w:cs="Arial" w:eastAsia="Arial" w:hAnsi="Arial"/>
          <w:sz w:val="16"/>
          <w:szCs w:val="16"/>
          <w:color w:val="auto"/>
        </w:rPr>
        <w:t xml:space="preserve">10.4#   </w:t>
      </w:r>
      <w:hyperlink r:id="rId164">
        <w:r>
          <w:rPr>
            <w:rFonts w:ascii="Arial" w:cs="Arial" w:eastAsia="Arial" w:hAnsi="Arial"/>
            <w:sz w:val="16"/>
            <w:szCs w:val="16"/>
            <w:u w:val="single" w:color="auto"/>
            <w:color w:val="0000EE"/>
          </w:rPr>
          <w:t>Employment Agreement dated as of April 28, 2016, between Brian R. Doom and Nodak Mutual Insurance Company and NI Holdings, Inc.</w:t>
        </w:r>
      </w:hyperlink>
    </w:p>
    <w:p>
      <w:pPr>
        <w:spacing w:after="0" w:line="46" w:lineRule="exact"/>
        <w:rPr>
          <w:rFonts w:ascii="Arial" w:cs="Arial" w:eastAsia="Arial" w:hAnsi="Arial"/>
          <w:sz w:val="16"/>
          <w:szCs w:val="16"/>
          <w:color w:val="auto"/>
        </w:rPr>
      </w:pPr>
    </w:p>
    <w:p>
      <w:pPr>
        <w:ind w:left="1300"/>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(1)</w:t>
        </w:r>
      </w:hyperlink>
    </w:p>
    <w:p>
      <w:pPr>
        <w:spacing w:after="0" w:line="183" w:lineRule="exact"/>
        <w:rPr>
          <w:rFonts w:ascii="Arial" w:cs="Arial" w:eastAsia="Arial" w:hAnsi="Arial"/>
          <w:sz w:val="18"/>
          <w:szCs w:val="18"/>
          <w:u w:val="single" w:color="auto"/>
          <w:color w:val="0000EE"/>
        </w:rPr>
      </w:pPr>
    </w:p>
    <w:p>
      <w:pPr>
        <w:ind w:left="1300" w:right="100" w:hanging="64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10.5# </w:t>
      </w:r>
      <w:hyperlink r:id="rId165">
        <w:r>
          <w:rPr>
            <w:rFonts w:ascii="Arial" w:cs="Arial" w:eastAsia="Arial" w:hAnsi="Arial"/>
            <w:sz w:val="18"/>
            <w:szCs w:val="18"/>
            <w:u w:val="single" w:color="auto"/>
            <w:color w:val="0000EE"/>
          </w:rPr>
          <w:t>Employment Agreement dated as of April 28, 2016, between Patrick W. Duncan and Nodak Mutual Insurance Company and NI Holdings,</w:t>
        </w:r>
      </w:hyperlink>
      <w:r>
        <w:rPr>
          <w:rFonts w:ascii="Arial" w:cs="Arial" w:eastAsia="Arial" w:hAnsi="Arial"/>
          <w:sz w:val="18"/>
          <w:szCs w:val="18"/>
          <w:color w:val="auto"/>
        </w:rPr>
        <w:t xml:space="preserve"> </w:t>
      </w:r>
      <w:hyperlink r:id="rId165">
        <w:r>
          <w:rPr>
            <w:rFonts w:ascii="Arial" w:cs="Arial" w:eastAsia="Arial" w:hAnsi="Arial"/>
            <w:sz w:val="18"/>
            <w:szCs w:val="18"/>
            <w:u w:val="single" w:color="auto"/>
            <w:color w:val="0000EE"/>
          </w:rPr>
          <w:t>Inc. (1)</w:t>
        </w:r>
      </w:hyperlink>
    </w:p>
    <w:p>
      <w:pPr>
        <w:spacing w:after="0" w:line="129" w:lineRule="exact"/>
        <w:rPr>
          <w:rFonts w:ascii="Arial" w:cs="Arial" w:eastAsia="Arial" w:hAnsi="Arial"/>
          <w:sz w:val="18"/>
          <w:szCs w:val="18"/>
          <w:u w:val="single" w:color="auto"/>
          <w:color w:val="0000EE"/>
        </w:rPr>
      </w:pPr>
    </w:p>
    <w:p>
      <w:pPr>
        <w:ind w:left="660"/>
        <w:spacing w:after="0"/>
        <w:rPr>
          <w:rFonts w:ascii="Arial" w:cs="Arial" w:eastAsia="Arial" w:hAnsi="Arial"/>
          <w:sz w:val="16"/>
          <w:szCs w:val="16"/>
          <w:u w:val="single" w:color="auto"/>
          <w:color w:val="0000EE"/>
        </w:rPr>
      </w:pPr>
      <w:r>
        <w:rPr>
          <w:rFonts w:ascii="Arial" w:cs="Arial" w:eastAsia="Arial" w:hAnsi="Arial"/>
          <w:sz w:val="18"/>
          <w:szCs w:val="18"/>
          <w:color w:val="auto"/>
        </w:rPr>
        <w:t>10.6</w:t>
      </w:r>
      <w:hyperlink r:id="rId166">
        <w:r>
          <w:rPr>
            <w:rFonts w:ascii="Arial" w:cs="Arial" w:eastAsia="Arial" w:hAnsi="Arial"/>
            <w:sz w:val="16"/>
            <w:szCs w:val="16"/>
            <w:u w:val="single" w:color="auto"/>
            <w:color w:val="0000EE"/>
          </w:rPr>
          <w:t>Trademark License Agreement dated as of October 1, 2016 between North Dakota Farm Bureau and Nodak Mutual Insurance Company (1)</w:t>
        </w:r>
      </w:hyperlink>
    </w:p>
    <w:p>
      <w:pPr>
        <w:spacing w:after="0" w:line="184" w:lineRule="exact"/>
        <w:rPr>
          <w:rFonts w:ascii="Arial" w:cs="Arial" w:eastAsia="Arial" w:hAnsi="Arial"/>
          <w:sz w:val="16"/>
          <w:szCs w:val="16"/>
          <w:u w:val="single" w:color="auto"/>
          <w:color w:val="0000EE"/>
        </w:rPr>
      </w:pPr>
    </w:p>
    <w:p>
      <w:pPr>
        <w:ind w:left="1300" w:right="120" w:hanging="648"/>
        <w:spacing w:after="0" w:line="291" w:lineRule="auto"/>
        <w:rPr>
          <w:rFonts w:ascii="Arial" w:cs="Arial" w:eastAsia="Arial" w:hAnsi="Arial"/>
          <w:sz w:val="16"/>
          <w:szCs w:val="16"/>
          <w:u w:val="single" w:color="auto"/>
          <w:color w:val="0000EE"/>
        </w:rPr>
      </w:pPr>
      <w:r>
        <w:rPr>
          <w:rFonts w:ascii="Arial" w:cs="Arial" w:eastAsia="Arial" w:hAnsi="Arial"/>
          <w:sz w:val="18"/>
          <w:szCs w:val="18"/>
          <w:color w:val="auto"/>
        </w:rPr>
        <w:t>10.7</w:t>
      </w:r>
      <w:hyperlink r:id="rId167">
        <w:r>
          <w:rPr>
            <w:rFonts w:ascii="Arial" w:cs="Arial" w:eastAsia="Arial" w:hAnsi="Arial"/>
            <w:sz w:val="16"/>
            <w:szCs w:val="16"/>
            <w:u w:val="single" w:color="auto"/>
            <w:color w:val="0000EE"/>
          </w:rPr>
          <w:t>Multiple Peril Crop/Livestock Insurance Full Service Agency Agreement among American Farm Bureau Insurance Services, Inc. and</w:t>
        </w:r>
      </w:hyperlink>
      <w:r>
        <w:rPr>
          <w:rFonts w:ascii="Arial" w:cs="Arial" w:eastAsia="Arial" w:hAnsi="Arial"/>
          <w:sz w:val="16"/>
          <w:szCs w:val="16"/>
          <w:u w:val="single" w:color="auto"/>
          <w:color w:val="0000EE"/>
        </w:rPr>
        <w:t xml:space="preserve"> </w:t>
      </w:r>
      <w:hyperlink r:id="rId167">
        <w:r>
          <w:rPr>
            <w:rFonts w:ascii="Arial" w:cs="Arial" w:eastAsia="Arial" w:hAnsi="Arial"/>
            <w:sz w:val="16"/>
            <w:szCs w:val="16"/>
            <w:u w:val="single" w:color="auto"/>
            <w:color w:val="0000EE"/>
          </w:rPr>
          <w:t>Nodak Mutual Insurance Company, American West Insurance Company and Battle Creek Mutual Insurance Company for Crop Year 2016</w:t>
        </w:r>
      </w:hyperlink>
    </w:p>
    <w:p>
      <w:pPr>
        <w:ind w:left="1300"/>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(1)</w:t>
        </w:r>
      </w:hyperlink>
    </w:p>
    <w:p>
      <w:pPr>
        <w:spacing w:after="0" w:line="183" w:lineRule="exact"/>
        <w:rPr>
          <w:rFonts w:ascii="Arial" w:cs="Arial" w:eastAsia="Arial" w:hAnsi="Arial"/>
          <w:sz w:val="18"/>
          <w:szCs w:val="18"/>
          <w:u w:val="single" w:color="auto"/>
          <w:color w:val="0000EE"/>
        </w:rPr>
      </w:pPr>
    </w:p>
    <w:p>
      <w:pPr>
        <w:ind w:left="1300" w:right="60" w:hanging="648"/>
        <w:spacing w:after="0" w:line="308" w:lineRule="auto"/>
        <w:rPr>
          <w:rFonts w:ascii="Arial" w:cs="Arial" w:eastAsia="Arial" w:hAnsi="Arial"/>
          <w:sz w:val="17"/>
          <w:szCs w:val="17"/>
          <w:u w:val="single" w:color="auto"/>
          <w:color w:val="0000EE"/>
        </w:rPr>
      </w:pPr>
      <w:r>
        <w:rPr>
          <w:rFonts w:ascii="Arial" w:cs="Arial" w:eastAsia="Arial" w:hAnsi="Arial"/>
          <w:sz w:val="18"/>
          <w:szCs w:val="18"/>
          <w:color w:val="auto"/>
        </w:rPr>
        <w:t>10.8</w:t>
      </w:r>
      <w:hyperlink r:id="rId168">
        <w:r>
          <w:rPr>
            <w:rFonts w:ascii="Arial" w:cs="Arial" w:eastAsia="Arial" w:hAnsi="Arial"/>
            <w:sz w:val="17"/>
            <w:szCs w:val="17"/>
            <w:u w:val="single" w:color="auto"/>
            <w:color w:val="0000EE"/>
          </w:rPr>
          <w:t>Crop Hail Insurance Full Service Agency Agreement among American Farm Bureau Insurance Services, Inc. and Nodak Mutual Insurance</w:t>
        </w:r>
      </w:hyperlink>
      <w:r>
        <w:rPr>
          <w:rFonts w:ascii="Arial" w:cs="Arial" w:eastAsia="Arial" w:hAnsi="Arial"/>
          <w:sz w:val="17"/>
          <w:szCs w:val="17"/>
          <w:u w:val="single" w:color="auto"/>
          <w:color w:val="0000EE"/>
        </w:rPr>
        <w:t xml:space="preserve"> </w:t>
      </w:r>
      <w:hyperlink r:id="rId168">
        <w:r>
          <w:rPr>
            <w:rFonts w:ascii="Arial" w:cs="Arial" w:eastAsia="Arial" w:hAnsi="Arial"/>
            <w:sz w:val="17"/>
            <w:szCs w:val="17"/>
            <w:u w:val="single" w:color="auto"/>
            <w:color w:val="0000EE"/>
          </w:rPr>
          <w:t>Company, American West Insurance Company and Battle Creek Mutual Insurance Company for Crop Year 2016 (1)</w:t>
        </w:r>
      </w:hyperlink>
    </w:p>
    <w:p>
      <w:pPr>
        <w:spacing w:after="0" w:line="106" w:lineRule="exact"/>
        <w:rPr>
          <w:rFonts w:ascii="Arial" w:cs="Arial" w:eastAsia="Arial" w:hAnsi="Arial"/>
          <w:sz w:val="17"/>
          <w:szCs w:val="17"/>
          <w:u w:val="single" w:color="auto"/>
          <w:color w:val="0000EE"/>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10.9#   </w:t>
      </w:r>
      <w:hyperlink r:id="rId169">
        <w:r>
          <w:rPr>
            <w:rFonts w:ascii="Arial" w:cs="Arial" w:eastAsia="Arial" w:hAnsi="Arial"/>
            <w:sz w:val="18"/>
            <w:szCs w:val="18"/>
            <w:u w:val="single" w:color="auto"/>
            <w:color w:val="0000EE"/>
          </w:rPr>
          <w:t>Nodak Mutual Insurance Company Cash Incentive Bonus Plan (3)</w:t>
        </w:r>
      </w:hyperlink>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10.10#  </w:t>
      </w:r>
      <w:hyperlink r:id="rId170">
        <w:r>
          <w:rPr>
            <w:rFonts w:ascii="Arial" w:cs="Arial" w:eastAsia="Arial" w:hAnsi="Arial"/>
            <w:sz w:val="18"/>
            <w:szCs w:val="18"/>
            <w:u w:val="single" w:color="auto"/>
            <w:color w:val="0000EE"/>
          </w:rPr>
          <w:t>NI Holdings, Inc. Employee Stock Ownership Plan (1)</w:t>
        </w:r>
      </w:hyperlink>
    </w:p>
    <w:p>
      <w:pPr>
        <w:spacing w:after="0" w:line="198" w:lineRule="exact"/>
        <w:rPr>
          <w:rFonts w:ascii="Arial" w:cs="Arial" w:eastAsia="Arial" w:hAnsi="Arial"/>
          <w:sz w:val="18"/>
          <w:szCs w:val="18"/>
          <w:color w:val="auto"/>
        </w:rPr>
      </w:pPr>
    </w:p>
    <w:p>
      <w:pPr>
        <w:ind w:left="1300" w:right="400" w:hanging="64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w:t>
      </w:r>
      <w:hyperlink r:id="rId171">
        <w:r>
          <w:rPr>
            <w:rFonts w:ascii="Arial" w:cs="Arial" w:eastAsia="Arial" w:hAnsi="Arial"/>
            <w:sz w:val="18"/>
            <w:szCs w:val="18"/>
            <w:u w:val="single" w:color="auto"/>
            <w:color w:val="0000EE"/>
          </w:rPr>
          <w:t>Affiliation Agreement dated as of December 30, 2010 between Nodak Mutual Insurance Company and Battle Creek Mutual Insurance</w:t>
        </w:r>
      </w:hyperlink>
      <w:r>
        <w:rPr>
          <w:rFonts w:ascii="Arial" w:cs="Arial" w:eastAsia="Arial" w:hAnsi="Arial"/>
          <w:sz w:val="18"/>
          <w:szCs w:val="18"/>
          <w:color w:val="auto"/>
        </w:rPr>
        <w:t xml:space="preserve"> </w:t>
      </w:r>
      <w:hyperlink r:id="rId171">
        <w:r>
          <w:rPr>
            <w:rFonts w:ascii="Arial" w:cs="Arial" w:eastAsia="Arial" w:hAnsi="Arial"/>
            <w:sz w:val="18"/>
            <w:szCs w:val="18"/>
            <w:u w:val="single" w:color="auto"/>
            <w:color w:val="0000EE"/>
          </w:rPr>
          <w:t>Company (2)</w:t>
        </w:r>
      </w:hyperlink>
    </w:p>
    <w:p>
      <w:pPr>
        <w:spacing w:after="0" w:line="129" w:lineRule="exact"/>
        <w:rPr>
          <w:rFonts w:ascii="Arial" w:cs="Arial" w:eastAsia="Arial" w:hAnsi="Arial"/>
          <w:sz w:val="18"/>
          <w:szCs w:val="18"/>
          <w:u w:val="single" w:color="auto"/>
          <w:color w:val="0000EE"/>
        </w:rPr>
      </w:pPr>
    </w:p>
    <w:p>
      <w:pPr>
        <w:ind w:left="660"/>
        <w:spacing w:after="0"/>
        <w:rPr>
          <w:rFonts w:ascii="Arial" w:cs="Arial" w:eastAsia="Arial" w:hAnsi="Arial"/>
          <w:sz w:val="16"/>
          <w:szCs w:val="16"/>
          <w:u w:val="single" w:color="auto"/>
          <w:color w:val="0000EE"/>
        </w:rPr>
      </w:pPr>
      <w:r>
        <w:rPr>
          <w:rFonts w:ascii="Arial" w:cs="Arial" w:eastAsia="Arial" w:hAnsi="Arial"/>
          <w:sz w:val="18"/>
          <w:szCs w:val="18"/>
          <w:color w:val="auto"/>
        </w:rPr>
        <w:t>21.1</w:t>
      </w:r>
      <w:hyperlink r:id="rId172">
        <w:r>
          <w:rPr>
            <w:rFonts w:ascii="Arial" w:cs="Arial" w:eastAsia="Arial" w:hAnsi="Arial"/>
            <w:sz w:val="16"/>
            <w:szCs w:val="16"/>
            <w:u w:val="single" w:color="auto"/>
            <w:color w:val="0000EE"/>
          </w:rPr>
          <w:t>Subsidiaries of NI Holdings, Inc. (1)</w:t>
        </w:r>
      </w:hyperlink>
    </w:p>
    <w:p>
      <w:pPr>
        <w:spacing w:after="0" w:line="184" w:lineRule="exact"/>
        <w:rPr>
          <w:rFonts w:ascii="Arial" w:cs="Arial" w:eastAsia="Arial" w:hAnsi="Arial"/>
          <w:sz w:val="16"/>
          <w:szCs w:val="16"/>
          <w:u w:val="single" w:color="auto"/>
          <w:color w:val="0000EE"/>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116">
        <w:r>
          <w:rPr>
            <w:rFonts w:ascii="Arial" w:cs="Arial" w:eastAsia="Arial" w:hAnsi="Arial"/>
            <w:sz w:val="18"/>
            <w:szCs w:val="18"/>
            <w:u w:val="single" w:color="auto"/>
            <w:color w:val="0000EE"/>
          </w:rPr>
          <w:t>Consent of Mazars USA LLP</w:t>
        </w:r>
      </w:hyperlink>
    </w:p>
    <w:p>
      <w:pPr>
        <w:spacing w:after="0" w:line="198" w:lineRule="exact"/>
        <w:rPr>
          <w:rFonts w:ascii="Arial" w:cs="Arial" w:eastAsia="Arial" w:hAnsi="Arial"/>
          <w:sz w:val="18"/>
          <w:szCs w:val="18"/>
          <w:color w:val="auto"/>
        </w:rPr>
      </w:pPr>
    </w:p>
    <w:p>
      <w:pPr>
        <w:ind w:left="1300" w:right="460" w:hanging="64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31.1* </w:t>
      </w:r>
      <w:hyperlink w:anchor="page117">
        <w:r>
          <w:rPr>
            <w:rFonts w:ascii="Arial" w:cs="Arial" w:eastAsia="Arial" w:hAnsi="Arial"/>
            <w:sz w:val="18"/>
            <w:szCs w:val="18"/>
            <w:u w:val="single" w:color="auto"/>
            <w:color w:val="0000EE"/>
          </w:rPr>
          <w:t>Certification of Principal Executive Officer Pursuant to Rules 13a-14(a) and 15d-14(a) under the Securities Exchange Act of 1934, as</w:t>
        </w:r>
      </w:hyperlink>
      <w:r>
        <w:rPr>
          <w:rFonts w:ascii="Arial" w:cs="Arial" w:eastAsia="Arial" w:hAnsi="Arial"/>
          <w:sz w:val="18"/>
          <w:szCs w:val="18"/>
          <w:color w:val="auto"/>
        </w:rPr>
        <w:t xml:space="preserve"> </w:t>
      </w:r>
      <w:hyperlink w:anchor="page117">
        <w:r>
          <w:rPr>
            <w:rFonts w:ascii="Arial" w:cs="Arial" w:eastAsia="Arial" w:hAnsi="Arial"/>
            <w:sz w:val="18"/>
            <w:szCs w:val="18"/>
            <w:u w:val="single" w:color="auto"/>
            <w:color w:val="0000EE"/>
          </w:rPr>
          <w:t>Adopted Pursuant to Section 302 of the Sarbanes-Oxley Act of 2002.</w:t>
        </w:r>
      </w:hyperlink>
    </w:p>
    <w:p>
      <w:pPr>
        <w:sectPr>
          <w:pgSz w:w="11900" w:h="16838" w:orient="portrait"/>
          <w:cols w:equalWidth="0" w:num="1">
            <w:col w:w="11380"/>
          </w:cols>
          <w:pgMar w:left="240" w:top="226" w:right="279" w:bottom="1440" w:gutter="0" w:footer="0" w:header="0"/>
        </w:sectPr>
      </w:pPr>
    </w:p>
    <w:p>
      <w:pPr>
        <w:spacing w:after="0" w:line="17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111" w:name="page112"/>
    <w:bookmarkEnd w:id="111"/>
    <w:p>
      <w:pPr>
        <w:spacing w:after="0"/>
        <w:rPr>
          <w:rFonts w:ascii="Arial" w:cs="Arial" w:eastAsia="Arial" w:hAnsi="Arial"/>
          <w:sz w:val="22"/>
          <w:szCs w:val="22"/>
          <w:i w:val="1"/>
          <w:iCs w:val="1"/>
          <w:u w:val="single" w:color="auto"/>
          <w:color w:val="0000EE"/>
        </w:rPr>
      </w:pPr>
      <w:hyperlink w:anchor="page3">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1300" w:right="540" w:hanging="647"/>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118">
        <w:r>
          <w:rPr>
            <w:rFonts w:ascii="Arial" w:cs="Arial" w:eastAsia="Arial" w:hAnsi="Arial"/>
            <w:sz w:val="18"/>
            <w:szCs w:val="18"/>
            <w:u w:val="single" w:color="auto"/>
            <w:color w:val="0000EE"/>
          </w:rPr>
          <w:t>Certification of Principal Financial Officer Pursuant to Rules 13a-14(a) and 15d-14(a) under the Securities Exchange Act of 1934, as</w:t>
        </w:r>
      </w:hyperlink>
      <w:r>
        <w:rPr>
          <w:rFonts w:ascii="Arial" w:cs="Arial" w:eastAsia="Arial" w:hAnsi="Arial"/>
          <w:sz w:val="18"/>
          <w:szCs w:val="18"/>
          <w:u w:val="single" w:color="auto"/>
          <w:color w:val="0000EE"/>
        </w:rPr>
        <w:t xml:space="preserve"> </w:t>
      </w:r>
      <w:hyperlink w:anchor="page118">
        <w:r>
          <w:rPr>
            <w:rFonts w:ascii="Arial" w:cs="Arial" w:eastAsia="Arial" w:hAnsi="Arial"/>
            <w:sz w:val="18"/>
            <w:szCs w:val="18"/>
            <w:u w:val="single" w:color="auto"/>
            <w:color w:val="0000EE"/>
          </w:rPr>
          <w:t>Adopted Pursuant to Section 302 of the Sarbanes-Oxley Act of 2002.</w:t>
        </w:r>
      </w:hyperlink>
    </w:p>
    <w:p>
      <w:pPr>
        <w:spacing w:after="0" w:line="130" w:lineRule="exact"/>
        <w:rPr>
          <w:sz w:val="20"/>
          <w:szCs w:val="20"/>
          <w:color w:val="auto"/>
        </w:rPr>
      </w:pPr>
    </w:p>
    <w:p>
      <w:pPr>
        <w:ind w:left="1300" w:right="340" w:hanging="639"/>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w:anchor="page119">
        <w:r>
          <w:rPr>
            <w:rFonts w:ascii="Arial" w:cs="Arial" w:eastAsia="Arial" w:hAnsi="Arial"/>
            <w:sz w:val="18"/>
            <w:szCs w:val="18"/>
            <w:u w:val="single" w:color="auto"/>
            <w:color w:val="0000EE"/>
          </w:rPr>
          <w:t>Certification of Principal Executive Officer and Principal Financial Officer Pursuant to 18 U.S.C. Section 1350, as Adopted Pursuant to</w:t>
        </w:r>
      </w:hyperlink>
      <w:r>
        <w:rPr>
          <w:rFonts w:ascii="Arial" w:cs="Arial" w:eastAsia="Arial" w:hAnsi="Arial"/>
          <w:sz w:val="18"/>
          <w:szCs w:val="18"/>
          <w:u w:val="single" w:color="auto"/>
          <w:color w:val="0000EE"/>
        </w:rPr>
        <w:t xml:space="preserve"> </w:t>
      </w:r>
      <w:hyperlink w:anchor="page119">
        <w:r>
          <w:rPr>
            <w:rFonts w:ascii="Arial" w:cs="Arial" w:eastAsia="Arial" w:hAnsi="Arial"/>
            <w:sz w:val="18"/>
            <w:szCs w:val="18"/>
            <w:u w:val="single" w:color="auto"/>
            <w:color w:val="0000EE"/>
          </w:rPr>
          <w:t>Section 906 of the Sarbanes-Oxley Act of 2002.</w:t>
        </w:r>
      </w:hyperlink>
    </w:p>
    <w:p>
      <w:pPr>
        <w:spacing w:after="0" w:line="14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101.SCH**  XBRL Taxonomy Extension Schema Linkbase Document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101.LAB**  XBRL Taxonomy Extension Label Linkbase Document</w:t>
      </w:r>
    </w:p>
    <w:p>
      <w:pPr>
        <w:spacing w:after="0" w:line="18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98"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firstLine="8"/>
        <w:spacing w:after="0" w:line="264"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41"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sz w:val="20"/>
          <w:szCs w:val="20"/>
          <w:color w:val="auto"/>
        </w:rPr>
      </w:pPr>
    </w:p>
    <w:p>
      <w:pPr>
        <w:ind w:right="680" w:firstLine="8"/>
        <w:spacing w:after="0" w:line="277" w:lineRule="auto"/>
        <w:tabs>
          <w:tab w:leader="none" w:pos="525"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(File No. 333-214057) filed with the SEC on October 11, 2016, and incorporated herein by reference.</w:t>
      </w:r>
    </w:p>
    <w:p>
      <w:pPr>
        <w:spacing w:after="0" w:line="129" w:lineRule="exact"/>
        <w:rPr>
          <w:rFonts w:ascii="Arial" w:cs="Arial" w:eastAsia="Arial" w:hAnsi="Arial"/>
          <w:sz w:val="18"/>
          <w:szCs w:val="18"/>
          <w:color w:val="auto"/>
        </w:rPr>
      </w:pPr>
    </w:p>
    <w:p>
      <w:pPr>
        <w:ind w:right="760" w:firstLine="8"/>
        <w:spacing w:after="0" w:line="277" w:lineRule="auto"/>
        <w:tabs>
          <w:tab w:leader="none" w:pos="525"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as an exhibit to Amendment No. 1 to the Company’s Registration Statement on Form S-1 (File No. 333-214057) filed with the SEC on November 14, 2016, and incorporated herein by reference.</w:t>
      </w:r>
    </w:p>
    <w:p>
      <w:pPr>
        <w:spacing w:after="0" w:line="129" w:lineRule="exact"/>
        <w:rPr>
          <w:rFonts w:ascii="Arial" w:cs="Arial" w:eastAsia="Arial" w:hAnsi="Arial"/>
          <w:sz w:val="18"/>
          <w:szCs w:val="18"/>
          <w:color w:val="auto"/>
        </w:rPr>
      </w:pPr>
    </w:p>
    <w:p>
      <w:pPr>
        <w:ind w:right="160" w:firstLine="8"/>
        <w:spacing w:after="0" w:line="277" w:lineRule="auto"/>
        <w:tabs>
          <w:tab w:leader="none" w:pos="525"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as an exhibit to Amendment No. 4 to the Company’s Registration Statement on Form S-1 (File No. 333-214057) filed with the SEC on January 12, 2017, and incorporated herein by reference.</w:t>
      </w:r>
    </w:p>
    <w:p>
      <w:pPr>
        <w:spacing w:after="0" w:line="200" w:lineRule="exact"/>
        <w:rPr>
          <w:sz w:val="20"/>
          <w:szCs w:val="20"/>
          <w:color w:val="auto"/>
        </w:rPr>
      </w:pPr>
    </w:p>
    <w:p>
      <w:pPr>
        <w:spacing w:after="0" w:line="3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2" w:name="page113"/>
    <w:bookmarkEnd w:id="112"/>
    <w:p>
      <w:pPr>
        <w:spacing w:after="0"/>
        <w:rPr>
          <w:rFonts w:ascii="Arial" w:cs="Arial" w:eastAsia="Arial" w:hAnsi="Arial"/>
          <w:sz w:val="22"/>
          <w:szCs w:val="22"/>
          <w:i w:val="1"/>
          <w:iCs w:val="1"/>
          <w:u w:val="single" w:color="auto"/>
          <w:color w:val="0000EE"/>
        </w:rPr>
      </w:pPr>
      <w:hyperlink w:anchor="page3">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 – Condensed financial information of registrant – NI Holdings,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NI Holdings, Inc. was formed on March 13, 2017. The following condensed financial information begins with that date.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0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5,886</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securities, at fair value</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48,097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Pr>
          <w:p>
            <w:pPr>
              <w:ind w:left="120"/>
              <w:spacing w:after="0"/>
              <w:rPr>
                <w:sz w:val="20"/>
                <w:szCs w:val="20"/>
                <w:color w:val="auto"/>
              </w:rPr>
            </w:pPr>
            <w:r>
              <w:rPr>
                <w:rFonts w:ascii="Arial" w:cs="Arial" w:eastAsia="Arial" w:hAnsi="Arial"/>
                <w:sz w:val="18"/>
                <w:szCs w:val="18"/>
                <w:color w:val="auto"/>
              </w:rPr>
              <w:t>Equity securities, at fair value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11,607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18,458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cash and investments</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65,590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investment income</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20"/>
              <w:spacing w:after="0"/>
              <w:rPr>
                <w:sz w:val="20"/>
                <w:szCs w:val="20"/>
                <w:color w:val="auto"/>
              </w:rPr>
            </w:pPr>
            <w:r>
              <w:rPr>
                <w:rFonts w:ascii="Arial" w:cs="Arial" w:eastAsia="Arial" w:hAnsi="Arial"/>
                <w:sz w:val="18"/>
                <w:szCs w:val="18"/>
                <w:color w:val="auto"/>
              </w:rPr>
              <w:t>Investment in wholly-owned subsidiaries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208,510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168,103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 net</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274,869</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254,379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Liabilities: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20"/>
              <w:spacing w:after="0"/>
              <w:rPr>
                <w:sz w:val="20"/>
                <w:szCs w:val="20"/>
                <w:color w:val="auto"/>
              </w:rPr>
            </w:pPr>
            <w:r>
              <w:rPr>
                <w:rFonts w:ascii="Arial" w:cs="Arial" w:eastAsia="Arial" w:hAnsi="Arial"/>
                <w:sz w:val="18"/>
                <w:szCs w:val="18"/>
                <w:color w:val="auto"/>
              </w:rPr>
              <w:t>Federal income tax payable (recoverable)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Commitments and contingencies</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Shareholders’ equity</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272,490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252,394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ind w:left="4280"/>
              <w:spacing w:after="0"/>
              <w:rPr>
                <w:sz w:val="20"/>
                <w:szCs w:val="20"/>
                <w:color w:val="auto"/>
              </w:rPr>
            </w:pPr>
            <w:r>
              <w:rPr>
                <w:rFonts w:ascii="Arial" w:cs="Arial" w:eastAsia="Arial" w:hAnsi="Arial"/>
                <w:sz w:val="18"/>
                <w:szCs w:val="18"/>
                <w:b w:val="1"/>
                <w:bCs w:val="1"/>
                <w:color w:val="auto"/>
              </w:rPr>
              <w:t>Condensed Statements of Operations</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808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94"/>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20"/>
              <w:spacing w:after="0"/>
              <w:rPr>
                <w:sz w:val="20"/>
                <w:szCs w:val="20"/>
                <w:color w:val="auto"/>
              </w:rPr>
            </w:pPr>
            <w:r>
              <w:rPr>
                <w:rFonts w:ascii="Arial" w:cs="Arial" w:eastAsia="Arial" w:hAnsi="Arial"/>
                <w:sz w:val="18"/>
                <w:szCs w:val="18"/>
                <w:color w:val="auto"/>
              </w:rPr>
              <w:t>Fee and other income</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4,580</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Pr>
          <w:p>
            <w:pPr>
              <w:ind w:left="120"/>
              <w:spacing w:after="0"/>
              <w:rPr>
                <w:sz w:val="20"/>
                <w:szCs w:val="20"/>
                <w:color w:val="auto"/>
              </w:rPr>
            </w:pPr>
            <w:r>
              <w:rPr>
                <w:rFonts w:ascii="Arial" w:cs="Arial" w:eastAsia="Arial" w:hAnsi="Arial"/>
                <w:sz w:val="18"/>
                <w:szCs w:val="18"/>
                <w:color w:val="auto"/>
              </w:rPr>
              <w:t>Net realized capital gain on investments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Pr>
          <w:p>
            <w:pPr>
              <w:ind w:left="120"/>
              <w:spacing w:after="0"/>
              <w:rPr>
                <w:sz w:val="20"/>
                <w:szCs w:val="20"/>
                <w:color w:val="auto"/>
              </w:rPr>
            </w:pPr>
            <w:r>
              <w:rPr>
                <w:rFonts w:ascii="Arial" w:cs="Arial" w:eastAsia="Arial" w:hAnsi="Arial"/>
                <w:sz w:val="18"/>
                <w:szCs w:val="18"/>
                <w:color w:val="auto"/>
              </w:rPr>
              <w:t>Other underwriting and general expenses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2,574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expenses</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 equity in undistributed net income of subsidiaries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equity in undistributed net income of subsidiaries</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Pr>
          <w:p>
            <w:pPr>
              <w:ind w:left="120"/>
              <w:spacing w:after="0"/>
              <w:rPr>
                <w:sz w:val="20"/>
                <w:szCs w:val="20"/>
                <w:color w:val="auto"/>
              </w:rPr>
            </w:pPr>
            <w:r>
              <w:rPr>
                <w:rFonts w:ascii="Arial" w:cs="Arial" w:eastAsia="Arial" w:hAnsi="Arial"/>
                <w:sz w:val="18"/>
                <w:szCs w:val="18"/>
                <w:color w:val="auto"/>
              </w:rPr>
              <w:t>Equity in undistributed net income of subsidiaries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26,502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16,222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NI Holdings, Inc.</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ind w:left="3800"/>
              <w:spacing w:after="0"/>
              <w:rPr>
                <w:sz w:val="20"/>
                <w:szCs w:val="20"/>
                <w:color w:val="auto"/>
              </w:rPr>
            </w:pPr>
            <w:r>
              <w:rPr>
                <w:rFonts w:ascii="Arial" w:cs="Arial" w:eastAsia="Arial" w:hAnsi="Arial"/>
                <w:sz w:val="18"/>
                <w:szCs w:val="18"/>
                <w:b w:val="1"/>
                <w:bCs w:val="1"/>
                <w:color w:val="auto"/>
                <w:w w:val="99"/>
              </w:rPr>
              <w:t>Condensed Statements of Comprehensive Income</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808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94"/>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NI Holdings, Inc.</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 comprehensive income, net of income taxes: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gain on investments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Pr>
          <w:p>
            <w:pPr>
              <w:ind w:left="120"/>
              <w:spacing w:after="0"/>
              <w:rPr>
                <w:sz w:val="20"/>
                <w:szCs w:val="20"/>
                <w:color w:val="auto"/>
              </w:rPr>
            </w:pPr>
            <w:r>
              <w:rPr>
                <w:rFonts w:ascii="Arial" w:cs="Arial" w:eastAsia="Arial" w:hAnsi="Arial"/>
                <w:sz w:val="18"/>
                <w:szCs w:val="18"/>
                <w:color w:val="auto"/>
              </w:rPr>
              <w:t>Unrealized (loss) gain on subsidiaries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(8,877)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 net of income taxes</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890" w:gutter="0" w:footer="0" w:header="0"/>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890" w:gutter="0" w:footer="0" w:header="0"/>
          <w:type w:val="continuous"/>
        </w:sectPr>
      </w:pPr>
    </w:p>
    <w:bookmarkStart w:id="113" w:name="page114"/>
    <w:bookmarkEnd w:id="113"/>
    <w:p>
      <w:pPr>
        <w:spacing w:after="0"/>
        <w:rPr>
          <w:rFonts w:ascii="Arial" w:cs="Arial" w:eastAsia="Arial" w:hAnsi="Arial"/>
          <w:sz w:val="22"/>
          <w:szCs w:val="22"/>
          <w:i w:val="1"/>
          <w:iCs w:val="1"/>
          <w:u w:val="single" w:color="auto"/>
          <w:color w:val="0000EE"/>
        </w:rPr>
      </w:pPr>
      <w:hyperlink w:anchor="page3">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2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642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ind w:left="140"/>
              <w:spacing w:after="0"/>
              <w:rPr>
                <w:sz w:val="20"/>
                <w:szCs w:val="20"/>
                <w:color w:val="auto"/>
              </w:rPr>
            </w:pPr>
            <w:r>
              <w:rPr>
                <w:rFonts w:ascii="Arial" w:cs="Arial" w:eastAsia="Arial" w:hAnsi="Arial"/>
                <w:sz w:val="18"/>
                <w:szCs w:val="18"/>
                <w:color w:val="auto"/>
              </w:rPr>
              <w:t>Net income attributable to NI Holdings, Inc.</w:t>
            </w:r>
          </w:p>
        </w:tc>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31,081</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15,991</w:t>
            </w:r>
          </w:p>
        </w:tc>
      </w:tr>
      <w:tr>
        <w:trPr>
          <w:trHeight w:val="216"/>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8"/>
                <w:szCs w:val="18"/>
                <w:color w:val="auto"/>
              </w:rPr>
              <w:t>Equity in undistributed net income of subsidiaries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(26,502)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(16,222)</w:t>
            </w:r>
          </w:p>
        </w:tc>
      </w:tr>
      <w:tr>
        <w:trPr>
          <w:trHeight w:val="216"/>
        </w:trPr>
        <w:tc>
          <w:tcPr>
            <w:tcW w:w="6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acquisition of Direct Auto Insurance Company</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1,109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2,072</w:t>
            </w:r>
          </w:p>
        </w:tc>
      </w:tr>
      <w:tr>
        <w:trPr>
          <w:trHeight w:val="210"/>
        </w:trPr>
        <w:tc>
          <w:tcPr>
            <w:tcW w:w="642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adjustments</w:t>
            </w:r>
          </w:p>
        </w:tc>
        <w:tc>
          <w:tcPr>
            <w:tcW w:w="2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tcPr>
          <w:p>
            <w:pPr>
              <w:spacing w:after="0"/>
              <w:rPr>
                <w:sz w:val="18"/>
                <w:szCs w:val="18"/>
                <w:color w:val="auto"/>
              </w:rPr>
            </w:pPr>
          </w:p>
        </w:tc>
      </w:tr>
      <w:tr>
        <w:trPr>
          <w:trHeight w:val="210"/>
        </w:trPr>
        <w:tc>
          <w:tcPr>
            <w:tcW w:w="64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rPr>
          <w:sz w:val="20"/>
          <w:szCs w:val="20"/>
          <w:color w:val="auto"/>
        </w:rPr>
      </w:pPr>
      <w:r>
        <w:rPr>
          <w:rFonts w:ascii="Arial" w:cs="Arial" w:eastAsia="Arial" w:hAnsi="Arial"/>
          <w:sz w:val="18"/>
          <w:szCs w:val="18"/>
          <w:color w:val="auto"/>
        </w:rPr>
        <w:t>Cash flows from investing activities: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sale (purchase) of fixed income and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Acquisition of Direct Auto Insurance Company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60"/>
        <w:spacing w:after="0"/>
        <w:tabs>
          <w:tab w:leader="none" w:pos="1440" w:val="left"/>
        </w:tabs>
        <w:rPr>
          <w:sz w:val="20"/>
          <w:szCs w:val="20"/>
          <w:color w:val="auto"/>
        </w:rPr>
      </w:pPr>
      <w:r>
        <w:rPr>
          <w:rFonts w:ascii="Arial" w:cs="Arial" w:eastAsia="Arial" w:hAnsi="Arial"/>
          <w:sz w:val="16"/>
          <w:szCs w:val="16"/>
          <w:color w:val="auto"/>
        </w:rPr>
        <w:t>17,941</w:t>
      </w:r>
      <w:r>
        <w:rPr>
          <w:sz w:val="20"/>
          <w:szCs w:val="20"/>
          <w:color w:val="auto"/>
        </w:rPr>
        <w:tab/>
      </w:r>
      <w:r>
        <w:rPr>
          <w:rFonts w:ascii="Arial" w:cs="Arial" w:eastAsia="Arial" w:hAnsi="Arial"/>
          <w:sz w:val="16"/>
          <w:szCs w:val="16"/>
          <w:color w:val="auto"/>
        </w:rPr>
        <w:t>(77,718)</w:t>
      </w:r>
    </w:p>
    <w:p>
      <w:pPr>
        <w:spacing w:after="0" w:line="46"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(17,000)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280"/>
        <w:spacing w:after="0"/>
        <w:tabs>
          <w:tab w:leader="none" w:pos="1440" w:val="left"/>
        </w:tabs>
        <w:rPr>
          <w:sz w:val="20"/>
          <w:szCs w:val="20"/>
          <w:color w:val="auto"/>
        </w:rPr>
      </w:pPr>
      <w:r>
        <w:rPr>
          <w:rFonts w:ascii="Arial" w:cs="Arial" w:eastAsia="Arial" w:hAnsi="Arial"/>
          <w:sz w:val="18"/>
          <w:szCs w:val="18"/>
          <w:color w:val="auto"/>
        </w:rPr>
        <w:t>941</w:t>
      </w:r>
      <w:r>
        <w:rPr>
          <w:sz w:val="20"/>
          <w:szCs w:val="20"/>
          <w:color w:val="auto"/>
        </w:rPr>
        <w:tab/>
      </w:r>
      <w:r>
        <w:rPr>
          <w:rFonts w:ascii="Arial" w:cs="Arial" w:eastAsia="Arial" w:hAnsi="Arial"/>
          <w:sz w:val="18"/>
          <w:szCs w:val="18"/>
          <w:color w:val="auto"/>
        </w:rPr>
        <w:t>(77,718)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14605</wp:posOffset>
            </wp:positionV>
            <wp:extent cx="17322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80" w:space="720"/>
            <w:col w:w="2120"/>
          </w:cols>
          <w:pgMar w:left="240" w:top="226"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Proceeds from issuance of common stock</w:t>
            </w: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treasury stock</w:t>
            </w: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Loan to employee stock ownership plan</w:t>
            </w:r>
          </w:p>
        </w:tc>
        <w:tc>
          <w:tcPr>
            <w:tcW w:w="2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cash flows (used in) provided by financing activities</w:t>
            </w:r>
          </w:p>
        </w:tc>
        <w:tc>
          <w:tcPr>
            <w:tcW w:w="2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2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the parent-company-only financial statements, the Company’s investment in subsidiaries is stated at cost plus equity in undistributed earnings of subsidiaries since inception. The parent-company-only financial statements should be read in conjunction with the Company’s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B – Dividends from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received no dividends from its subsidiaries since being formed on March 13,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4" w:name="page115"/>
    <w:bookmarkEnd w:id="114"/>
    <w:p>
      <w:pPr>
        <w:spacing w:after="0"/>
        <w:rPr>
          <w:rFonts w:ascii="Arial" w:cs="Arial" w:eastAsia="Arial" w:hAnsi="Arial"/>
          <w:sz w:val="22"/>
          <w:szCs w:val="22"/>
          <w:i w:val="1"/>
          <w:iCs w:val="1"/>
          <w:u w:val="single" w:color="auto"/>
          <w:color w:val="0000EE"/>
        </w:rPr>
      </w:pPr>
      <w:hyperlink w:anchor="page3">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3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13, 2019.</w:t>
      </w:r>
    </w:p>
    <w:p>
      <w:pPr>
        <w:spacing w:after="0" w:line="1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J. Alexander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March 13, 2019, by the following persons on behalf of the registrant and in the capacities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ind w:left="132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040" w:type="dxa"/>
            <w:vAlign w:val="bottom"/>
            <w:gridSpan w:val="2"/>
          </w:tcPr>
          <w:p>
            <w:pPr>
              <w:ind w:left="2060"/>
              <w:spacing w:after="0"/>
              <w:rPr>
                <w:sz w:val="20"/>
                <w:szCs w:val="20"/>
                <w:color w:val="auto"/>
              </w:rPr>
            </w:pPr>
            <w:r>
              <w:rPr>
                <w:rFonts w:ascii="Arial" w:cs="Arial" w:eastAsia="Arial" w:hAnsi="Arial"/>
                <w:sz w:val="18"/>
                <w:szCs w:val="18"/>
                <w:b w:val="1"/>
                <w:bCs w:val="1"/>
                <w:color w:val="auto"/>
              </w:rPr>
              <w:t>Capacity</w:t>
            </w:r>
          </w:p>
        </w:tc>
        <w:tc>
          <w:tcPr>
            <w:tcW w:w="2720" w:type="dxa"/>
            <w:vAlign w:val="bottom"/>
          </w:tcPr>
          <w:p>
            <w:pPr>
              <w:ind w:left="118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w:t>
            </w:r>
          </w:p>
        </w:tc>
        <w:tc>
          <w:tcPr>
            <w:tcW w:w="24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Michael J. Alexander</w:t>
            </w:r>
          </w:p>
        </w:tc>
        <w:tc>
          <w:tcPr>
            <w:tcW w:w="2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 Director</w:t>
            </w:r>
          </w:p>
        </w:tc>
        <w:tc>
          <w:tcPr>
            <w:tcW w:w="2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Michael J. Alexander</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and</w:t>
            </w: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Brian R. Doom</w:t>
            </w:r>
          </w:p>
        </w:tc>
        <w:tc>
          <w:tcPr>
            <w:tcW w:w="2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Brian R. Doom</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Eric K. Aasmundstad</w:t>
            </w:r>
          </w:p>
        </w:tc>
        <w:tc>
          <w:tcPr>
            <w:tcW w:w="22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Eric K. Aasmundstad</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William R. Devlin</w:t>
            </w:r>
          </w:p>
        </w:tc>
        <w:tc>
          <w:tcPr>
            <w:tcW w:w="22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William R. Devlin</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Duaine C. Espegard</w:t>
            </w:r>
          </w:p>
        </w:tc>
        <w:tc>
          <w:tcPr>
            <w:tcW w:w="22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Duaine C. Espegard</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Stephen V. Marlow</w:t>
            </w:r>
          </w:p>
        </w:tc>
        <w:tc>
          <w:tcPr>
            <w:tcW w:w="22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Stephen V. Marlow</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Jeffrey R. Missling</w:t>
            </w:r>
          </w:p>
        </w:tc>
        <w:tc>
          <w:tcPr>
            <w:tcW w:w="22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Jeffrey R. Missling</w:t>
            </w:r>
          </w:p>
        </w:tc>
        <w:tc>
          <w:tcPr>
            <w:tcW w:w="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S-8 (No. 333-221630) under the Securities Act of 1933 of the NI Holdings, Inc. 2017 Stock and Incentive Plan of our report dated March 13, 2019 on the consolidated balance sheets of NI Holdings, Inc. and Subsidiaries as of December 31, 2018 and 2017, and the related consolidated statements of operations, comprehensive income, changes in equity, and cash flows for each of the three years in the period ended December 31, 2018, and the related notes and the schedule listed in Item 15(a)(2). This report appears in the December 31, 2018 Annual Report on Form 10-K of NI Holdings, Inc. and 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Mazars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 Washington,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NI Holdings, Inc.</w:t>
      </w:r>
    </w:p>
    <w:p>
      <w:pPr>
        <w:spacing w:after="0" w:line="19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ind w:left="2160"/>
              <w:spacing w:after="0"/>
              <w:rPr>
                <w:sz w:val="20"/>
                <w:szCs w:val="20"/>
                <w:color w:val="auto"/>
              </w:rPr>
            </w:pPr>
            <w:r>
              <w:rPr>
                <w:rFonts w:ascii="Arial" w:cs="Arial" w:eastAsia="Arial" w:hAnsi="Arial"/>
                <w:sz w:val="18"/>
                <w:szCs w:val="18"/>
                <w:color w:val="auto"/>
              </w:rPr>
              <w:t>March 13, 2019</w:t>
            </w:r>
          </w:p>
        </w:tc>
        <w:tc>
          <w:tcPr>
            <w:tcW w:w="128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280" w:type="dxa"/>
            <w:vAlign w:val="bottom"/>
          </w:tcPr>
          <w:p>
            <w:pPr>
              <w:spacing w:after="0"/>
              <w:rPr>
                <w:sz w:val="20"/>
                <w:szCs w:val="20"/>
                <w:color w:val="auto"/>
              </w:rPr>
            </w:pPr>
          </w:p>
        </w:tc>
      </w:tr>
      <w:tr>
        <w:trPr>
          <w:trHeight w:val="195"/>
        </w:trPr>
        <w:tc>
          <w:tcPr>
            <w:tcW w:w="4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280" w:type="dxa"/>
            <w:vAlign w:val="bottom"/>
          </w:tcPr>
          <w:p>
            <w:pPr>
              <w:spacing w:after="0"/>
              <w:rPr>
                <w:sz w:val="16"/>
                <w:szCs w:val="16"/>
                <w:color w:val="auto"/>
              </w:rPr>
            </w:pPr>
          </w:p>
        </w:tc>
      </w:tr>
      <w:tr>
        <w:trPr>
          <w:trHeight w:val="216"/>
        </w:trPr>
        <w:tc>
          <w:tcPr>
            <w:tcW w:w="4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280" w:type="dxa"/>
            <w:vAlign w:val="bottom"/>
          </w:tcPr>
          <w:p>
            <w:pPr>
              <w:spacing w:after="0"/>
              <w:rPr>
                <w:sz w:val="18"/>
                <w:szCs w:val="18"/>
                <w:color w:val="auto"/>
              </w:rPr>
            </w:pPr>
          </w:p>
        </w:tc>
      </w:tr>
      <w:tr>
        <w:trPr>
          <w:trHeight w:val="230"/>
        </w:trPr>
        <w:tc>
          <w:tcPr>
            <w:tcW w:w="4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280" w:type="dxa"/>
            <w:vAlign w:val="bottom"/>
          </w:tcPr>
          <w:p>
            <w:pPr>
              <w:spacing w:after="0"/>
              <w:rPr>
                <w:sz w:val="20"/>
                <w:szCs w:val="20"/>
                <w:color w:val="auto"/>
              </w:rPr>
            </w:pPr>
          </w:p>
        </w:tc>
      </w:tr>
      <w:tr>
        <w:trPr>
          <w:trHeight w:val="669"/>
        </w:trPr>
        <w:tc>
          <w:tcPr>
            <w:tcW w:w="44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right"/>
              <w:ind w:right="3230"/>
              <w:spacing w:after="0"/>
              <w:rPr>
                <w:sz w:val="20"/>
                <w:szCs w:val="20"/>
                <w:color w:val="auto"/>
              </w:rPr>
            </w:pPr>
            <w:r>
              <w:rPr>
                <w:rFonts w:ascii="Arial" w:cs="Arial" w:eastAsia="Arial" w:hAnsi="Arial"/>
                <w:sz w:val="18"/>
                <w:szCs w:val="18"/>
                <w:color w:val="auto"/>
              </w:rPr>
              <w:t>114</w:t>
            </w: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Brian R. Doom, certify that:</w:t>
      </w:r>
    </w:p>
    <w:p>
      <w:pPr>
        <w:spacing w:after="0" w:line="185"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NI Holdings, Inc.</w:t>
      </w:r>
    </w:p>
    <w:p>
      <w:pPr>
        <w:spacing w:after="0" w:line="19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ind w:left="2160"/>
              <w:spacing w:after="0"/>
              <w:rPr>
                <w:sz w:val="20"/>
                <w:szCs w:val="20"/>
                <w:color w:val="auto"/>
              </w:rPr>
            </w:pPr>
            <w:r>
              <w:rPr>
                <w:rFonts w:ascii="Arial" w:cs="Arial" w:eastAsia="Arial" w:hAnsi="Arial"/>
                <w:sz w:val="18"/>
                <w:szCs w:val="18"/>
                <w:color w:val="auto"/>
              </w:rPr>
              <w:t>March 13, 2019</w:t>
            </w:r>
          </w:p>
        </w:tc>
        <w:tc>
          <w:tcPr>
            <w:tcW w:w="128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2280" w:type="dxa"/>
            <w:vAlign w:val="bottom"/>
          </w:tcPr>
          <w:p>
            <w:pPr>
              <w:spacing w:after="0"/>
              <w:rPr>
                <w:sz w:val="20"/>
                <w:szCs w:val="20"/>
                <w:color w:val="auto"/>
              </w:rPr>
            </w:pPr>
          </w:p>
        </w:tc>
      </w:tr>
      <w:tr>
        <w:trPr>
          <w:trHeight w:val="195"/>
        </w:trPr>
        <w:tc>
          <w:tcPr>
            <w:tcW w:w="4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Brian R. Doom</w:t>
            </w:r>
          </w:p>
        </w:tc>
        <w:tc>
          <w:tcPr>
            <w:tcW w:w="2280" w:type="dxa"/>
            <w:vAlign w:val="bottom"/>
          </w:tcPr>
          <w:p>
            <w:pPr>
              <w:spacing w:after="0"/>
              <w:rPr>
                <w:sz w:val="16"/>
                <w:szCs w:val="16"/>
                <w:color w:val="auto"/>
              </w:rPr>
            </w:pPr>
          </w:p>
        </w:tc>
      </w:tr>
      <w:tr>
        <w:trPr>
          <w:trHeight w:val="216"/>
        </w:trPr>
        <w:tc>
          <w:tcPr>
            <w:tcW w:w="4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spacing w:after="0"/>
              <w:rPr>
                <w:sz w:val="18"/>
                <w:szCs w:val="18"/>
                <w:color w:val="auto"/>
              </w:rPr>
            </w:pPr>
          </w:p>
        </w:tc>
      </w:tr>
      <w:tr>
        <w:trPr>
          <w:trHeight w:val="230"/>
        </w:trPr>
        <w:tc>
          <w:tcPr>
            <w:tcW w:w="4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280" w:type="dxa"/>
            <w:vAlign w:val="bottom"/>
          </w:tcPr>
          <w:p>
            <w:pPr>
              <w:spacing w:after="0"/>
              <w:rPr>
                <w:sz w:val="20"/>
                <w:szCs w:val="20"/>
                <w:color w:val="auto"/>
              </w:rPr>
            </w:pPr>
          </w:p>
        </w:tc>
      </w:tr>
      <w:tr>
        <w:trPr>
          <w:trHeight w:val="453"/>
        </w:trPr>
        <w:tc>
          <w:tcPr>
            <w:tcW w:w="44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right"/>
              <w:ind w:right="3230"/>
              <w:spacing w:after="0"/>
              <w:rPr>
                <w:sz w:val="20"/>
                <w:szCs w:val="20"/>
                <w:color w:val="auto"/>
              </w:rPr>
            </w:pPr>
            <w:r>
              <w:rPr>
                <w:rFonts w:ascii="Arial" w:cs="Arial" w:eastAsia="Arial" w:hAnsi="Arial"/>
                <w:sz w:val="18"/>
                <w:szCs w:val="18"/>
                <w:color w:val="auto"/>
              </w:rPr>
              <w:t>115</w:t>
            </w: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of NI Holdings, Inc. (the “Company”) on Form 10-K for the period ended December 31, 2018,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46"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ind w:left="2160"/>
              <w:spacing w:after="0"/>
              <w:rPr>
                <w:sz w:val="20"/>
                <w:szCs w:val="20"/>
                <w:color w:val="auto"/>
              </w:rPr>
            </w:pPr>
            <w:r>
              <w:rPr>
                <w:rFonts w:ascii="Arial" w:cs="Arial" w:eastAsia="Arial" w:hAnsi="Arial"/>
                <w:sz w:val="18"/>
                <w:szCs w:val="18"/>
                <w:color w:val="auto"/>
              </w:rPr>
              <w:t>March 13, 2019</w:t>
            </w:r>
          </w:p>
        </w:tc>
        <w:tc>
          <w:tcPr>
            <w:tcW w:w="128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280" w:type="dxa"/>
            <w:vAlign w:val="bottom"/>
          </w:tcPr>
          <w:p>
            <w:pPr>
              <w:spacing w:after="0"/>
              <w:rPr>
                <w:sz w:val="20"/>
                <w:szCs w:val="20"/>
                <w:color w:val="auto"/>
              </w:rPr>
            </w:pPr>
          </w:p>
        </w:tc>
      </w:tr>
      <w:tr>
        <w:trPr>
          <w:trHeight w:val="195"/>
        </w:trPr>
        <w:tc>
          <w:tcPr>
            <w:tcW w:w="4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280" w:type="dxa"/>
            <w:vAlign w:val="bottom"/>
          </w:tcPr>
          <w:p>
            <w:pPr>
              <w:spacing w:after="0"/>
              <w:rPr>
                <w:sz w:val="16"/>
                <w:szCs w:val="16"/>
                <w:color w:val="auto"/>
              </w:rPr>
            </w:pPr>
          </w:p>
        </w:tc>
      </w:tr>
      <w:tr>
        <w:trPr>
          <w:trHeight w:val="216"/>
        </w:trPr>
        <w:tc>
          <w:tcPr>
            <w:tcW w:w="4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280" w:type="dxa"/>
            <w:vAlign w:val="bottom"/>
          </w:tcPr>
          <w:p>
            <w:pPr>
              <w:spacing w:after="0"/>
              <w:rPr>
                <w:sz w:val="18"/>
                <w:szCs w:val="18"/>
                <w:color w:val="auto"/>
              </w:rPr>
            </w:pPr>
          </w:p>
        </w:tc>
      </w:tr>
      <w:tr>
        <w:trPr>
          <w:trHeight w:val="230"/>
        </w:trPr>
        <w:tc>
          <w:tcPr>
            <w:tcW w:w="4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280" w:type="dxa"/>
            <w:vAlign w:val="bottom"/>
          </w:tcPr>
          <w:p>
            <w:pPr>
              <w:spacing w:after="0"/>
              <w:rPr>
                <w:sz w:val="20"/>
                <w:szCs w:val="20"/>
                <w:color w:val="auto"/>
              </w:rPr>
            </w:pPr>
          </w:p>
        </w:tc>
      </w:tr>
      <w:tr>
        <w:trPr>
          <w:trHeight w:val="648"/>
        </w:trPr>
        <w:tc>
          <w:tcPr>
            <w:tcW w:w="4440" w:type="dxa"/>
            <w:vAlign w:val="bottom"/>
          </w:tcPr>
          <w:p>
            <w:pPr>
              <w:ind w:left="2160"/>
              <w:spacing w:after="0"/>
              <w:rPr>
                <w:sz w:val="20"/>
                <w:szCs w:val="20"/>
                <w:color w:val="auto"/>
              </w:rPr>
            </w:pPr>
            <w:r>
              <w:rPr>
                <w:rFonts w:ascii="Arial" w:cs="Arial" w:eastAsia="Arial" w:hAnsi="Arial"/>
                <w:sz w:val="18"/>
                <w:szCs w:val="18"/>
                <w:color w:val="auto"/>
              </w:rPr>
              <w:t>March 13, 2019</w:t>
            </w:r>
          </w:p>
        </w:tc>
        <w:tc>
          <w:tcPr>
            <w:tcW w:w="128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2280" w:type="dxa"/>
            <w:vAlign w:val="bottom"/>
          </w:tcPr>
          <w:p>
            <w:pPr>
              <w:spacing w:after="0"/>
              <w:rPr>
                <w:sz w:val="24"/>
                <w:szCs w:val="24"/>
                <w:color w:val="auto"/>
              </w:rPr>
            </w:pPr>
          </w:p>
        </w:tc>
      </w:tr>
      <w:tr>
        <w:trPr>
          <w:trHeight w:val="195"/>
        </w:trPr>
        <w:tc>
          <w:tcPr>
            <w:tcW w:w="4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Brian R. Doom</w:t>
            </w:r>
          </w:p>
        </w:tc>
        <w:tc>
          <w:tcPr>
            <w:tcW w:w="2280" w:type="dxa"/>
            <w:vAlign w:val="bottom"/>
          </w:tcPr>
          <w:p>
            <w:pPr>
              <w:spacing w:after="0"/>
              <w:rPr>
                <w:sz w:val="16"/>
                <w:szCs w:val="16"/>
                <w:color w:val="auto"/>
              </w:rPr>
            </w:pPr>
          </w:p>
        </w:tc>
      </w:tr>
      <w:tr>
        <w:trPr>
          <w:trHeight w:val="216"/>
        </w:trPr>
        <w:tc>
          <w:tcPr>
            <w:tcW w:w="4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spacing w:after="0"/>
              <w:rPr>
                <w:sz w:val="18"/>
                <w:szCs w:val="18"/>
                <w:color w:val="auto"/>
              </w:rPr>
            </w:pPr>
          </w:p>
        </w:tc>
      </w:tr>
      <w:tr>
        <w:trPr>
          <w:trHeight w:val="230"/>
        </w:trPr>
        <w:tc>
          <w:tcPr>
            <w:tcW w:w="4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280" w:type="dxa"/>
            <w:vAlign w:val="bottom"/>
          </w:tcPr>
          <w:p>
            <w:pPr>
              <w:spacing w:after="0"/>
              <w:rPr>
                <w:sz w:val="20"/>
                <w:szCs w:val="20"/>
                <w:color w:val="auto"/>
              </w:rPr>
            </w:pPr>
          </w:p>
        </w:tc>
      </w:tr>
      <w:tr>
        <w:trPr>
          <w:trHeight w:val="885"/>
        </w:trPr>
        <w:tc>
          <w:tcPr>
            <w:tcW w:w="44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right"/>
              <w:ind w:right="3230"/>
              <w:spacing w:after="0"/>
              <w:rPr>
                <w:sz w:val="20"/>
                <w:szCs w:val="20"/>
                <w:color w:val="auto"/>
              </w:rPr>
            </w:pPr>
            <w:r>
              <w:rPr>
                <w:rFonts w:ascii="Arial" w:cs="Arial" w:eastAsia="Arial" w:hAnsi="Arial"/>
                <w:sz w:val="18"/>
                <w:szCs w:val="18"/>
                <w:color w:val="auto"/>
              </w:rPr>
              <w:t>116</w:t>
            </w:r>
          </w:p>
        </w:tc>
        <w:tc>
          <w:tcPr>
            <w:tcW w:w="2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2"/>
    </w:lvl>
  </w:abstractNum>
  <w:abstractNum w:abstractNumId="25">
    <w:nsid w:val="3855585C"/>
    <w:multiLevelType w:val="hybridMultilevel"/>
    <w:lvl w:ilvl="0">
      <w:lvlJc w:val="left"/>
      <w:lvlText w:val="%1."/>
      <w:numFmt w:val="decimal"/>
      <w:start w:val="3"/>
    </w:lvl>
  </w:abstractNum>
  <w:abstractNum w:abstractNumId="26">
    <w:nsid w:val="70A64E2A"/>
    <w:multiLevelType w:val="hybridMultilevel"/>
    <w:lvl w:ilvl="0">
      <w:lvlJc w:val="left"/>
      <w:lvlText w:val="%1."/>
      <w:numFmt w:val="decimal"/>
      <w:start w:val="4"/>
    </w:lvl>
  </w:abstractNum>
  <w:abstractNum w:abstractNumId="27">
    <w:nsid w:val="6A2342EC"/>
    <w:multiLevelType w:val="hybridMultilevel"/>
    <w:lvl w:ilvl="0">
      <w:lvlJc w:val="left"/>
      <w:lvlText w:val="%1."/>
      <w:numFmt w:val="decimal"/>
      <w:start w:val="5"/>
    </w:lvl>
  </w:abstractNum>
  <w:abstractNum w:abstractNumId="28">
    <w:nsid w:val="2A487CB0"/>
    <w:multiLevelType w:val="hybridMultilevel"/>
    <w:lvl w:ilvl="0">
      <w:lvlJc w:val="left"/>
      <w:lvlText w:val="%1."/>
      <w:numFmt w:val="decimal"/>
      <w:start w:val="6"/>
    </w:lvl>
  </w:abstractNum>
  <w:abstractNum w:abstractNumId="29">
    <w:nsid w:val="1D4ED43B"/>
    <w:multiLevelType w:val="hybridMultilevel"/>
    <w:lvl w:ilvl="0">
      <w:lvlJc w:val="left"/>
      <w:lvlText w:val="(%1)"/>
      <w:numFmt w:val="lowerRoman"/>
      <w:start w:val="2"/>
    </w:lvl>
  </w:abstractNum>
  <w:abstractNum w:abstractNumId="30">
    <w:nsid w:val="725A06FB"/>
    <w:multiLevelType w:val="hybridMultilevel"/>
    <w:lvl w:ilvl="0">
      <w:lvlJc w:val="left"/>
      <w:lvlText w:val="%1."/>
      <w:numFmt w:val="decimal"/>
      <w:start w:val="7"/>
    </w:lvl>
  </w:abstractNum>
  <w:abstractNum w:abstractNumId="31">
    <w:nsid w:val="2CD89A32"/>
    <w:multiLevelType w:val="hybridMultilevel"/>
    <w:lvl w:ilvl="0">
      <w:lvlJc w:val="left"/>
      <w:lvlText w:val="%1."/>
      <w:numFmt w:val="decimal"/>
      <w:start w:val="8"/>
    </w:lvl>
  </w:abstractNum>
  <w:abstractNum w:abstractNumId="32">
    <w:nsid w:val="57E4CCAF"/>
    <w:multiLevelType w:val="hybridMultilevel"/>
    <w:lvl w:ilvl="0">
      <w:lvlJc w:val="left"/>
      <w:lvlText w:val="%1."/>
      <w:numFmt w:val="decimal"/>
      <w:start w:val="9"/>
    </w:lvl>
  </w:abstractNum>
  <w:abstractNum w:abstractNumId="33">
    <w:nsid w:val="7A6D8D3C"/>
    <w:multiLevelType w:val="hybridMultilevel"/>
    <w:lvl w:ilvl="0">
      <w:lvlJc w:val="left"/>
      <w:lvlText w:val="%1."/>
      <w:numFmt w:val="decimal"/>
      <w:start w:val="10"/>
    </w:lvl>
  </w:abstractNum>
  <w:abstractNum w:abstractNumId="34">
    <w:nsid w:val="4B588F54"/>
    <w:multiLevelType w:val="hybridMultilevel"/>
    <w:lvl w:ilvl="0">
      <w:lvlJc w:val="left"/>
      <w:lvlText w:val="%1."/>
      <w:numFmt w:val="decimal"/>
      <w:start w:val="12"/>
    </w:lvl>
  </w:abstractNum>
  <w:abstractNum w:abstractNumId="35">
    <w:nsid w:val="542289EC"/>
    <w:multiLevelType w:val="hybridMultilevel"/>
    <w:lvl w:ilvl="0">
      <w:lvlJc w:val="left"/>
      <w:lvlText w:val="%1."/>
      <w:numFmt w:val="decimal"/>
      <w:start w:val="13"/>
    </w:lvl>
  </w:abstractNum>
  <w:abstractNum w:abstractNumId="36">
    <w:nsid w:val="6DE91B18"/>
    <w:multiLevelType w:val="hybridMultilevel"/>
    <w:lvl w:ilvl="0">
      <w:lvlJc w:val="left"/>
      <w:lvlText w:val="%1."/>
      <w:numFmt w:val="decimal"/>
      <w:start w:val="14"/>
    </w:lvl>
  </w:abstractNum>
  <w:abstractNum w:abstractNumId="37">
    <w:nsid w:val="38437FDB"/>
    <w:multiLevelType w:val="hybridMultilevel"/>
    <w:lvl w:ilvl="0">
      <w:lvlJc w:val="left"/>
      <w:lvlText w:val="%1."/>
      <w:numFmt w:val="decimal"/>
      <w:start w:val="16"/>
    </w:lvl>
  </w:abstractNum>
  <w:abstractNum w:abstractNumId="38">
    <w:nsid w:val="7644A45C"/>
    <w:multiLevelType w:val="hybridMultilevel"/>
    <w:lvl w:ilvl="0">
      <w:lvlJc w:val="left"/>
      <w:lvlText w:val="%1."/>
      <w:numFmt w:val="decimal"/>
      <w:start w:val="17"/>
    </w:lvl>
  </w:abstractNum>
  <w:abstractNum w:abstractNumId="39">
    <w:nsid w:val="32FFF902"/>
    <w:multiLevelType w:val="hybridMultilevel"/>
    <w:lvl w:ilvl="0">
      <w:lvlJc w:val="left"/>
      <w:lvlText w:val="%1."/>
      <w:numFmt w:val="decimal"/>
      <w:start w:val="19"/>
    </w:lvl>
  </w:abstractNum>
  <w:abstractNum w:abstractNumId="40">
    <w:nsid w:val="684A481A"/>
    <w:multiLevelType w:val="hybridMultilevel"/>
    <w:lvl w:ilvl="0">
      <w:lvlJc w:val="left"/>
      <w:lvlText w:val="%1."/>
      <w:numFmt w:val="decimal"/>
      <w:start w:val="20"/>
    </w:lvl>
  </w:abstractNum>
  <w:abstractNum w:abstractNumId="41">
    <w:nsid w:val="579478FE"/>
    <w:multiLevelType w:val="hybridMultilevel"/>
    <w:lvl w:ilvl="0">
      <w:lvlJc w:val="left"/>
      <w:lvlText w:val="%1."/>
      <w:numFmt w:val="decimal"/>
      <w:start w:val="2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decimal"/>
      <w:start w:val="22"/>
    </w:lvl>
  </w:abstractNum>
  <w:abstractNum w:abstractNumId="46">
    <w:nsid w:val="75C6C33A"/>
    <w:multiLevelType w:val="hybridMultilevel"/>
    <w:lvl w:ilvl="0">
      <w:lvlJc w:val="left"/>
      <w:lvlText w:val="%1."/>
      <w:numFmt w:val="decimal"/>
      <w:start w:val="23"/>
    </w:lvl>
  </w:abstractNum>
  <w:abstractNum w:abstractNumId="47">
    <w:nsid w:val="12E685FB"/>
    <w:multiLevelType w:val="hybridMultilevel"/>
    <w:lvl w:ilvl="0">
      <w:lvlJc w:val="left"/>
      <w:lvlText w:val="%1."/>
      <w:numFmt w:val="decimal"/>
      <w:start w:val="24"/>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57" Type="http://schemas.openxmlformats.org/officeDocument/2006/relationships/hyperlink" Target="http://www.sec.gov/Archives/edgar/data/1681206/000117494716003227/c449499_ex2-1.htm" TargetMode="External"/><Relationship Id="rId158" Type="http://schemas.openxmlformats.org/officeDocument/2006/relationships/hyperlink" Target="http://www.sec.gov/Archives/edgar/data/1681206/000117494716003227/c449499_ex3-1.htm" TargetMode="External"/><Relationship Id="rId159" Type="http://schemas.openxmlformats.org/officeDocument/2006/relationships/hyperlink" Target="http://www.sec.gov/Archives/edgar/data/1681206/000117494716003227/c449499_ex3-2.htm" TargetMode="External"/><Relationship Id="rId160" Type="http://schemas.openxmlformats.org/officeDocument/2006/relationships/hyperlink" Target="http://www.sec.gov/Archives/edgar/data/1681206/000117494716003227/c449499_ex4-1.htm" TargetMode="External"/><Relationship Id="rId161" Type="http://schemas.openxmlformats.org/officeDocument/2006/relationships/hyperlink" Target="http://www.sec.gov/Archives/edgar/data/1681206/000117494716003227/c449499_ex10-1.htm" TargetMode="External"/><Relationship Id="rId162" Type="http://schemas.openxmlformats.org/officeDocument/2006/relationships/hyperlink" Target="http://www.sec.gov/Archives/edgar/data/1681206/000117494716003227/c449499_ex10-2.htm" TargetMode="External"/><Relationship Id="rId163" Type="http://schemas.openxmlformats.org/officeDocument/2006/relationships/hyperlink" Target="http://www.sec.gov/Archives/edgar/data/1681206/000117494716003227/c449499_ex10-3.htm" TargetMode="External"/><Relationship Id="rId164" Type="http://schemas.openxmlformats.org/officeDocument/2006/relationships/hyperlink" Target="http://www.sec.gov/Archives/edgar/data/1681206/000117494716003227/c449499_ex10-4.htm" TargetMode="External"/><Relationship Id="rId165" Type="http://schemas.openxmlformats.org/officeDocument/2006/relationships/hyperlink" Target="http://www.sec.gov/Archives/edgar/data/1681206/000117494716003227/c449499_ex10-5.htm" TargetMode="External"/><Relationship Id="rId166" Type="http://schemas.openxmlformats.org/officeDocument/2006/relationships/hyperlink" Target="http://www.sec.gov/Archives/edgar/data/1681206/000117494716003227/c449499_ex10-6.htm" TargetMode="External"/><Relationship Id="rId167" Type="http://schemas.openxmlformats.org/officeDocument/2006/relationships/hyperlink" Target="http://www.sec.gov/Archives/edgar/data/1681206/000117494716003227/c449499_ex10-7.htm" TargetMode="External"/><Relationship Id="rId168" Type="http://schemas.openxmlformats.org/officeDocument/2006/relationships/hyperlink" Target="http://www.sec.gov/Archives/edgar/data/1681206/000117494716003227/c449499_ex10-8.htm" TargetMode="External"/><Relationship Id="rId169" Type="http://schemas.openxmlformats.org/officeDocument/2006/relationships/hyperlink" Target="http://www.sec.gov/Archives/edgar/data/1681206/000117494717000043/c456080_ex10-9.htm" TargetMode="External"/><Relationship Id="rId170" Type="http://schemas.openxmlformats.org/officeDocument/2006/relationships/hyperlink" Target="http://www.sec.gov/Archives/edgar/data/1681206/000117494716003227/c449499_ex10-10.htm" TargetMode="External"/><Relationship Id="rId171" Type="http://schemas.openxmlformats.org/officeDocument/2006/relationships/hyperlink" Target="http://www.sec.gov/Archives/edgar/data/1681206/000117494716003406/c452442_ex10-11.htm" TargetMode="External"/><Relationship Id="rId172" Type="http://schemas.openxmlformats.org/officeDocument/2006/relationships/hyperlink" Target="http://www.sec.gov/Archives/edgar/data/1681206/000117494716003227/c449499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2019-12-28T14:49:55Z</dcterms:created>
  <dcterms:modified xsi:type="dcterms:W3CDTF">2019-12-28T14:49:55Z</dcterms:modified>
</cp:coreProperties>
</file>