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1820" w:firstLine="8"/>
        <w:spacing w:after="0" w:line="286" w:lineRule="auto"/>
        <w:tabs>
          <w:tab w:leader="none" w:pos="446"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2017</w:t>
      </w:r>
    </w:p>
    <w:p>
      <w:pPr>
        <w:spacing w:after="0" w:line="74" w:lineRule="exact"/>
        <w:rPr>
          <w:sz w:val="24"/>
          <w:szCs w:val="24"/>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1510665</wp:posOffset>
            </wp:positionH>
            <wp:positionV relativeFrom="paragraph">
              <wp:posOffset>-19050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48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7"/>
              </w:rPr>
              <w:t>NORTH DAKOTA</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648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48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648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1101 First Avenue North</w:t>
            </w:r>
          </w:p>
        </w:tc>
        <w:tc>
          <w:tcPr>
            <w:tcW w:w="1520" w:type="dxa"/>
            <w:vAlign w:val="bottom"/>
          </w:tcPr>
          <w:p>
            <w:pPr>
              <w:spacing w:after="0"/>
              <w:rPr>
                <w:sz w:val="24"/>
                <w:szCs w:val="24"/>
                <w:color w:val="auto"/>
              </w:rPr>
            </w:pPr>
          </w:p>
        </w:tc>
      </w:tr>
      <w:tr>
        <w:trPr>
          <w:trHeight w:val="216"/>
        </w:trPr>
        <w:tc>
          <w:tcPr>
            <w:tcW w:w="648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rPr>
              <w:t>Fargo, North Dakota</w:t>
            </w: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38"/>
        </w:trPr>
        <w:tc>
          <w:tcPr>
            <w:tcW w:w="648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42"/>
        </w:trPr>
        <w:tc>
          <w:tcPr>
            <w:tcW w:w="648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(701) 298-4200</w:t>
            </w:r>
          </w:p>
        </w:tc>
        <w:tc>
          <w:tcPr>
            <w:tcW w:w="1520" w:type="dxa"/>
            <w:vAlign w:val="bottom"/>
          </w:tcPr>
          <w:p>
            <w:pPr>
              <w:spacing w:after="0"/>
              <w:rPr>
                <w:sz w:val="24"/>
                <w:szCs w:val="24"/>
                <w:color w:val="auto"/>
              </w:rPr>
            </w:pPr>
          </w:p>
        </w:tc>
      </w:tr>
      <w:tr>
        <w:trPr>
          <w:trHeight w:val="238"/>
        </w:trPr>
        <w:tc>
          <w:tcPr>
            <w:tcW w:w="648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520" w:type="dxa"/>
            <w:vAlign w:val="bottom"/>
          </w:tcPr>
          <w:p>
            <w:pPr>
              <w:spacing w:after="0"/>
              <w:rPr>
                <w:sz w:val="20"/>
                <w:szCs w:val="20"/>
                <w:color w:val="auto"/>
              </w:rPr>
            </w:pPr>
          </w:p>
        </w:tc>
      </w:tr>
    </w:tbl>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o</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o</w:t>
      </w:r>
    </w:p>
    <w:p>
      <w:pPr>
        <w:spacing w:after="0" w:line="11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79" w:right="239" w:bottom="1440" w:gutter="0" w:footer="0" w:header="0"/>
        </w:sectPr>
      </w:pP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675" w:lineRule="exact"/>
        <w:rPr>
          <w:sz w:val="24"/>
          <w:szCs w:val="24"/>
          <w:color w:val="auto"/>
        </w:rPr>
      </w:pPr>
    </w:p>
    <w:p>
      <w:pPr>
        <w:sectPr>
          <w:pgSz w:w="11900" w:h="16838" w:orient="portrait"/>
          <w:cols w:equalWidth="0" w:num="3">
            <w:col w:w="2840" w:space="720"/>
            <w:col w:w="1480" w:space="720"/>
            <w:col w:w="5660"/>
          </w:cols>
          <w:pgMar w:left="240" w:top="279" w:right="239" w:bottom="1440" w:gutter="0" w:footer="0" w:header="0"/>
          <w:type w:val="continuous"/>
        </w:sectPr>
      </w:pPr>
    </w:p>
    <w:p>
      <w:pPr>
        <w:spacing w:after="0" w:line="20"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spacing w:after="0" w:line="207" w:lineRule="exact"/>
        <w:tabs>
          <w:tab w:leader="none" w:pos="8880" w:val="left"/>
        </w:tabs>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  o Yes</w:t>
        <w:tab/>
        <w:t xml:space="preserve">No </w:t>
      </w:r>
      <w:r>
        <w:rPr>
          <w:rFonts w:ascii="MS PGothic" w:cs="MS PGothic" w:eastAsia="MS PGothic" w:hAnsi="MS PGothic"/>
          <w:sz w:val="18"/>
          <w:szCs w:val="18"/>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August 11, 2017 was 22,313,329.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2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0"/>
                <w:szCs w:val="20"/>
                <w:color w:val="auto"/>
              </w:rPr>
            </w:pPr>
          </w:p>
        </w:tc>
      </w:tr>
      <w:tr>
        <w:trPr>
          <w:trHeight w:val="351"/>
        </w:trPr>
        <w:tc>
          <w:tcPr>
            <w:tcW w:w="28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Part I. - FINANCIAL INFORMATION</w:t>
              </w:r>
            </w:hyperlink>
          </w:p>
        </w:tc>
        <w:tc>
          <w:tcPr>
            <w:tcW w:w="66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2"/>
        </w:trPr>
        <w:tc>
          <w:tcPr>
            <w:tcW w:w="660" w:type="dxa"/>
            <w:vAlign w:val="bottom"/>
          </w:tcPr>
          <w:p>
            <w:pPr>
              <w:spacing w:after="0"/>
              <w:rPr>
                <w:sz w:val="24"/>
                <w:szCs w:val="24"/>
                <w:color w:val="auto"/>
              </w:rPr>
            </w:pPr>
          </w:p>
        </w:tc>
        <w:tc>
          <w:tcPr>
            <w:tcW w:w="884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 - Financial Statements</w:t>
              </w:r>
            </w:hyperlink>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Balance Sheets</w:t>
              </w:r>
            </w:hyperlink>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Operations</w:t>
              </w:r>
            </w:hyperlink>
          </w:p>
        </w:tc>
        <w:tc>
          <w:tcPr>
            <w:tcW w:w="458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Unaudited Consolidated Statements of Comprehensive Income</w:t>
              </w:r>
            </w:hyperlink>
          </w:p>
        </w:tc>
        <w:tc>
          <w:tcPr>
            <w:tcW w:w="36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Consolidated Statement of Changes in Equity</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Unaudited Consolidated Statements of Cash Flows</w:t>
              </w:r>
            </w:hyperlink>
          </w:p>
        </w:tc>
        <w:tc>
          <w:tcPr>
            <w:tcW w:w="4120" w:type="dxa"/>
            <w:vAlign w:val="bottom"/>
            <w:gridSpan w:val="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Unaudited Consolidated Financial Statements</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1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2. - Management’s Discussion and Analysis of Financial Condition and Results of Operations</w:t>
              </w:r>
            </w:hyperlink>
          </w:p>
        </w:tc>
        <w:tc>
          <w:tcPr>
            <w:tcW w:w="17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660" w:type="dxa"/>
            <w:vAlign w:val="bottom"/>
          </w:tcPr>
          <w:p>
            <w:pPr>
              <w:spacing w:after="0"/>
              <w:rPr>
                <w:sz w:val="17"/>
                <w:szCs w:val="17"/>
                <w:color w:val="auto"/>
              </w:rPr>
            </w:pPr>
          </w:p>
        </w:tc>
        <w:tc>
          <w:tcPr>
            <w:tcW w:w="8840" w:type="dxa"/>
            <w:vAlign w:val="bottom"/>
            <w:gridSpan w:val="22"/>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3. - Quantitative and Qualitative Disclosures about Market Risk</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660" w:type="dxa"/>
            <w:vAlign w:val="bottom"/>
          </w:tcPr>
          <w:p>
            <w:pPr>
              <w:spacing w:after="0"/>
              <w:rPr>
                <w:sz w:val="17"/>
                <w:szCs w:val="17"/>
                <w:color w:val="auto"/>
              </w:rPr>
            </w:pPr>
          </w:p>
        </w:tc>
        <w:tc>
          <w:tcPr>
            <w:tcW w:w="49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4. - Controls and Procedures</w:t>
              </w:r>
            </w:hyperlink>
          </w:p>
        </w:tc>
        <w:tc>
          <w:tcPr>
            <w:tcW w:w="388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68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9500" w:type="dxa"/>
            <w:vAlign w:val="bottom"/>
            <w:gridSpan w:val="23"/>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Part II. - OTHER INFORMATION</w:t>
              </w:r>
            </w:hyperlink>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6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Item 1. - Legal Proceedings</w:t>
              </w:r>
            </w:hyperlink>
          </w:p>
        </w:tc>
        <w:tc>
          <w:tcPr>
            <w:tcW w:w="684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66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Item 1A. - Risk Factors</w:t>
              </w:r>
            </w:hyperlink>
          </w:p>
        </w:tc>
        <w:tc>
          <w:tcPr>
            <w:tcW w:w="714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660" w:type="dxa"/>
            <w:vAlign w:val="bottom"/>
          </w:tcPr>
          <w:p>
            <w:pPr>
              <w:spacing w:after="0"/>
              <w:rPr>
                <w:sz w:val="17"/>
                <w:szCs w:val="17"/>
                <w:color w:val="auto"/>
              </w:rPr>
            </w:pPr>
          </w:p>
        </w:tc>
        <w:tc>
          <w:tcPr>
            <w:tcW w:w="8840" w:type="dxa"/>
            <w:vAlign w:val="bottom"/>
            <w:gridSpan w:val="22"/>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2. - Unregistered Sales of Equity Securities and Use of Proceeds</w:t>
              </w:r>
            </w:hyperlink>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660" w:type="dxa"/>
            <w:vAlign w:val="bottom"/>
          </w:tcPr>
          <w:p>
            <w:pPr>
              <w:spacing w:after="0"/>
              <w:rPr>
                <w:sz w:val="17"/>
                <w:szCs w:val="17"/>
                <w:color w:val="auto"/>
              </w:rPr>
            </w:pPr>
          </w:p>
        </w:tc>
        <w:tc>
          <w:tcPr>
            <w:tcW w:w="50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3. - Defaults upon Senior Securities</w:t>
              </w:r>
            </w:hyperlink>
          </w:p>
        </w:tc>
        <w:tc>
          <w:tcPr>
            <w:tcW w:w="384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660" w:type="dxa"/>
            <w:vAlign w:val="bottom"/>
          </w:tcPr>
          <w:p>
            <w:pPr>
              <w:spacing w:after="0"/>
              <w:rPr>
                <w:sz w:val="17"/>
                <w:szCs w:val="17"/>
                <w:color w:val="auto"/>
              </w:rPr>
            </w:pPr>
          </w:p>
        </w:tc>
        <w:tc>
          <w:tcPr>
            <w:tcW w:w="29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4. - Mine Safety Disclosures</w:t>
              </w:r>
            </w:hyperlink>
          </w:p>
        </w:tc>
        <w:tc>
          <w:tcPr>
            <w:tcW w:w="5900" w:type="dxa"/>
            <w:vAlign w:val="bottom"/>
            <w:gridSpan w:val="1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6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Item 5. - Other Information</w:t>
              </w:r>
            </w:hyperlink>
          </w:p>
        </w:tc>
        <w:tc>
          <w:tcPr>
            <w:tcW w:w="440" w:type="dxa"/>
            <w:vAlign w:val="bottom"/>
            <w:tcBorders>
              <w:top w:val="single" w:sz="8" w:color="0000EE"/>
            </w:tcBorders>
            <w:gridSpan w:val="4"/>
          </w:tcPr>
          <w:p>
            <w:pPr>
              <w:spacing w:after="0"/>
              <w:rPr>
                <w:sz w:val="17"/>
                <w:szCs w:val="17"/>
                <w:color w:val="auto"/>
              </w:rPr>
            </w:pPr>
          </w:p>
        </w:tc>
        <w:tc>
          <w:tcPr>
            <w:tcW w:w="6420" w:type="dxa"/>
            <w:vAlign w:val="bottom"/>
            <w:gridSpan w:val="1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6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47">
              <w:r>
                <w:rPr>
                  <w:rFonts w:ascii="Times New Roman" w:cs="Times New Roman" w:eastAsia="Times New Roman" w:hAnsi="Times New Roman"/>
                  <w:sz w:val="18"/>
                  <w:szCs w:val="18"/>
                  <w:color w:val="0000EE"/>
                  <w:w w:val="98"/>
                </w:rPr>
                <w:t>Item 6. - Exhibits</w:t>
              </w:r>
            </w:hyperlink>
          </w:p>
        </w:tc>
        <w:tc>
          <w:tcPr>
            <w:tcW w:w="7580" w:type="dxa"/>
            <w:vAlign w:val="bottom"/>
            <w:gridSpan w:val="1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6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Signatures</w:t>
              </w:r>
            </w:hyperlink>
          </w:p>
        </w:tc>
        <w:tc>
          <w:tcPr>
            <w:tcW w:w="8080" w:type="dxa"/>
            <w:vAlign w:val="bottom"/>
            <w:gridSpan w:val="1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bl>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w:t>
      </w:r>
    </w:p>
    <w:p>
      <w:pPr>
        <w:spacing w:after="0" w:line="185" w:lineRule="exact"/>
        <w:rPr>
          <w:sz w:val="20"/>
          <w:szCs w:val="20"/>
          <w:color w:val="auto"/>
        </w:rPr>
      </w:pPr>
    </w:p>
    <w:p>
      <w:pPr>
        <w:ind w:left="660" w:right="3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“the Company”, “we”, “us”, and “our” refer to NI Holdings, Inc., together with Nodak Insurance and its subsidiaries and Battle Creek Mutual Insurance Company, for periods discussed after completion of the conversion, and for periods discussed prior to completion of the conversion refer to Nodak Mutual Insurance Company and all of its subsidiaries and Battle Creek Mutual Insurance Company;</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Holding Company” and “Nodak Mutual Group” refer to Nodak Mutual Group, Inc., which is the majority shareholder of NI Holdings;</w:t>
      </w:r>
    </w:p>
    <w:p>
      <w:pPr>
        <w:spacing w:after="0" w:line="18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refers to the series of transactions by which Nodak Mutual Insurance Company converted from a mutual insurance company to a stock insurance company, as Nodak Insurance Company, and became a wholly owned subsidiary of NI Holdings, an intermediate stock holding company formed on the date of conversion;</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Stock” refers to Nodak Insurance Company, the successor company to Nodak Mutual Insurance Company after the conversion;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refers to Nodak Mutual Insurance Company, the processor company to Nodak Insurance Company prior to the conversion;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refers to Nodak Stock or Nodak Mutual interchangeably;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 and</w:t>
      </w:r>
    </w:p>
    <w:p>
      <w:pPr>
        <w:spacing w:after="0" w:line="198"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refers to Battle Creek Mutual Insurance Company. Battle Creek is not a subsidiary of Nodak Insurance, but all of its insurance policies are reinsured by Nodak Insurance through a 100% quota share reinsurance agreement and Battle Creek is controlled by Nodak Insurance as a result of an affiliation agreement between Battle Creek and Nodak Insurance. Battle Creek is consolidated with Nodak Insurance for financial reporting purposes.</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2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goals, intentions and expectations;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prospects and business strategy;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costs, benefits and results.</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are subject to numerous assumptions, risks and uncertainties, including, among other things, the factors discussed under the heading “Risk Factors” that could affect the actual outcome of future events.</w:t>
      </w:r>
    </w:p>
    <w:p>
      <w:pPr>
        <w:spacing w:after="0" w:line="13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All of these factors are difficult to predict and many are beyond our control. These important factors include those discussed under “Risk Factors” and those listed below:</w:t>
      </w:r>
    </w:p>
    <w:p>
      <w:pPr>
        <w:spacing w:after="0" w:line="12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federal crop insurance program;</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conditions in the markets in which we compete that are less favorable than expected;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legislative, judicial, economic, demographic and regulatory events in the jurisdictions where we do business;</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producer network;</w:t>
      </w:r>
    </w:p>
    <w:p>
      <w:pPr>
        <w:spacing w:after="0" w:line="12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sectPr>
      </w:pPr>
    </w:p>
    <w:bookmarkStart w:id="3" w:name="page4"/>
    <w:bookmarkEnd w:id="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inflation, unemployment, interest rates and other factors;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and adequacy of loss reserves and trends in loss and loss adjustment expenses;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coverage terms required by state laws with respect to minimum auto liability insurance, including higher minimum limits;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 of, or to implement, premium rate increases;</w:t>
      </w:r>
    </w:p>
    <w:p>
      <w:pPr>
        <w:spacing w:after="0" w:line="198"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reinsurance coverage at reasonable prices or on terms that adequately protect us and to collect amounts that we believe we are entitled to under such reinsurance;</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industry trends and ratings assigned by nationally recognized rating organizations;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fraud, operational errors, systems malfunctions, or cybersecurity incidents;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or arbitration results; and</w:t>
      </w:r>
    </w:p>
    <w:p>
      <w:pPr>
        <w:spacing w:after="0" w:line="184"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4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Because forward-looking information is subject to various risks and uncertainties, actual results may differ materially from that expressed or implied by the forward-looking information.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4" w:name="page5"/>
    <w:bookmarkEnd w:id="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4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16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18,148</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238,838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303,545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recoverable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72,619</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payable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186,882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2017 - 23,000,000 shares, 2016 – none; and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2017 – 22,313,329 shares, 2016 - none</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without par value, authorized 5,000,000 shares,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shares issued or outstanding</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144,409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net of tax</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2017 – 446,671 shares, 2016 - none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242,784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840" w:type="dxa"/>
            <w:vAlign w:val="bottom"/>
            <w:tcBorders>
              <w:bottom w:val="single" w:sz="8" w:color="auto"/>
            </w:tcBorders>
          </w:tcPr>
          <w:p>
            <w:pPr>
              <w:ind w:left="568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5" w:name="page6"/>
    <w:bookmarkEnd w:id="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45,653</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37,136</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78,462</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53,951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10,422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NI Holdings,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22,663,280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22,711,373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 w:name="page7"/>
    <w:bookmarkEnd w:id="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1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June 30, 2017</w:t>
            </w:r>
          </w:p>
        </w:tc>
        <w:tc>
          <w:tcPr>
            <w:tcW w:w="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1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tc>
      </w:tr>
      <w:tr>
        <w:trPr>
          <w:trHeight w:val="187"/>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 Holdings,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 Holdings,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78"/>
        </w:trPr>
        <w:tc>
          <w:tcPr>
            <w:tcW w:w="37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Other comprehensive income, before income</w:t>
            </w: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 gains on investments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3,711</w:t>
            </w:r>
          </w:p>
        </w:tc>
        <w:tc>
          <w:tcPr>
            <w:tcW w:w="80" w:type="dxa"/>
            <w:vAlign w:val="bottom"/>
            <w:shd w:val="clear" w:color="auto" w:fill="CCEEFF"/>
          </w:tcPr>
          <w:p>
            <w:pPr>
              <w:spacing w:after="0"/>
              <w:rPr>
                <w:sz w:val="18"/>
                <w:szCs w:val="18"/>
                <w:color w:val="auto"/>
              </w:rPr>
            </w:pPr>
          </w:p>
        </w:tc>
      </w:tr>
      <w:tr>
        <w:trPr>
          <w:trHeight w:val="198"/>
        </w:trPr>
        <w:tc>
          <w:tcPr>
            <w:tcW w:w="3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realized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loss (gain) included in net income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27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(955)</w:t>
            </w:r>
          </w:p>
        </w:tc>
      </w:tr>
      <w:tr>
        <w:trPr>
          <w:trHeight w:val="210"/>
        </w:trPr>
        <w:tc>
          <w:tcPr>
            <w:tcW w:w="404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3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Income tax expense related to items of other</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(906)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(14)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(964)</w:t>
            </w:r>
          </w:p>
        </w:tc>
      </w:tr>
      <w:tr>
        <w:trPr>
          <w:trHeight w:val="210"/>
        </w:trPr>
        <w:tc>
          <w:tcPr>
            <w:tcW w:w="404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04"/>
        </w:trPr>
        <w:tc>
          <w:tcPr>
            <w:tcW w:w="3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June 30, 2016</w:t>
            </w: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tc>
      </w:tr>
      <w:tr>
        <w:trPr>
          <w:trHeight w:val="187"/>
        </w:trPr>
        <w:tc>
          <w:tcPr>
            <w:tcW w:w="3780" w:type="dxa"/>
            <w:vAlign w:val="bottom"/>
          </w:tcPr>
          <w:p>
            <w:pPr>
              <w:spacing w:after="0"/>
              <w:rPr>
                <w:sz w:val="16"/>
                <w:szCs w:val="16"/>
                <w:color w:val="auto"/>
              </w:rPr>
            </w:pPr>
          </w:p>
        </w:tc>
        <w:tc>
          <w:tcPr>
            <w:tcW w:w="128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4"/>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8"/>
                <w:szCs w:val="18"/>
                <w:color w:val="auto"/>
              </w:rPr>
            </w:pPr>
          </w:p>
        </w:tc>
        <w:tc>
          <w:tcPr>
            <w:tcW w:w="13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2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income taxes:</w:t>
            </w: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 gains on investments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realized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loss (gain) included in net income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178"/>
        </w:trPr>
        <w:tc>
          <w:tcPr>
            <w:tcW w:w="3780" w:type="dxa"/>
            <w:vAlign w:val="bottom"/>
            <w:tcBorders>
              <w:top w:val="single" w:sz="8" w:color="CCEEFF"/>
            </w:tcBorders>
            <w:shd w:val="clear" w:color="auto" w:fill="CCEEFF"/>
          </w:tcPr>
          <w:p>
            <w:pPr>
              <w:ind w:left="340"/>
              <w:spacing w:after="0" w:line="178" w:lineRule="exact"/>
              <w:rPr>
                <w:sz w:val="20"/>
                <w:szCs w:val="20"/>
                <w:color w:val="auto"/>
              </w:rPr>
            </w:pPr>
            <w:r>
              <w:rPr>
                <w:rFonts w:ascii="Times New Roman" w:cs="Times New Roman" w:eastAsia="Times New Roman" w:hAnsi="Times New Roman"/>
                <w:sz w:val="18"/>
                <w:szCs w:val="18"/>
                <w:color w:val="auto"/>
              </w:rPr>
              <w:t>Other comprehensive income, before</w:t>
            </w: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3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Income tax expense related to items of other</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r>
      <w:tr>
        <w:trPr>
          <w:trHeight w:val="178"/>
        </w:trPr>
        <w:tc>
          <w:tcPr>
            <w:tcW w:w="3780" w:type="dxa"/>
            <w:vAlign w:val="bottom"/>
            <w:tcBorders>
              <w:top w:val="single" w:sz="8" w:color="CCEEFF"/>
            </w:tcBorders>
            <w:shd w:val="clear" w:color="auto" w:fill="CCEEFF"/>
          </w:tcPr>
          <w:p>
            <w:pPr>
              <w:ind w:left="340"/>
              <w:spacing w:after="0" w:line="17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48"/>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3,511</w:t>
            </w:r>
          </w:p>
        </w:tc>
        <w:tc>
          <w:tcPr>
            <w:tcW w:w="80" w:type="dxa"/>
            <w:vAlign w:val="bottom"/>
            <w:shd w:val="clear" w:color="auto" w:fill="CCEEFF"/>
          </w:tcPr>
          <w:p>
            <w:pPr>
              <w:spacing w:after="0"/>
              <w:rPr>
                <w:sz w:val="21"/>
                <w:szCs w:val="2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7" w:name="page8"/>
    <w:bookmarkEnd w:id="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2"/>
              </w:rPr>
              <w:t>Treasury</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Plan Shares</w:t>
            </w: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92,915</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90,745</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(8,037)</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(8,037)</w:t>
            </w: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income taxes</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21"/>
                <w:szCs w:val="21"/>
                <w:color w:val="auto"/>
              </w:rPr>
            </w:pP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92,915</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242,784</w:t>
            </w:r>
          </w:p>
        </w:tc>
        <w:tc>
          <w:tcPr>
            <w:tcW w:w="10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8" w:name="page9"/>
    <w:bookmarkEnd w:id="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realized capital gains on investments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11,310</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(16,494)</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 which provided (used) cash:</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(48,894)</w:t>
            </w: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(2,448)</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(3,200)</w:t>
            </w: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4,264</w:t>
            </w: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income tax recoverable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912</w:t>
            </w: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Unearned premiums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34,749</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Reinsurance payables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6,781</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 of fixed income securities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11,712</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(88,151)</w:t>
            </w: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(19,252)</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(93,327</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93,145</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(8,037)</w:t>
            </w:r>
          </w:p>
        </w:tc>
        <w:tc>
          <w:tcPr>
            <w:tcW w:w="2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to employee stock ownership plan</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82,708</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18,318</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18,148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5700" w:right="5160" w:hanging="5682"/>
        <w:spacing w:after="0" w:line="409" w:lineRule="auto"/>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9" w:name="page10"/>
    <w:bookmarkEnd w:id="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Notes to Unaudited Consolidated Financial Statements</w:t>
      </w:r>
    </w:p>
    <w:p>
      <w:pPr>
        <w:spacing w:after="0" w:line="3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0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 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4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NI Holdings consist primarily of five entities: Nodak Insurance Company (“Nodak Insurance”, formerly Nodak Mutual Insurance Company prior to the conversion), Nodak Agency, Inc. (“Nodak Agency”), American West Insurance Company (“American West”), Primero Insurance Company (“Primero”), and an affiliated company, Battle Creek Mutual Insurance Company (“Battle Creek”).</w:t>
      </w:r>
    </w:p>
    <w:p>
      <w:pPr>
        <w:spacing w:after="0" w:line="14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Nodak Insurance is the largest domestic property and casualty insurance company in North Dakota. Nodak Insurance was incorporated on April 15, 1946 under the laws of North Dakota, and has benefitted from a strong marketing affiliation with the North Dakota Farm Bureau. Nodak Insurance is a leading writer of property and casualty insurance in North Dakota, specializing in providing private passenger auto, homeowners, farmowners, commercial, crop hail, and Federal crop insurance coverages.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Nodak Agency, a wholly-owned subsidiary of Nodak Insurance, is a non-active shell corporation.</w:t>
      </w:r>
    </w:p>
    <w:p>
      <w:pPr>
        <w:spacing w:after="0" w:line="18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currently writes in Minnesota, North Dakota and South Dakota.</w:t>
      </w:r>
    </w:p>
    <w:p>
      <w:pPr>
        <w:spacing w:after="0" w:line="14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Primero Insurance Company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3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Battle Creek is controlled by Nodak Insurance via a surplus note and 100% quota share agreement. The terms of the surplus note and quota share agreement allow Nodak Insurance to appoint two-thirds of the Board of Directors. Battle Creek is a property and casualty insurance company writing personal auto, homeowners, and farm coverages solely in the state of Nebraska.</w:t>
      </w:r>
    </w:p>
    <w:p>
      <w:pPr>
        <w:spacing w:after="0" w:line="136" w:lineRule="exact"/>
        <w:rPr>
          <w:sz w:val="20"/>
          <w:szCs w:val="20"/>
          <w:color w:val="auto"/>
        </w:rPr>
      </w:pPr>
    </w:p>
    <w:p>
      <w:pPr>
        <w:ind w:left="20" w:right="40" w:firstLine="635"/>
        <w:spacing w:after="0" w:line="261"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pricing practices, and underwriting standards of Nodak Insurance and its insurance subsidiaries. In addition,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7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which we have prepared in accordance with accounting principles generally accepted in the United States of America (“GAAP”), include our accounts and those of our wholly 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49" w:lineRule="exact"/>
        <w:rPr>
          <w:sz w:val="20"/>
          <w:szCs w:val="20"/>
          <w:color w:val="auto"/>
        </w:rPr>
      </w:pPr>
    </w:p>
    <w:p>
      <w:pPr>
        <w:ind w:left="660" w:right="7380" w:hanging="652"/>
        <w:spacing w:after="0" w:line="503"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u w:val="single" w:color="auto"/>
          <w:color w:val="auto"/>
        </w:rPr>
        <w:t>Use of Estimates:</w:t>
      </w:r>
    </w:p>
    <w:p>
      <w:pPr>
        <w:spacing w:after="0" w:line="1" w:lineRule="exact"/>
        <w:rPr>
          <w:sz w:val="20"/>
          <w:szCs w:val="20"/>
          <w:color w:val="auto"/>
        </w:rPr>
      </w:pPr>
    </w:p>
    <w:p>
      <w:pPr>
        <w:jc w:val="both"/>
        <w:ind w:right="120" w:firstLine="648"/>
        <w:spacing w:after="0" w:line="313" w:lineRule="auto"/>
        <w:rPr>
          <w:sz w:val="20"/>
          <w:szCs w:val="20"/>
          <w:color w:val="auto"/>
        </w:rPr>
      </w:pPr>
      <w:r>
        <w:rPr>
          <w:rFonts w:ascii="Times New Roman" w:cs="Times New Roman" w:eastAsia="Times New Roman" w:hAnsi="Times New Roman"/>
          <w:sz w:val="17"/>
          <w:szCs w:val="17"/>
          <w:color w:val="auto"/>
        </w:rPr>
        <w:t>In preparing our consolidated financial statements, our management makes estimates and assumptions that affect the reported amounts of assets and liabilities at the date of the balance sheet and revenues and expenses for the period then ended. Actual results could differ significantly from those estimates.</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0" w:name="page11"/>
    <w:bookmarkEnd w:id="1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make estimates and assumptions that can have a significant effect on amounts and disclosures we report in our consolidated financial statements. The most significant estimates relate to our reserves for unpaid losses and loss adjustment expenses, valuation of investments, determination of other-than-temporary impairments, valuation allowances for deferred income tax assets, and deferred policy acquisition costs.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Variable-Interest Entities: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company deemed to be a variable interest entity (“VIE”) is required to be consolidated by the primary beneficiary of the VIE.</w:t>
      </w:r>
    </w:p>
    <w:p>
      <w:pPr>
        <w:spacing w:after="0" w:line="22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assess our investments in other entities at inception to determine if any meet the qualifications of a VIE. We consider an investment in another company to be a VIE if either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89"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control Battle Creek via a 100% quota share reinsurance agreement between Nodak Insurance and Battle Creek, as well as the ability to control a majority of the Board of Directors of Battle Creek. Through the effects of the 100% quota share agreement with Battle Creek, we are considered the primary beneficiary of Battle Creek’s operating results excluding investment income, bad debt expense, and income taxes. Therefore, we consolidate Battle Creek, and Battle Creek’s policyholders’ interest in Battle Creek is reflected as a non-controlling interest in equity in our consolidated balance sheet.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certain investments in highly liquid debt instruments with original maturities of three months or less. Cost approximates fair value for these short term investments.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Investments:</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have categorized our investment portfolio as “available-for-sale” and have reported the portfolio at fair value, with unrealized gains and losses, net of income tax, reported in accumulated other comprehensive income. 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Realized gains and losses are determined using the specific identification method and included in the determination of income. Net investment income includes interest and dividend income together with amortization of purchase premiums and discounts, and is net of investment management and custody fees.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less any current-period credit losses. For debt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1" w:name="page12"/>
    <w:bookmarkEnd w:id="1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7"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I – Quoted price in active markets for identical assets and liabilities.</w:t>
      </w:r>
    </w:p>
    <w:p>
      <w:pPr>
        <w:spacing w:after="0" w:line="225"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76"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Other Financial Instruments: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other financial instruments aside from investments are cash and cash equivalents, premium and agents’ balances receivable, and accrued expenses and accounts payable. The carrying amounts for cash and cash equivalents, premium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$1,972 at June 30, 2017 and December 31, 2016.</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in 2016 have been reclassified to conform to the 2017 presentation.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direct write-off method for recognizing bad debts. Accounts are deemed to be delinquent after 60 days except for those accounts associated with amounts due from insureds for premiums in which case policy cancellation procedures are commenced in accordance with state insurance regulations. Any earned but uncollected premiums are written off immediately upon the effective date of policy cancellation.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Policy Acquisition Costs: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report property and equipment at cost less accumulated depreciation. Depreciation is computed using the straight-line method based upon the estimated useful lives of the assets.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12" w:name="page13"/>
    <w:bookmarkEnd w:id="1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Loss and Loss Adjustment Expenses: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Liabilities for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liability. We reflect any adjustments to our liabilities for losses and loss adjustment expenses in our operating results in the period in which we determine the need for a change in the estimates.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liabilities for the payment of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claims and loss adjustment expenses on the basis of historical information by line of insurance. We account for inflation in the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the exception of Battle Creek, which files a stand-alone federal income tax return, we file a consolidated federal income tax return.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reports any tax related interest and penalties as part of income tax expense in the year such amounts are determinable.</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The objective of the asset and liability method is to establish deferred tax assets and liabilities for the temporary differences between the financial reporting basis and the tax basis of our assets and liabilities at enacted tax rates expected to be in effect when we realize or settle such amounts.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Property and liability insurance coverages are marketed through captive agents in North Dakota and through independent insurance agencies located throughout all other operating areas. All business is billed directly to policyholders.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13" w:name="page14"/>
    <w:bookmarkEnd w:id="1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(“SIPC”) up to $500. On occasion, balances for these accounts are maintained in excess of the SIPC insurance limit.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Reinsurance:</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all or any of the reinsuring companies might be unable to meet their obligations under existing reinsurance agreements, the Company would be liable for such defaulted amounts.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six months ended June 30, 2017, or the year ended December 31, 2016.</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Goodwill representing the excess of the purchase price over the fair value of the net assets acquired is reported separately in the consolidated balance sheet.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this is not deductible for tax purposes.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(the “FASB”) issued guidance that establishes the manner in which an entity recognizes the amount of revenue to which it expects to be entitled for the transfer of promised goods or services to customers. While the guidance will replace most existing GAAP revenue recognition guidance, the scope of the guidance excludes insurance contracts. The new standard is effective on January 1, 2018. The standard permits the use of either the retrospective or the cumulative effect transition method. We do not expect the adoption of this new guidance to have a significant impact on our financial position, results of operations, or cash flows.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2016, the FASB issued guidance that generally requires entities to measure equity investments at fair value and recognize changes in fair value in their results of operations. The guidance also simplifies the impairment assessment of equity investments, without readily determinable fair values by requiring entities to perform a qualitative assessment to identify impairment. The FASB issued other disclosure and presentation improvements related to financial instruments within the guidance. The guidance is effective for annual and interim reporting periods beginning after December 15, 2017. We do not expect the adoption of this new guidance to have a significant impact on our financial position, results of operations, or cash flows.</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guidance that requires lessees to recognize leases, including operating leases, on the lessee’s balance sheet, unless a lease is considered a short-term lease. The guidance also requires entities to make new judgments to identify leases. The guidance is effective for annual and interim reporting periods beginning after December 15, 2018 and permits early adoption. We do not expect the adoption of this new guidance to have a significant impact on our financial position, results of operations, or cash flows.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14" w:name="page15"/>
    <w:bookmarkEnd w:id="1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debt securities and purchased financial assets with credit deterioration. The guidance is effective for fiscal years, and interim periods within those fiscal years, beginning after December 15, 2019. We are evaluating the impact this new guidance will have on our financial position, results of operations, and cash flows.</w:t>
      </w:r>
    </w:p>
    <w:p>
      <w:pPr>
        <w:spacing w:after="0" w:line="18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20" w:right="300" w:firstLine="635"/>
        <w:spacing w:after="0" w:line="282" w:lineRule="auto"/>
        <w:rPr>
          <w:sz w:val="20"/>
          <w:szCs w:val="20"/>
          <w:color w:val="auto"/>
        </w:rPr>
      </w:pPr>
      <w:r>
        <w:rPr>
          <w:rFonts w:ascii="Times New Roman" w:cs="Times New Roman" w:eastAsia="Times New Roman" w:hAnsi="Times New Roman"/>
          <w:sz w:val="18"/>
          <w:szCs w:val="18"/>
          <w:color w:val="auto"/>
        </w:rPr>
        <w:t>The following tables show the cost or amortized cost, gross unrealized gains and losses, and fair value of the Company’s fixed income and equity securities: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5" w:name="page16"/>
    <w:bookmarkEnd w:id="1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160,260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161,470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 w:right="120" w:firstLine="635"/>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June 30, 2017</w:t>
            </w:r>
          </w:p>
        </w:tc>
      </w:tr>
      <w:tr>
        <w:trPr>
          <w:trHeight w:val="223"/>
        </w:trPr>
        <w:tc>
          <w:tcPr>
            <w:tcW w:w="56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3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3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15,970</w:t>
            </w:r>
          </w:p>
        </w:tc>
      </w:tr>
      <w:tr>
        <w:trPr>
          <w:trHeight w:val="216"/>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85,418</w:t>
            </w:r>
          </w:p>
        </w:tc>
      </w:tr>
      <w:tr>
        <w:trPr>
          <w:trHeight w:val="216"/>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72,738</w:t>
            </w:r>
          </w:p>
        </w:tc>
      </w:tr>
      <w:tr>
        <w:trPr>
          <w:trHeight w:val="216"/>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11,596</w:t>
            </w:r>
          </w:p>
        </w:tc>
      </w:tr>
      <w:tr>
        <w:trPr>
          <w:trHeight w:val="230"/>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 backed securities</w:t>
            </w: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53,116</w:t>
            </w:r>
          </w:p>
        </w:tc>
      </w:tr>
      <w:tr>
        <w:trPr>
          <w:trHeight w:val="223"/>
        </w:trPr>
        <w:tc>
          <w:tcPr>
            <w:tcW w:w="5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23"/>
        </w:trPr>
        <w:tc>
          <w:tcPr>
            <w:tcW w:w="56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3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11,069</w:t>
            </w:r>
          </w:p>
        </w:tc>
      </w:tr>
      <w:tr>
        <w:trPr>
          <w:trHeight w:val="216"/>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46,891</w:t>
            </w:r>
          </w:p>
        </w:tc>
      </w:tr>
      <w:tr>
        <w:trPr>
          <w:trHeight w:val="216"/>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55,619</w:t>
            </w:r>
          </w:p>
        </w:tc>
      </w:tr>
      <w:tr>
        <w:trPr>
          <w:trHeight w:val="216"/>
        </w:trPr>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13,037</w:t>
            </w:r>
          </w:p>
        </w:tc>
      </w:tr>
      <w:tr>
        <w:trPr>
          <w:trHeight w:val="230"/>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 backed securities</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34,854</w:t>
            </w:r>
          </w:p>
        </w:tc>
      </w:tr>
      <w:tr>
        <w:trPr>
          <w:trHeight w:val="223"/>
        </w:trPr>
        <w:tc>
          <w:tcPr>
            <w:tcW w:w="5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 w:right="700" w:firstLine="635"/>
        <w:spacing w:after="0" w:line="282" w:lineRule="auto"/>
        <w:rPr>
          <w:sz w:val="20"/>
          <w:szCs w:val="20"/>
          <w:color w:val="auto"/>
        </w:rPr>
      </w:pPr>
      <w:r>
        <w:rPr>
          <w:rFonts w:ascii="Times New Roman" w:cs="Times New Roman" w:eastAsia="Times New Roman" w:hAnsi="Times New Roman"/>
          <w:sz w:val="18"/>
          <w:szCs w:val="18"/>
          <w:color w:val="auto"/>
        </w:rPr>
        <w:t>Fixed income securities with a market value of $3,539 at June 30, 2017 and $3,530 at December 31, 2016 were deposited with various state regulatory agencies as required by law. The Company has not pledged any assets to secure any obligations.</w:t>
      </w:r>
    </w:p>
    <w:p>
      <w:pPr>
        <w:spacing w:after="0" w:line="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and equity securities were as follows:</w:t>
      </w:r>
    </w:p>
    <w:p>
      <w:pPr>
        <w:sectPr>
          <w:pgSz w:w="11900" w:h="16838" w:orient="portrait"/>
          <w:cols w:equalWidth="0" w:num="1">
            <w:col w:w="11420"/>
          </w:cols>
          <w:pgMar w:left="240" w:top="216" w:right="23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6" w:name="page17"/>
    <w:bookmarkEnd w:id="1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10"/>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U.S. Government and</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3,489</w:t>
            </w:r>
          </w:p>
        </w:tc>
        <w:tc>
          <w:tcPr>
            <w:tcW w:w="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Obligations of states and</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political subdivisions</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13,148</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Residential mortgage-</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backed securities</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16,373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Commercial mortgage-</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backed securities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6,423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Total fixed income</w:t>
            </w:r>
          </w:p>
        </w:tc>
        <w:tc>
          <w:tcPr>
            <w:tcW w:w="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65,029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66,456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materials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cyclical</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non-cyclical</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72,329</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10"/>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materials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cyclical</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non-cyclical</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56,753</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7" w:name="page18"/>
    <w:bookmarkEnd w:id="1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7" w:lineRule="exact"/>
        <w:rPr>
          <w:sz w:val="20"/>
          <w:szCs w:val="20"/>
          <w:color w:val="auto"/>
        </w:rPr>
      </w:pPr>
    </w:p>
    <w:p>
      <w:pPr>
        <w:ind w:left="20" w:right="100" w:firstLine="635"/>
        <w:spacing w:after="0" w:line="270" w:lineRule="auto"/>
        <w:rPr>
          <w:sz w:val="20"/>
          <w:szCs w:val="20"/>
          <w:color w:val="auto"/>
        </w:rPr>
      </w:pPr>
      <w:r>
        <w:rPr>
          <w:rFonts w:ascii="Times New Roman" w:cs="Times New Roman" w:eastAsia="Times New Roman" w:hAnsi="Times New Roman"/>
          <w:sz w:val="17"/>
          <w:szCs w:val="17"/>
          <w:color w:val="auto"/>
        </w:rPr>
        <w:t>We frequently review our investment portfolio for declines in fair value which are other than temporary.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loss. The Company recorded an impairment of $206 in the three months and six months ended June 30, 2017, and did not record any impairment in the three months or six months ended June 30, 2016. As of June 30, 2017, we held 152 fixed income securities with unrealized losses. As of December 31, 2016, we held 129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values for the preceding 12-month period.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income consisted of the following:</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5620" w:type="dxa"/>
            <w:vAlign w:val="bottom"/>
          </w:tcPr>
          <w:p>
            <w:pPr>
              <w:spacing w:after="0"/>
              <w:rPr>
                <w:sz w:val="24"/>
                <w:szCs w:val="24"/>
                <w:color w:val="auto"/>
              </w:rPr>
            </w:pPr>
          </w:p>
        </w:tc>
        <w:tc>
          <w:tcPr>
            <w:tcW w:w="288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6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1,938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23"/>
        </w:trPr>
        <w:tc>
          <w:tcPr>
            <w:tcW w:w="56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investment income</w:t>
            </w:r>
          </w:p>
        </w:tc>
        <w:tc>
          <w:tcPr>
            <w:tcW w:w="84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realized capital gain on investments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6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6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8"/>
                <w:szCs w:val="18"/>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realized losses, excluding other</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than temporary impairment losses</w:t>
            </w:r>
          </w:p>
        </w:tc>
        <w:tc>
          <w:tcPr>
            <w:tcW w:w="86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56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86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20" w:right="300" w:firstLine="635"/>
        <w:spacing w:after="0" w:line="266" w:lineRule="auto"/>
        <w:rPr>
          <w:sz w:val="20"/>
          <w:szCs w:val="20"/>
          <w:color w:val="auto"/>
        </w:rPr>
      </w:pPr>
      <w:r>
        <w:rPr>
          <w:rFonts w:ascii="Times New Roman" w:cs="Times New Roman" w:eastAsia="Times New Roman" w:hAnsi="Times New Roman"/>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June 30, 2017 and December 31, 2016 were fixed income securities.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Prices provided by independent pricing services and independent broker quotes can vary widely, even for the same security.</w:t>
      </w:r>
    </w:p>
    <w:p>
      <w:pPr>
        <w:spacing w:after="0" w:line="117" w:lineRule="exact"/>
        <w:rPr>
          <w:sz w:val="20"/>
          <w:szCs w:val="20"/>
          <w:color w:val="auto"/>
        </w:rPr>
      </w:pPr>
    </w:p>
    <w:p>
      <w:pPr>
        <w:ind w:left="20" w:right="60" w:firstLine="635"/>
        <w:spacing w:after="0" w:line="258" w:lineRule="auto"/>
        <w:rPr>
          <w:sz w:val="20"/>
          <w:szCs w:val="20"/>
          <w:color w:val="auto"/>
        </w:rPr>
      </w:pPr>
      <w:r>
        <w:rPr>
          <w:rFonts w:ascii="Times New Roman" w:cs="Times New Roman" w:eastAsia="Times New Roman" w:hAnsi="Times New Roman"/>
          <w:sz w:val="18"/>
          <w:szCs w:val="18"/>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June 30, 2017 or December 31, 2016.</w:t>
      </w:r>
    </w:p>
    <w:p>
      <w:pPr>
        <w:spacing w:after="0" w:line="76" w:lineRule="exact"/>
        <w:rPr>
          <w:sz w:val="20"/>
          <w:szCs w:val="20"/>
          <w:color w:val="auto"/>
        </w:rPr>
      </w:pPr>
    </w:p>
    <w:p>
      <w:pPr>
        <w:ind w:left="20" w:right="440" w:firstLine="635"/>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on a recurring basis by the level within the fair value hierarchy in which fair value measurements fall: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8" w:name="page19"/>
    <w:bookmarkEnd w:id="1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2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8,003</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86,448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91,271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14,923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6,050</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securities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51,170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161,470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materials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Consumer, cyclical</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non-cyclical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Energy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June 30, 2017 or December 31, 2016.</w:t>
      </w:r>
    </w:p>
    <w:p>
      <w:pPr>
        <w:sectPr>
          <w:pgSz w:w="11900" w:h="16838" w:orient="portrait"/>
          <w:cols w:equalWidth="0" w:num="1">
            <w:col w:w="11420"/>
          </w:cols>
          <w:pgMar w:left="240" w:top="216" w:right="23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9" w:name="page20"/>
    <w:bookmarkEnd w:id="1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left="20" w:right="120" w:firstLine="635"/>
        <w:spacing w:after="0" w:line="266" w:lineRule="auto"/>
        <w:rPr>
          <w:sz w:val="20"/>
          <w:szCs w:val="20"/>
          <w:color w:val="auto"/>
        </w:rPr>
      </w:pPr>
      <w:r>
        <w:rPr>
          <w:rFonts w:ascii="Times New Roman" w:cs="Times New Roman" w:eastAsia="Times New Roman" w:hAnsi="Times New Roman"/>
          <w:sz w:val="18"/>
          <w:szCs w:val="18"/>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68" w:lineRule="exact"/>
        <w:rPr>
          <w:sz w:val="20"/>
          <w:szCs w:val="20"/>
          <w:color w:val="auto"/>
        </w:rPr>
      </w:pPr>
    </w:p>
    <w:p>
      <w:pPr>
        <w:ind w:left="20" w:right="120" w:firstLine="635"/>
        <w:spacing w:after="0" w:line="261" w:lineRule="auto"/>
        <w:rPr>
          <w:sz w:val="20"/>
          <w:szCs w:val="20"/>
          <w:color w:val="auto"/>
        </w:rPr>
      </w:pPr>
      <w:r>
        <w:rPr>
          <w:rFonts w:ascii="Times New Roman" w:cs="Times New Roman" w:eastAsia="Times New Roman" w:hAnsi="Times New Roman"/>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72" w:lineRule="exact"/>
        <w:rPr>
          <w:sz w:val="20"/>
          <w:szCs w:val="20"/>
          <w:color w:val="auto"/>
        </w:rPr>
      </w:pPr>
    </w:p>
    <w:p>
      <w:pPr>
        <w:ind w:left="20" w:right="40" w:firstLine="635"/>
        <w:spacing w:after="0" w:line="266" w:lineRule="auto"/>
        <w:rPr>
          <w:sz w:val="20"/>
          <w:szCs w:val="20"/>
          <w:color w:val="auto"/>
        </w:rPr>
      </w:pPr>
      <w:r>
        <w:rPr>
          <w:rFonts w:ascii="Times New Roman" w:cs="Times New Roman" w:eastAsia="Times New Roman" w:hAnsi="Times New Roman"/>
          <w:sz w:val="18"/>
          <w:szCs w:val="18"/>
          <w:color w:val="auto"/>
        </w:rPr>
        <w:t>As a group at December 31, 2016, the Company retained $5,000 of losses from catastrophic events and had reinsurance under various reinsurance agreements up to $74,600 in excess of its $5,000 retained risk. Effective January 1, 2017, the catastrophic retention amount was increased to $10,000, and the Company maintained the coverage up to $74,600.</w:t>
      </w:r>
    </w:p>
    <w:p>
      <w:pPr>
        <w:spacing w:after="0" w:line="68" w:lineRule="exact"/>
        <w:rPr>
          <w:sz w:val="20"/>
          <w:szCs w:val="20"/>
          <w:color w:val="auto"/>
        </w:rPr>
      </w:pPr>
    </w:p>
    <w:p>
      <w:pPr>
        <w:ind w:left="20" w:right="40" w:firstLine="635"/>
        <w:spacing w:after="0" w:line="256"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2017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60" w:type="dxa"/>
            <w:vAlign w:val="bottom"/>
          </w:tcPr>
          <w:p>
            <w:pPr>
              <w:spacing w:after="0"/>
              <w:rPr>
                <w:sz w:val="20"/>
                <w:szCs w:val="20"/>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4,591</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(11,431)</w:t>
            </w: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premiums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78,114</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113,211</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Percentage of assumed earned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to net earned premium</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6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160" w:type="dxa"/>
            <w:vAlign w:val="bottom"/>
          </w:tcPr>
          <w:p>
            <w:pPr>
              <w:spacing w:after="0"/>
              <w:rPr>
                <w:sz w:val="20"/>
                <w:szCs w:val="20"/>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7,430</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(27,331)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(30,877)</w:t>
            </w: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premiums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56,348</w:t>
            </w: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88,122</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Percentage of assumed earned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to net earned premium</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direct to net losses and loss adjustment expenses is as follows: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losses and LAE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losses and LAE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losses and LAE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LAE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8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8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36,093</w:t>
            </w:r>
          </w:p>
        </w:tc>
        <w:tc>
          <w:tcPr>
            <w:tcW w:w="240" w:type="dxa"/>
            <w:vAlign w:val="bottom"/>
          </w:tcPr>
          <w:p>
            <w:pPr>
              <w:spacing w:after="0"/>
              <w:rPr>
                <w:sz w:val="16"/>
                <w:szCs w:val="16"/>
                <w:color w:val="auto"/>
              </w:rPr>
            </w:pPr>
          </w:p>
        </w:tc>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39,490</w:t>
            </w:r>
          </w:p>
        </w:tc>
        <w:tc>
          <w:tcPr>
            <w:tcW w:w="220" w:type="dxa"/>
            <w:vAlign w:val="bottom"/>
          </w:tcPr>
          <w:p>
            <w:pPr>
              <w:spacing w:after="0"/>
              <w:rPr>
                <w:sz w:val="16"/>
                <w:szCs w:val="16"/>
                <w:color w:val="auto"/>
              </w:rPr>
            </w:pPr>
          </w:p>
        </w:tc>
        <w:tc>
          <w:tcPr>
            <w:tcW w:w="18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55,735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51,348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2,979</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3,821</w:t>
            </w:r>
          </w:p>
        </w:tc>
        <w:tc>
          <w:tcPr>
            <w:tcW w:w="40" w:type="dxa"/>
            <w:vAlign w:val="bottom"/>
          </w:tcPr>
          <w:p>
            <w:pPr>
              <w:spacing w:after="0"/>
              <w:rPr>
                <w:sz w:val="18"/>
                <w:szCs w:val="18"/>
                <w:color w:val="auto"/>
              </w:rPr>
            </w:pPr>
          </w:p>
        </w:tc>
      </w:tr>
      <w:tr>
        <w:trPr>
          <w:trHeight w:val="248"/>
        </w:trPr>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(1,887)</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(11,373)</w:t>
            </w:r>
          </w:p>
        </w:tc>
        <w:tc>
          <w:tcPr>
            <w:tcW w:w="18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(12,584)</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42,585</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216" w:right="23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20" w:name="page21"/>
    <w:bookmarkEnd w:id="2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7" w:lineRule="exact"/>
        <w:rPr>
          <w:sz w:val="20"/>
          <w:szCs w:val="20"/>
          <w:color w:val="auto"/>
        </w:rPr>
      </w:pPr>
    </w:p>
    <w:p>
      <w:pPr>
        <w:ind w:left="20" w:right="120" w:firstLine="635"/>
        <w:spacing w:after="0" w:line="282" w:lineRule="auto"/>
        <w:rPr>
          <w:sz w:val="20"/>
          <w:szCs w:val="20"/>
          <w:color w:val="auto"/>
        </w:rPr>
      </w:pPr>
      <w:r>
        <w:rPr>
          <w:rFonts w:ascii="Times New Roman" w:cs="Times New Roman" w:eastAsia="Times New Roman" w:hAnsi="Times New Roman"/>
          <w:sz w:val="18"/>
          <w:szCs w:val="18"/>
          <w:color w:val="auto"/>
        </w:rPr>
        <w:t>If 100% of our ceded reinsurance was cancelled as of June 30, 2017 or December 31, 2016, no ceded commissions would need to be returned to the reinsurers.</w:t>
      </w:r>
    </w:p>
    <w:p>
      <w:pPr>
        <w:spacing w:after="0" w:line="5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Activity with regards to our deferred policy acquisition costs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62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8,113</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12,367</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(6,193)</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(11,310)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(10,234)</w:t>
            </w:r>
          </w:p>
        </w:tc>
      </w:tr>
      <w:tr>
        <w:trPr>
          <w:trHeight w:val="22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ectPr>
          <w:pgSz w:w="11900" w:h="16838" w:orient="portrait"/>
          <w:cols w:equalWidth="0" w:num="1">
            <w:col w:w="11420"/>
          </w:cols>
          <w:pgMar w:left="240" w:top="216" w:right="239" w:bottom="1440" w:gutter="0" w:footer="0" w:header="0"/>
        </w:sectPr>
      </w:pPr>
    </w:p>
    <w:p>
      <w:pPr>
        <w:spacing w:after="0" w:line="22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Activity in the liability for unpaid losses and loss adjustment expenses is summarized as follows: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Reinsurance ceded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Net balance at beginning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left="-6"/>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43" w:lineRule="exact"/>
        <w:rPr>
          <w:sz w:val="20"/>
          <w:szCs w:val="20"/>
          <w:color w:val="auto"/>
        </w:rPr>
      </w:pPr>
    </w:p>
    <w:p>
      <w:pPr>
        <w:jc w:val="center"/>
        <w:ind w:left="-6"/>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220" w:lineRule="exact"/>
        <w:rPr>
          <w:sz w:val="20"/>
          <w:szCs w:val="20"/>
          <w:color w:val="auto"/>
        </w:rPr>
      </w:pPr>
    </w:p>
    <w:p>
      <w:pPr>
        <w:ind w:left="927" w:hanging="927"/>
        <w:spacing w:after="0"/>
        <w:tabs>
          <w:tab w:leader="none" w:pos="9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59,632</w:t>
      </w:r>
    </w:p>
    <w:p>
      <w:pPr>
        <w:spacing w:after="0" w:line="27" w:lineRule="exact"/>
        <w:rPr>
          <w:rFonts w:ascii="Times New Roman" w:cs="Times New Roman" w:eastAsia="Times New Roman" w:hAnsi="Times New Roman"/>
          <w:sz w:val="18"/>
          <w:szCs w:val="18"/>
          <w:color w:val="auto"/>
        </w:rPr>
      </w:pPr>
    </w:p>
    <w:p>
      <w:pPr>
        <w:ind w:left="10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7,192</w:t>
      </w:r>
    </w:p>
    <w:p>
      <w:pPr>
        <w:spacing w:after="0" w:line="2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18"/>
          <w:szCs w:val="18"/>
          <w:color w:val="auto"/>
        </w:rPr>
        <w:t>52,440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00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8"/>
          <w:szCs w:val="18"/>
          <w:b w:val="1"/>
          <w:bCs w:val="1"/>
          <w:u w:val="single" w:color="auto"/>
          <w:color w:val="auto"/>
        </w:rPr>
        <w:t>December 31, 2016</w:t>
      </w:r>
    </w:p>
    <w:p>
      <w:pPr>
        <w:spacing w:after="0" w:line="172" w:lineRule="exact"/>
        <w:rPr>
          <w:sz w:val="20"/>
          <w:szCs w:val="20"/>
          <w:color w:val="auto"/>
        </w:rPr>
      </w:pPr>
    </w:p>
    <w:p>
      <w:pPr>
        <w:ind w:left="960" w:hanging="95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45,342</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5,109</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40,233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9175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3">
            <w:col w:w="7640" w:space="593"/>
            <w:col w:w="1427" w:space="200"/>
            <w:col w:w="156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58,917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(4,966)</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incurred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23,782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20,382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paid</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44,164</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1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Reinsurance ceded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72,619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59,632</w:t>
            </w:r>
          </w:p>
        </w:tc>
      </w:tr>
      <w:tr>
        <w:trPr>
          <w:trHeight w:val="234"/>
        </w:trPr>
        <w:tc>
          <w:tcPr>
            <w:tcW w:w="5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10,392</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r>
      <w:tr>
        <w:trPr>
          <w:trHeight w:val="223"/>
        </w:trPr>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52,440</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180"/>
          </w:cols>
          <w:pgMar w:left="240" w:top="216" w:right="239" w:bottom="1440" w:gutter="0" w:footer="0" w:header="0"/>
          <w:type w:val="continuous"/>
        </w:sectPr>
      </w:pPr>
    </w:p>
    <w:p>
      <w:pPr>
        <w:spacing w:after="0" w:line="106" w:lineRule="exact"/>
        <w:rPr>
          <w:sz w:val="20"/>
          <w:szCs w:val="20"/>
          <w:color w:val="auto"/>
        </w:rPr>
      </w:pPr>
    </w:p>
    <w:p>
      <w:pPr>
        <w:ind w:left="20" w:right="460" w:firstLine="635"/>
        <w:spacing w:after="0" w:line="266" w:lineRule="auto"/>
        <w:rPr>
          <w:sz w:val="20"/>
          <w:szCs w:val="20"/>
          <w:color w:val="auto"/>
        </w:rPr>
      </w:pPr>
      <w:r>
        <w:rPr>
          <w:rFonts w:ascii="Times New Roman" w:cs="Times New Roman" w:eastAsia="Times New Roman" w:hAnsi="Times New Roman"/>
          <w:sz w:val="18"/>
          <w:szCs w:val="18"/>
          <w:color w:val="auto"/>
        </w:rPr>
        <w:t>The prior years’ provision for unpaid losses and loss adjustment expenses decreased by $4,966 during the six months ended June 30, 2017, and decreased $4,756 during the year ended December 31, 2016. The decrease is generally the result of ongoing analysis of loss development trends. As additional information becomes known regarding individual claims, original estimates are increased or decreased accordingly.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21" w:name="page22"/>
    <w:bookmarkEnd w:id="2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6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Furniture and fixtures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Automobiles</w:t>
            </w:r>
          </w:p>
        </w:tc>
        <w:tc>
          <w:tcPr>
            <w:tcW w:w="2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w:t>
            </w:r>
          </w:p>
        </w:tc>
        <w:tc>
          <w:tcPr>
            <w:tcW w:w="2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(11,646)</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 w:right="200" w:firstLine="635"/>
        <w:spacing w:after="0" w:line="282" w:lineRule="auto"/>
        <w:rPr>
          <w:sz w:val="20"/>
          <w:szCs w:val="20"/>
          <w:color w:val="auto"/>
        </w:rPr>
      </w:pPr>
      <w:r>
        <w:rPr>
          <w:rFonts w:ascii="Times New Roman" w:cs="Times New Roman" w:eastAsia="Times New Roman" w:hAnsi="Times New Roman"/>
          <w:sz w:val="18"/>
          <w:szCs w:val="18"/>
          <w:color w:val="auto"/>
        </w:rPr>
        <w:t>Depreciation expense was $125 and $94 for the three months ended June 30, 2017 and 2016, and $249 and $220 for the six months ended June 30, 2017 and 2016.</w:t>
      </w:r>
    </w:p>
    <w:p>
      <w:pPr>
        <w:spacing w:after="0" w:line="158"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60" w:firstLine="636"/>
        <w:spacing w:after="0" w:line="255" w:lineRule="auto"/>
        <w:rPr>
          <w:sz w:val="20"/>
          <w:szCs w:val="20"/>
          <w:color w:val="auto"/>
        </w:rPr>
      </w:pPr>
      <w:r>
        <w:rPr>
          <w:rFonts w:ascii="Times New Roman" w:cs="Times New Roman" w:eastAsia="Times New Roman" w:hAnsi="Times New Roman"/>
          <w:sz w:val="18"/>
          <w:szCs w:val="18"/>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22,663,280 for the three months ended June 30, 2017, and 22,711,373 for the six months ended June 30, 2017. For the period prior to the date of the conversion, we assumed that the net common shares issued in the initial public offering of 22,760,000 shares were outstanding since January 1, 2017. There were no potentially dilutive common shares or other instruments outstanding during this period. Unearned ESOP shares are not considered outstanding until they are released and allocated to plan participants.</w:t>
      </w:r>
    </w:p>
    <w:p>
      <w:pPr>
        <w:spacing w:after="0" w:line="81" w:lineRule="exact"/>
        <w:rPr>
          <w:sz w:val="20"/>
          <w:szCs w:val="20"/>
          <w:color w:val="auto"/>
        </w:rPr>
      </w:pPr>
    </w:p>
    <w:p>
      <w:pPr>
        <w:ind w:right="400" w:firstLine="636"/>
        <w:spacing w:after="0" w:line="266" w:lineRule="auto"/>
        <w:rPr>
          <w:sz w:val="20"/>
          <w:szCs w:val="20"/>
          <w:color w:val="auto"/>
        </w:rPr>
      </w:pPr>
      <w:r>
        <w:rPr>
          <w:rFonts w:ascii="Times New Roman" w:cs="Times New Roman" w:eastAsia="Times New Roman" w:hAnsi="Times New Roman"/>
          <w:sz w:val="18"/>
          <w:szCs w:val="18"/>
          <w:color w:val="auto"/>
        </w:rPr>
        <w:t>Our Board of Directors has approved an authorization for the repurchase of up to $8 million of the Company’s outstanding common stock. We purchased 446,671 shares of our common stock for $8,037 during the three months ended June 30, 2017, and reflected the cost of this treasury stock as a reduction of equity within our consolidated balance sheet as of June 30, 2017.</w:t>
      </w:r>
    </w:p>
    <w:p>
      <w:pPr>
        <w:spacing w:after="0" w:line="17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20" w:right="60" w:firstLine="636"/>
        <w:spacing w:after="0" w:line="261" w:lineRule="auto"/>
        <w:rPr>
          <w:sz w:val="20"/>
          <w:szCs w:val="20"/>
          <w:color w:val="auto"/>
        </w:rPr>
      </w:pPr>
      <w:r>
        <w:rPr>
          <w:rFonts w:ascii="Times New Roman" w:cs="Times New Roman" w:eastAsia="Times New Roman" w:hAnsi="Times New Roman"/>
          <w:sz w:val="18"/>
          <w:szCs w:val="18"/>
          <w:color w:val="auto"/>
        </w:rPr>
        <w:t>We were organized by the North Dakota Farm Bureau (“NDFB”) to provide insurance protection for its members. We have a royalty agreement with the NDFB which recognizes the use of their trademark and provides royalties to the NDFB based on the premiums written on Nodak Insurance’s insurance policies. Royalties paid to the NDFB were $357 and $342 during the three months ended June 30, 2017 and 2016, and $651 and $627 during the six months ended June 30, 2017 and 2016. Royalties of $156 and $96 were accrued as liabilities to the NDFB at June 30, 2017 and December 31, 2016.</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2" w:name="page23"/>
    <w:bookmarkEnd w:id="2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the impact of including Battle Creek in our consolidated balance sheets prior to intercompany eliminations: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(overdraft)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recoverables on losses (eliminated in consolidation)</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24,082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11,347</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12,735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(eliminated in consolidation)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payable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33,461</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20" w:right="200" w:firstLine="635"/>
        <w:spacing w:after="0" w:line="313" w:lineRule="auto"/>
        <w:rPr>
          <w:sz w:val="20"/>
          <w:szCs w:val="20"/>
          <w:color w:val="auto"/>
        </w:rPr>
      </w:pPr>
      <w:r>
        <w:rPr>
          <w:rFonts w:ascii="Times New Roman" w:cs="Times New Roman" w:eastAsia="Times New Roman" w:hAnsi="Times New Roman"/>
          <w:sz w:val="17"/>
          <w:szCs w:val="17"/>
          <w:color w:val="auto"/>
        </w:rPr>
        <w:t>Total revenues and expenses of Battle Creek after intercompany eliminations, which is limited to net investment income and certain miscellaneous other income and expenses, were $11 and $0 during the three months ended June 30, 2017, and $41 and $0 during the three months ended June 30, 2016.</w:t>
      </w:r>
    </w:p>
    <w:p>
      <w:pPr>
        <w:spacing w:after="0" w:line="30" w:lineRule="exact"/>
        <w:rPr>
          <w:sz w:val="20"/>
          <w:szCs w:val="20"/>
          <w:color w:val="auto"/>
        </w:rPr>
      </w:pPr>
    </w:p>
    <w:p>
      <w:pPr>
        <w:ind w:left="20" w:right="200" w:firstLine="635"/>
        <w:spacing w:after="0" w:line="313" w:lineRule="auto"/>
        <w:rPr>
          <w:sz w:val="20"/>
          <w:szCs w:val="20"/>
          <w:color w:val="auto"/>
        </w:rPr>
      </w:pPr>
      <w:r>
        <w:rPr>
          <w:rFonts w:ascii="Times New Roman" w:cs="Times New Roman" w:eastAsia="Times New Roman" w:hAnsi="Times New Roman"/>
          <w:sz w:val="17"/>
          <w:szCs w:val="17"/>
          <w:color w:val="auto"/>
        </w:rPr>
        <w:t>Total revenues and expenses of Battle Creek after intercompany eliminations, which is limited to net investment income and certain miscellaneous other income and expenses, were $69 and $0 during the six months ended June 30, 2017, and $69 and $0 during the six months ended June 30, 2016.</w:t>
      </w:r>
    </w:p>
    <w:p>
      <w:pPr>
        <w:spacing w:after="0" w:line="134"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9" w:lineRule="exact"/>
        <w:rPr>
          <w:sz w:val="20"/>
          <w:szCs w:val="20"/>
          <w:color w:val="auto"/>
        </w:rPr>
      </w:pPr>
    </w:p>
    <w:p>
      <w:pPr>
        <w:ind w:left="20" w:right="40" w:firstLine="635"/>
        <w:spacing w:after="0" w:line="256" w:lineRule="auto"/>
        <w:rPr>
          <w:sz w:val="20"/>
          <w:szCs w:val="20"/>
          <w:color w:val="auto"/>
        </w:rPr>
      </w:pPr>
      <w:r>
        <w:rPr>
          <w:rFonts w:ascii="Times New Roman" w:cs="Times New Roman" w:eastAsia="Times New Roman" w:hAnsi="Times New Roman"/>
          <w:sz w:val="18"/>
          <w:szCs w:val="18"/>
          <w:color w:val="auto"/>
        </w:rPr>
        <w:t>The Company sponsors a money purchase plan that covers all eligible employees. Plan costs are funded annually as they are earned. The Company’s contribution accrual for the money purchase plan totaled $315 and $393 for the three months ended June 30, 2017 and 2016, and $469 and $590 for the six months ended June 30, 2017 and 2016. The Company also sponsors a 401(k) plan with an automatic contribution to all eligible employees and a matching contribution for eligible employees of 50% up to 3% of eligible compensation. The Company’s contribution accrual to the 401(k) plan totaled $230 and $236 for the three months ended June 30, 2017 and 2016, and $345 and $354 for the six months ended June 30, 2017 and 2016. All fees associated with both plans are deducted from the eligible employee accounts.</w:t>
      </w:r>
    </w:p>
    <w:p>
      <w:pPr>
        <w:spacing w:after="0" w:line="80" w:lineRule="exact"/>
        <w:rPr>
          <w:sz w:val="20"/>
          <w:szCs w:val="20"/>
          <w:color w:val="auto"/>
        </w:rPr>
      </w:pPr>
    </w:p>
    <w:p>
      <w:pPr>
        <w:ind w:left="20" w:right="140" w:firstLine="635"/>
        <w:spacing w:after="0" w:line="261" w:lineRule="auto"/>
        <w:rPr>
          <w:sz w:val="20"/>
          <w:szCs w:val="20"/>
          <w:color w:val="auto"/>
        </w:rPr>
      </w:pPr>
      <w:r>
        <w:rPr>
          <w:rFonts w:ascii="Times New Roman" w:cs="Times New Roman" w:eastAsia="Times New Roman" w:hAnsi="Times New Roman"/>
          <w:sz w:val="18"/>
          <w:szCs w:val="18"/>
          <w:color w:val="auto"/>
        </w:rPr>
        <w:t>Effective April 28, 2016, the Board of Directors authorized a non-qualified deferred compensation plan covering key executives of the Company as designated by the Company’s Board of Directors. The Company’s policy is to fund the plan in a given calendar year by amounts that exceed the maximum contribution allowed by the Employee Retirement Income Security Act (“ERISA”), beginning in 2017. Funds deposited were $15 during the three months ended June 30, 2017 and $120 during the six months ended June 30, 2017.</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3" w:name="page24"/>
    <w:bookmarkEnd w:id="2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ind w:left="20" w:right="720" w:firstLine="635"/>
        <w:spacing w:after="0" w:line="282" w:lineRule="auto"/>
        <w:rPr>
          <w:sz w:val="20"/>
          <w:szCs w:val="20"/>
          <w:color w:val="auto"/>
        </w:rPr>
      </w:pPr>
      <w:r>
        <w:rPr>
          <w:rFonts w:ascii="Times New Roman" w:cs="Times New Roman" w:eastAsia="Times New Roman" w:hAnsi="Times New Roman"/>
          <w:sz w:val="18"/>
          <w:szCs w:val="18"/>
          <w:color w:val="auto"/>
        </w:rPr>
        <w:t>Nodak Mutual has a $3,000 line of credit with Wells Fargo Bank, N.A., of which there were no outstanding amounts as of June 30, 2017 or December 31, 2016. This line of credit is due to expire on October 31, 2017.</w:t>
      </w:r>
    </w:p>
    <w:p>
      <w:pPr>
        <w:spacing w:after="0" w:line="15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20" w:right="220" w:firstLine="635"/>
        <w:spacing w:after="0" w:line="282" w:lineRule="auto"/>
        <w:rPr>
          <w:sz w:val="20"/>
          <w:szCs w:val="20"/>
          <w:color w:val="auto"/>
        </w:rPr>
      </w:pPr>
      <w:r>
        <w:rPr>
          <w:rFonts w:ascii="Times New Roman" w:cs="Times New Roman" w:eastAsia="Times New Roman" w:hAnsi="Times New Roman"/>
          <w:sz w:val="18"/>
          <w:szCs w:val="18"/>
          <w:color w:val="auto"/>
        </w:rPr>
        <w:t>At June 30, 2017 and December 31, 2016, we had no unrecognized tax benefits, no accrued interest and penalties, and no significant uncertain tax positions. No interest and penalties were recognized during the three or six months ended June 30, 2017 or 2016.</w:t>
      </w:r>
    </w:p>
    <w:p>
      <w:pPr>
        <w:spacing w:after="0" w:line="54" w:lineRule="exact"/>
        <w:rPr>
          <w:sz w:val="20"/>
          <w:szCs w:val="20"/>
          <w:color w:val="auto"/>
        </w:rPr>
      </w:pPr>
    </w:p>
    <w:p>
      <w:pPr>
        <w:ind w:left="20" w:firstLine="635"/>
        <w:spacing w:after="0" w:line="261" w:lineRule="auto"/>
        <w:rPr>
          <w:sz w:val="20"/>
          <w:szCs w:val="20"/>
          <w:color w:val="auto"/>
        </w:rPr>
      </w:pPr>
      <w:r>
        <w:rPr>
          <w:rFonts w:ascii="Times New Roman" w:cs="Times New Roman" w:eastAsia="Times New Roman" w:hAnsi="Times New Roman"/>
          <w:sz w:val="18"/>
          <w:szCs w:val="18"/>
          <w:color w:val="auto"/>
        </w:rPr>
        <w:t>At June 30, 2017 and December 31, 2016, the Company, other than Battle Creek, had no income tax related carryovers for net operating losses, alternative minimum tax credits, or capital losses. Battle Creek, which files its income tax returns on a stand-alone basis, had $5,171 of net operating loss carryover at December 31, 2016. The net operating loss carry-forward expires beginning in 2021 through 2030. In 2016, a $247 capital loss carryover expired and none of the capital loss carryover was utilized against realized capital gains.</w:t>
      </w:r>
    </w:p>
    <w:p>
      <w:pPr>
        <w:spacing w:after="0" w:line="17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jc w:val="both"/>
        <w:ind w:left="20" w:right="280" w:firstLine="635"/>
        <w:spacing w:after="0" w:line="266" w:lineRule="auto"/>
        <w:rPr>
          <w:sz w:val="20"/>
          <w:szCs w:val="20"/>
          <w:color w:val="auto"/>
        </w:rPr>
      </w:pPr>
      <w:r>
        <w:rPr>
          <w:rFonts w:ascii="Times New Roman" w:cs="Times New Roman" w:eastAsia="Times New Roman" w:hAnsi="Times New Roman"/>
          <w:sz w:val="18"/>
          <w:szCs w:val="18"/>
          <w:color w:val="auto"/>
        </w:rPr>
        <w:t>We lease facilities, equipment, and software under non-cancellable operating leases expiring at various times through November 2017. Expenses related to these leases were $10 and $23 for the three months ended June 30, 2017 and 2016, and $20 and $45 for the six months ended June 30, 2017 and 2016.</w:t>
      </w:r>
    </w:p>
    <w:p>
      <w:pPr>
        <w:spacing w:after="0" w:line="68" w:lineRule="exact"/>
        <w:rPr>
          <w:sz w:val="20"/>
          <w:szCs w:val="20"/>
          <w:color w:val="auto"/>
        </w:rPr>
      </w:pPr>
    </w:p>
    <w:p>
      <w:pPr>
        <w:ind w:left="20" w:right="180" w:firstLine="635"/>
        <w:spacing w:after="0" w:line="282" w:lineRule="auto"/>
        <w:rPr>
          <w:sz w:val="20"/>
          <w:szCs w:val="20"/>
          <w:color w:val="auto"/>
        </w:rPr>
      </w:pPr>
      <w:r>
        <w:rPr>
          <w:rFonts w:ascii="Times New Roman" w:cs="Times New Roman" w:eastAsia="Times New Roman" w:hAnsi="Times New Roman"/>
          <w:sz w:val="18"/>
          <w:szCs w:val="18"/>
          <w:color w:val="auto"/>
        </w:rPr>
        <w:t>Minimum future commitments under these non-cancellable leases having remaining terms in excess of one year as of June 30, 2017 were less than $100 per year.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sub-lease portions of our home office building under non-cancellable operating leases.</w:t>
      </w:r>
    </w:p>
    <w:p>
      <w:pPr>
        <w:spacing w:after="0" w:line="22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left="20" w:right="300" w:firstLine="635"/>
        <w:spacing w:after="0" w:line="282" w:lineRule="auto"/>
        <w:rPr>
          <w:sz w:val="20"/>
          <w:szCs w:val="20"/>
          <w:color w:val="auto"/>
        </w:rPr>
      </w:pPr>
      <w:r>
        <w:rPr>
          <w:rFonts w:ascii="Times New Roman" w:cs="Times New Roman" w:eastAsia="Times New Roman" w:hAnsi="Times New Roman"/>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54" w:lineRule="exact"/>
        <w:rPr>
          <w:sz w:val="20"/>
          <w:szCs w:val="20"/>
          <w:color w:val="auto"/>
        </w:rPr>
      </w:pPr>
    </w:p>
    <w:p>
      <w:pPr>
        <w:ind w:left="20" w:right="340" w:firstLine="635"/>
        <w:spacing w:after="0" w:line="282" w:lineRule="auto"/>
        <w:rPr>
          <w:sz w:val="20"/>
          <w:szCs w:val="20"/>
          <w:color w:val="auto"/>
        </w:rPr>
      </w:pPr>
      <w:r>
        <w:rPr>
          <w:rFonts w:ascii="Times New Roman" w:cs="Times New Roman" w:eastAsia="Times New Roman" w:hAnsi="Times New Roman"/>
          <w:sz w:val="18"/>
          <w:szCs w:val="18"/>
          <w:color w:val="auto"/>
        </w:rPr>
        <w:t>The Company does not have any unrecorded or potential contingent liabilities or material commitments requiring the use of assets as of June 30, 2017 or December 31, 2016.</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24" w:name="page25"/>
    <w:bookmarkEnd w:id="2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20" w:right="120" w:firstLine="635"/>
        <w:spacing w:after="0" w:line="261" w:lineRule="auto"/>
        <w:rPr>
          <w:sz w:val="20"/>
          <w:szCs w:val="20"/>
          <w:color w:val="auto"/>
        </w:rPr>
      </w:pPr>
      <w:r>
        <w:rPr>
          <w:rFonts w:ascii="Times New Roman" w:cs="Times New Roman" w:eastAsia="Times New Roman" w:hAnsi="Times New Roman"/>
          <w:sz w:val="18"/>
          <w:szCs w:val="18"/>
          <w:color w:val="auto"/>
        </w:rPr>
        <w:t>We have three primary insurance product lines, which consist of multi-peril crop and hail, non-standard auto and other property and casualty coverages. We do not allocate assets, underwriting expenses or fee and other income to the individual product lines and generally review the products in the aggregate for purposes of managerial decision making. We operate only in the United States, and no single customer or agent provides 10 percent or more of our revenues. The table below outlines revenue by insurance product line.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Multi-peril crop and hail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12,814</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6,930</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13,914</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Non-standard auto</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property and casualty coverage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evaluated subsequent events through August 10, 2017, the date these consolidated financial statements were available for issuance.</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5" w:name="page26"/>
    <w:bookmarkEnd w:id="2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for more information. You should review “Risk Factors” for a discussion of important factors that could cause actual results to differ materially from the results described, or implied by, the forward-looking statements contained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 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49"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Minnesota, and Nebraska. Primero offers nonstandard auto insurance coverage in Arizona, Nevada, North Dakota, and South Dakota. Nodak Insurance and Battle Creek are rated an “A” by A.M. Best, which is the third highest out of a possible 15 ratings. American West is rated “A”, and Primero is unrated.</w:t>
      </w:r>
    </w:p>
    <w:p>
      <w:pPr>
        <w:spacing w:after="0" w:line="138"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American West is a wholly-owned subsidiary of Nodak Insurance, and Primero is an indirect wholly-owned subsidiary of Nodak Insurance. Battle Creek is managed by Nodak Insurance, and Nodak Insurance reinsures 100% of the risk on all insurance policies issued by Battle Creek. NI Holdings’ financial statements set forth herein include the consolidated financial results of NI Holdings, Nodak Insurance, American West, Battle Creek, and Primero.</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June 30, 2017 and 2016, the Company had consolidated gross premiums written of $83,671 and $77,753,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premiums earned of $45,653 and $37,136, and consolidated net income (loss) before non-controlling interest of $117 and ($1,819). For the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2017 and 2016, the Company had consolidated gross premiums written of $120,051 and $111,569, consolidated net premiums earned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$78,462 and $67,251, and consolidated net income before non-controlling interest of $4,866 and $4,400. At June 30, 2017, the Company had total assets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$429,666 and equity of $242,784, compared to total assets of $278,703 and equity of $153,418 at December 31,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Marketplace Conditions and Trends</w:t>
      </w:r>
    </w:p>
    <w:p>
      <w:pPr>
        <w:spacing w:after="0" w:line="2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Management of NI Holdings believes that the market generally may be in a hard market, but that variations exist by line of business and geography.</w:t>
      </w:r>
    </w:p>
    <w:p>
      <w:pPr>
        <w:spacing w:after="0" w:line="14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Unlike property and casualty insurance, the total crop insurance premiums written each year vary mainly based on prevailing commodity prices for the type of crops planted, because the aggregate number of acres planted does not vary significantly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commercial farmers obtain crop insurance on their plantings each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Revenue and Expense Items</w:t>
      </w:r>
    </w:p>
    <w:p>
      <w:pPr>
        <w:spacing w:after="0" w:line="20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The Company derives its revenue primarily from net premiums earned, net investment income, and net realized capital gain (loss) on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7" w:right="279" w:bottom="1440" w:gutter="0" w:footer="0" w:header="0"/>
        </w:sectPr>
      </w:pPr>
    </w:p>
    <w:bookmarkStart w:id="26" w:name="page27"/>
    <w:bookmarkEnd w:id="2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Gross and net premiums written</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gross premiums written less premiums ceded or paid to reinsurers (ceded premiums written).</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earned</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NI Holdings’ property and casualty policies typically have a term of twelve months. Thus, for example, for a policy that is written on July 1, 2017, one-half of the premiums would be earned in 2017 and the other half would be earned in 2018.</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made in the spring (primarily for prevented planting and required replanting claims), claims are required to be made by December 15. A different cycle exists for crops planted in the fall, such as winter wheat, but the vast majority of crop insurance written by NI Holdings covers crops planted in the spring.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 and net realized gains (losses) on investments</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NI Holdings invests its surplus and the funds supporting its insurance liabilities (including unearned premiums and unpaid loss and loss adjustment expenses) in cash, cash equivalents, equities, and debt securities. Investment income includes interest and dividends earned on invested assets. Net realized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 than temporary impairment or sold for an amount less than their cost or amortized cost, as applicable. NI Holdings’ portfolio of investments is managed by Conning, Inc. and Disciplined Growth Investors, who have discretion to buy and sell securities in accordance with the investment policy approved by our Board of Directors.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 Holdings’ expenses consist primarily of:</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and Loss Adjustment Expenses</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Loss and loss adjustment expenses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deferred policy acquisition costs and underwriting and general expenses</w:t>
      </w:r>
    </w:p>
    <w:p>
      <w:pPr>
        <w:spacing w:after="0" w:line="20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Expenses incurred to underwrite risks are referred to as policy acquisition costs and underwriting and general expenses.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Underwriting and general expenses consist of salaries, rent, office supplies, depreciation, and all other operating expenses not otherwise classified separately, as well as payments to bureaus and assessments of statistical agencies for policy service and administration items such as rating manuals, rating plans, and experience data.</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NI Holdings uses the asset and liability method of accounting for income taxes. Deferred income taxes arise from the recognition of temporary differences between financial statement carrying amounts and the tax bases of its assets and liabilities. A valuation allowance is provided when it is more likely than not that some portion of the deferred income tax asset will not be realized. At both June 30, 2017 and December 31, 2016, the Company had recorded valuation allowances with respect to its deferred income tax assets of $1,022. The effect of a change in tax rates is recognized in the period of the enactment date.</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27" w:name="page28"/>
    <w:bookmarkEnd w:id="2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NI Holdings evaluates its insurance operations by monitoring certain key measures of growth and profitability. In addition to reviewing its financial performance based on results determined in accordance with GAAP, NI Holdings utilizes certain non-GAAP financial measures that are used widely in the property and casualty insurance industry and which it believes are valuable in managing its business and for comparison to its peers. These non-GAAP measures are the expense ratio, loss and LAE ratio, combined ratio, written premiums, ratio of net written premiums to statutory surplus, underwriting income, return on average equity, and risk based capital.</w:t>
      </w:r>
    </w:p>
    <w:p>
      <w:pPr>
        <w:spacing w:after="0" w:line="15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income (loss), net income (loss), and return on average equity.</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and LAE ratio</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expense ratio is the ratio (expressed as a percentage) of amortization of deferred policy acquisition costs and net underwriting and general expenses (attributable to insurance operations) to premiums earned, and measures our operational efficiency in producing, underwriting and administering the company’s insurance business.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Combined ratio</w:t>
      </w:r>
    </w:p>
    <w:p>
      <w:pPr>
        <w:spacing w:after="0" w:line="20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combined ratio is the sum of the loss and LAE ratio and the expense ratio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written to statutory surplus ratio</w:t>
      </w:r>
    </w:p>
    <w:p>
      <w:pPr>
        <w:spacing w:after="0" w:line="18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net premiums written to statutory surplus ratio represents the ratio of net premiums written, after reinsurance ceded, to statutory surplus. This ratio measures the Company’s exposure to pricing deficiencies in its current book of business. The higher the ratio, the greater the impact on surplus should pricing prove inadequate.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Underwriting income (loss)</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Underwriting income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statements of operations.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 (loss) and return on average equity</w:t>
      </w:r>
    </w:p>
    <w:p>
      <w:pPr>
        <w:spacing w:after="0" w:line="200"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7"/>
          <w:szCs w:val="17"/>
          <w:color w:val="auto"/>
        </w:rPr>
        <w:t>NI Holdings uses net income (loss) to measure its profit and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7" w:right="279" w:bottom="1440" w:gutter="0" w:footer="0" w:header="0"/>
        </w:sectPr>
      </w:pPr>
    </w:p>
    <w:bookmarkStart w:id="28" w:name="page29"/>
    <w:bookmarkEnd w:id="2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Unpaid Loss and Loss Adjustment Expenses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How reserves are established</w:t>
      </w:r>
    </w:p>
    <w:p>
      <w:pPr>
        <w:spacing w:after="0" w:line="20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 of case reserves, which are reserves for claims that have been reported to it, and reserves for claims that have been incurred but have not yet been reported and for the future development of case reserves (“IBNR”).</w:t>
      </w:r>
    </w:p>
    <w:p>
      <w:pPr>
        <w:spacing w:after="0" w:line="14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6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3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multi-peril crop insurance losses on a quarterly basis based upon historical loss patterns, current crop conditions, current weather patterns, and input from crop loss adjusters. These estimates have proven to be a very good indicator of the Company’s anticipated losses for this line of business.</w:t>
      </w:r>
    </w:p>
    <w:p>
      <w:pPr>
        <w:spacing w:after="0" w:line="13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NI Holdings utilizes an independent actuary to assist with the estimation of its liability for unpaid losses and LAE. This actuary prepares estimates of the ultimate liability for unpaid losses and LAE based on established actuarial methods described below. The Company’s management reviews these estimates and supplements the actuarial analysis with information not fully incorporated into the actuarially based estimate, such as changes in the external business environment and changes in internal company processes and strategy. NI Holdings may adjust the actuarial estimates based on this supplemental information in order to arrive at the amount recorded in the consolidated financial statements.</w:t>
      </w:r>
    </w:p>
    <w:p>
      <w:pPr>
        <w:spacing w:after="0" w:line="15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NI Holdings accrues liabilities for unpaid losses and LAE based upon estimates of the ultimate amount payable. The Company projects its estimate of ultimate losses and LAE by using the following actuarial methodologies:</w:t>
      </w:r>
    </w:p>
    <w:p>
      <w:pPr>
        <w:spacing w:after="0" w:line="11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Bornhuetter-Ferguson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Bornhuetter-Ferguson Method is a blended method that explicitly takes into account both actual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to date and expected future loss emergence. This method is applied on both a paid loss basis and an incurred loss basis. This method uses selected loss development patterns to calculate the expected percentage of loss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 described above. This provides an estimate of future paid (or reported) losses that is then added to actual paid (or incurred) loss data to produce the estimated ultimate loss.</w:t>
      </w:r>
    </w:p>
    <w:p>
      <w:pPr>
        <w:spacing w:after="0" w:line="142"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Paid and Case Incurred Loss Methods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Paid and Case Incurred Loss Development Methods utilize ratios of cumulative paid or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loss or loss adjustment expense at each age of development as a percent of the preceding development age. Selected ratios are then multiplied together to produce a set of loss development factors which when applied to the most current data value, by accident year, develop estimated ultimate losses or LAE. Ultimate losses or LAE are then selected for each accident year from the various methods employed.</w:t>
      </w:r>
    </w:p>
    <w:p>
      <w:pPr>
        <w:spacing w:after="0" w:line="150"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Ratio of Paid ALAE to Paid Loss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method utilizes the ratio of paid allocated loss adjustment expense (“ALAE”) to paid losses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similar to the Paid and Case Incurred Methods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4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NI Holdings estimates IBNR reserves by first deriving an actuarially based estimate of the ultimate cost of total loss and LAE incurred as of the financial statement date. NI Holdings then reduces the estimated ultimate loss and LAE by loss and LAE payments and case reserves carried as of the financial statement date. The actuarially determined estimate is based upon indications from one of</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9" w:name="page30"/>
    <w:bookmarkEnd w:id="2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above actuarial methodologies or uses a weighted average of these results. The specific method used to estimate the ultimate losses will vary depending on the judgment of the actuary as to what is the most appropriate method for the property and casualty business. Finally, the Company considers other factors that impact reserves that are not fully incorporated in the actuarially based estimate, such as changes in the external business environment and changes in internal company processes and strategy.</w:t>
      </w:r>
    </w:p>
    <w:p>
      <w:pPr>
        <w:spacing w:after="0" w:line="14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claims and claim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5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4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factors that have or can have an impact on the Company’s case and IBNR reserves include but are not limited to those described below. The potential impact described under “</w:t>
      </w:r>
      <w:r>
        <w:rPr>
          <w:rFonts w:ascii="Times New Roman" w:cs="Times New Roman" w:eastAsia="Times New Roman" w:hAnsi="Times New Roman"/>
          <w:sz w:val="18"/>
          <w:szCs w:val="18"/>
          <w:i w:val="1"/>
          <w:iCs w:val="1"/>
          <w:color w:val="auto"/>
        </w:rPr>
        <w:t>Inflation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Case Reserves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Unallocated Loss Adjustment Reserve (All other Loss Adjustment)</w:t>
      </w:r>
      <w:r>
        <w:rPr>
          <w:rFonts w:ascii="Times New Roman" w:cs="Times New Roman" w:eastAsia="Times New Roman" w:hAnsi="Times New Roman"/>
          <w:sz w:val="18"/>
          <w:szCs w:val="18"/>
          <w:color w:val="auto"/>
        </w:rPr>
        <w:t>” reflect reasonably likely changes in such factors.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law regarding insureds’ liability and public attitudes regarding damage awards can significantly impact prior claims</w:t>
      </w:r>
    </w:p>
    <w:p>
      <w:pPr>
        <w:spacing w:after="0" w:line="2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 paid by the Company, causing the Company to experience adverse development and higher loss payments in future years.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claims handling and/or setting case reserves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estimate for IBNR reserves.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Economic inflation</w:t>
      </w:r>
    </w:p>
    <w:p>
      <w:pPr>
        <w:spacing w:after="0" w:line="18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Increases or decreases in claim severity for reasons other than inflation</w:t>
      </w:r>
    </w:p>
    <w:p>
      <w:pPr>
        <w:spacing w:after="0" w:line="20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Factors exist that can drive the cost to settle claims for reasons other than standard inflation. For example, demand surge (as in the case of Hurricane Katrina) caused by a very large catastrophe has an impact on not only the availability and cost of building materials such as roofing and other such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7" w:right="279" w:bottom="1440" w:gutter="0" w:footer="0" w:header="0"/>
        </w:sectPr>
      </w:pPr>
    </w:p>
    <w:bookmarkStart w:id="30" w:name="page31"/>
    <w:bookmarkEnd w:id="3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Actual settlement experience different than historical data trends</w:t>
      </w:r>
    </w:p>
    <w:p>
      <w:pPr>
        <w:spacing w:after="0" w:line="18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Reporting Lag</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NI Holdings and its actuary utilize historical patterns to provide an accurate estimate of what will take place in the future. Should we experience a change in reporting time (claims are slower to be reported than in the past), we or our actuary may underestimate the anticipated number of future claims, which could cause us and our actuary to underestimate the ultimate loss we may experience.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4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NI Holdings reflects adjustments to the liability for unpaid losses and LAE in the results of operations during the period in which the estimates are changed.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NI Holdings’ liabilities for unpaid losses and LAE are summarized below (dollars in thousands):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9"/>
        </w:trPr>
        <w:tc>
          <w:tcPr>
            <w:tcW w:w="8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9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0"/>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 reserves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61,913</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42,081</w:t>
            </w:r>
          </w:p>
        </w:tc>
      </w:tr>
      <w:tr>
        <w:trPr>
          <w:trHeight w:val="230"/>
        </w:trPr>
        <w:tc>
          <w:tcPr>
            <w:tcW w:w="8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IBNR reserves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10,359</w:t>
            </w:r>
          </w:p>
        </w:tc>
      </w:tr>
      <w:tr>
        <w:trPr>
          <w:trHeight w:val="223"/>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62,227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52,440</w:t>
            </w:r>
          </w:p>
        </w:tc>
      </w:tr>
      <w:tr>
        <w:trPr>
          <w:trHeight w:val="230"/>
        </w:trPr>
        <w:tc>
          <w:tcPr>
            <w:tcW w:w="8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10,392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7,192</w:t>
            </w:r>
          </w:p>
        </w:tc>
      </w:tr>
      <w:tr>
        <w:trPr>
          <w:trHeight w:val="223"/>
        </w:trPr>
        <w:tc>
          <w:tcPr>
            <w:tcW w:w="8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72,619</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59,632</w:t>
            </w:r>
          </w:p>
        </w:tc>
      </w:tr>
      <w:tr>
        <w:trPr>
          <w:trHeight w:val="20"/>
        </w:trPr>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actuary is required to exercise a considerable degree of judgment in the evaluation of all of these and other factors in the analysis of NI Holdings’ liability for unpaid losses and LAE and the related range of anticipated losses. The method of determining the loss reserves has not changed and the reserve generated by the actuary is consistent with the observed development of NI Holdings’ loss reserves over the last few years.</w:t>
      </w:r>
    </w:p>
    <w:p>
      <w:pPr>
        <w:spacing w:after="0" w:line="13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variability in establishing loss reserves arises primarily because specific losses may not be known and reported for some period and the ultimate losses paid and LAE incurred with respect to known losses may be larger or smaller than currently estimated. In addition, we continue to process claims from losses incurred from policy years more than ten years ago. The ultimate frequency or severity of these claims can be very different than the assumptions NI Holdings used in its estimation of ultimate reserves for these exposures.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Specifically, the following factors could also impact the frequency and severity of claims, and therefore, the ultimate amount of losses and LAE paid:</w:t>
      </w:r>
    </w:p>
    <w:p>
      <w:pPr>
        <w:spacing w:after="0" w:line="196"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increase in labor costs and healthcare costs that underlie insured risks;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of building materials;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commodity prices for insured crops;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laws, regulations or judicial decisions.</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estimation process for determining the liability for unpaid losses and LAE inherently results in adjustments each quarter for claims incurred (but not paid) in preceding periods. Negative amounts reported for claims incurred related to prior periods are a result of claims being settled or resolved for amounts less than originally estimated (favorable development). Positive amounts reported for claims incurred related to prior periods are a result of claims being settled or resolved for amounts greater than originally estimated (adverse development).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31" w:name="page32"/>
    <w:bookmarkEnd w:id="3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Actuarial Loss Reserves</w:t>
      </w:r>
    </w:p>
    <w:p>
      <w:pPr>
        <w:spacing w:after="0" w:line="18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selection of the ultimate loss is based on information unique to each accident year and the judgment and expertise of NI Holdings’ actuary and management.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case and IBNR reserves for losses and LAE.</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Case Reserves</w:t>
            </w: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IBNR Reserves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casualty</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49,891</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50,205</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Crop</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12,022</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12,022</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61,913</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62,227</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9,861</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10,392</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71,774</w:t>
            </w:r>
          </w:p>
        </w:tc>
        <w:tc>
          <w:tcPr>
            <w:tcW w:w="4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72,619</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75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Case Reserves</w:t>
            </w: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IBNR Reserves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casualty</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37,815</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10,359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48,174</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Crop</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4,266</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4,266</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42,081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10,359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52,440</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6,286</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48,367</w:t>
            </w:r>
          </w:p>
        </w:tc>
        <w:tc>
          <w:tcPr>
            <w:tcW w:w="4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11,265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59,632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discussed earlier, the estimation of NI Holdings’ reserves is based on several actuarial methods, each of which incorporates many quantitative assumptions. The judgment of the actuary plays an important role in selecting among various loss development factors and selecting the appropriate method, or combination of methods, to use for a given accident year.</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Liabilities for Unpaid Losses and Loss Adjustment Expenses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Loss reserves represent management’s best estimate of ultimate unpaid losses and settlement expenses for claims that have been reported and claims that have been incurred but not yet reported. In evaluating whether the reserves make a reasonable provision for the unpaid losses and LAE, it is necessary to project future loss and LAE payments. It is certain that the actual future losses and LAE will not develop exactly as projected and may vary significantly from the projections.</w:t>
      </w:r>
    </w:p>
    <w:p>
      <w:pPr>
        <w:spacing w:after="0" w:line="14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projections make no provision for extraordinary future emergence of new classes of losses or types of losses not sufficiently represented in the Company’s historical data base or which are not yet quantifiable. Also, there may be a change in the Company’s reporting pattern or case reserve adequacy that is not identifiable. Due to the inherent uncertainty in estimating reserves for losses and LAE, we cannot be certain that the ultimate liability will not exceed amounts reserved, with a resulting adverse effect on our financial condition and results of operations. For this reason, the carried liability for unpaid losses and LAE reflects prudently conservative assumptions. As the carried reserves run off, the overall expectation is that, more often than not, favorable development will occur. However, there is also the possibility that the ultimate settlement of liabilities associated with these reserves will be greater, perhaps significantly, than the carried reserves.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we conclude that the reserve estimate needs to be increased, the result is an increase in losses, reducing our net income for the period in which the revised estimate is identified. Accordingly, an increase in loss reserves could have a material adverse effect on our results of operations, liquidity, and financial condition.</w:t>
      </w:r>
    </w:p>
    <w:p>
      <w:pPr>
        <w:spacing w:after="0" w:line="13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Reserves</w:t>
      </w:r>
    </w:p>
    <w:p>
      <w:pPr>
        <w:spacing w:after="0" w:line="20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the impact of a 1% change in our estimate for unpaid losses and LAE, net of reinsurance recoverables, on our net income after tax would be approximately $404.</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8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Inflation is not explicitly selected in the loss reserve analysis. However, historical inflation is embedded in the estimated loss development factors. The following table displays the impact on net income after tax resulting from various changes from the</w:t>
      </w:r>
    </w:p>
    <w:p>
      <w:pPr>
        <w:sectPr>
          <w:pgSz w:w="11900" w:h="16838" w:orient="portrait"/>
          <w:cols w:equalWidth="0" w:num="1">
            <w:col w:w="11420"/>
          </w:cols>
          <w:pgMar w:left="240" w:top="227" w:right="239" w:bottom="1440" w:gutter="0" w:footer="0" w:header="0"/>
        </w:sectPr>
      </w:pP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inflation factor implicitly embedded in the estimated payment pattern as of December 31, 2016, which is deemed consistent with June 30, 2017. A change in inflation may or may not fully impact loss payments in the future because some of the underling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49" w:lineRule="exact"/>
        <w:rPr>
          <w:sz w:val="20"/>
          <w:szCs w:val="20"/>
          <w:color w:val="auto"/>
        </w:rPr>
      </w:pPr>
    </w:p>
    <w:tbl>
      <w:tblPr>
        <w:tblLayout w:type="fixed"/>
        <w:tblInd w:w="2880" w:type="dxa"/>
        <w:tblCellMar>
          <w:top w:w="0" w:type="dxa"/>
          <w:left w:w="0" w:type="dxa"/>
          <w:bottom w:w="0" w:type="dxa"/>
          <w:right w:w="0" w:type="dxa"/>
        </w:tblCellMar>
      </w:tblPr>
      <w:tr>
        <w:trPr>
          <w:trHeight w:val="238"/>
        </w:trPr>
        <w:tc>
          <w:tcPr>
            <w:tcW w:w="27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Change in Inflation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Impact on After Tax Earnings</w:t>
            </w:r>
          </w:p>
        </w:tc>
      </w:tr>
      <w:tr>
        <w:trPr>
          <w:trHeight w:val="210"/>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18"/>
                <w:szCs w:val="18"/>
                <w:color w:val="auto"/>
              </w:rPr>
            </w:pPr>
          </w:p>
        </w:tc>
      </w:t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Case Reserves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tax that results from various changes from the historical inflation factor that is implicitly embedded in the estimated payment pattern to develop the reserves as of December 31, 2016, which is deemed consistent with June 30, 2017. This variance in future IBNR emergence could occur in one year or over multiple years, depending when the change is recognized.</w:t>
      </w:r>
    </w:p>
    <w:p>
      <w:pPr>
        <w:spacing w:after="0" w:line="153" w:lineRule="exact"/>
        <w:rPr>
          <w:sz w:val="20"/>
          <w:szCs w:val="20"/>
          <w:color w:val="auto"/>
        </w:rPr>
      </w:pPr>
    </w:p>
    <w:tbl>
      <w:tblPr>
        <w:tblLayout w:type="fixed"/>
        <w:tblInd w:w="2880" w:type="dxa"/>
        <w:tblCellMar>
          <w:top w:w="0" w:type="dxa"/>
          <w:left w:w="0" w:type="dxa"/>
          <w:bottom w:w="0" w:type="dxa"/>
          <w:right w:w="0" w:type="dxa"/>
        </w:tblCellMar>
      </w:tblPr>
      <w:tr>
        <w:trPr>
          <w:trHeight w:val="238"/>
        </w:trPr>
        <w:tc>
          <w:tcPr>
            <w:tcW w:w="27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Change in Case Reserves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Impact on After Tax Earnings</w:t>
            </w:r>
          </w:p>
        </w:tc>
      </w:tr>
      <w:tr>
        <w:trPr>
          <w:trHeight w:val="210"/>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shd w:val="clear" w:color="auto" w:fill="CCEEFF"/>
          </w:tcPr>
          <w:p>
            <w:pPr>
              <w:spacing w:after="0"/>
              <w:rPr>
                <w:sz w:val="18"/>
                <w:szCs w:val="18"/>
                <w:color w:val="auto"/>
              </w:rPr>
            </w:pPr>
          </w:p>
        </w:tc>
      </w:tr>
      <w:tr>
        <w:trPr>
          <w:trHeight w:val="234"/>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20"/>
                <w:szCs w:val="20"/>
                <w:color w:val="auto"/>
              </w:rPr>
            </w:pP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Unallocated Loss Adjustment Expenses (All Other Loss Adjustment Expenses)</w:t>
      </w:r>
    </w:p>
    <w:p>
      <w:pPr>
        <w:spacing w:after="0" w:line="20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to establishing loss reserves, as described above, we establish reserves for unallocated loss adjustment expenses (“ULAE”). Historical patterns of paid ULAE relative to paid loss are analyzed. The result of this analysis is an estimate of the relationship or ratio, between ULAE and losses paid. This ratio is used to estimate the required ULAE reserve. Consequently, this component of the loss expense reserve has a proportional relationship to the overall loss reserves excluding loss adjustment expense. This method assumes that the underlying claims process and mix of business do not change materially from period to period.</w:t>
      </w:r>
    </w:p>
    <w:p>
      <w:pPr>
        <w:spacing w:after="0" w:line="14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displays the impact on net income after tax that various changes in this factor would have on the ULAE reserves as of December 31, 2016, which is deemed consistent with June 30, 2017. This variance in future reserve emergence could occur in one year or over multiple years, depending when the change is recognized.</w:t>
      </w:r>
    </w:p>
    <w:p>
      <w:pPr>
        <w:spacing w:after="0" w:line="132"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Point Change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ULAE Factor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Impact on After Tax Earnings</w:t>
            </w:r>
          </w:p>
        </w:tc>
      </w:tr>
      <w:tr>
        <w:trPr>
          <w:trHeight w:val="210"/>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r>
      <w:tr>
        <w:trPr>
          <w:trHeight w:val="234"/>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0"/>
                <w:szCs w:val="20"/>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these investments, net of applicable income taxes, are reflected directly in equity as a component of comprehensive income (loss) and, accordingly, have no effect on net income (loss). Investment income is recognized when earned, and realized capital gains and losses are recognized when investments are sold, or determined to be other-than-temporarily impaired.</w:t>
      </w:r>
    </w:p>
    <w:p>
      <w:pPr>
        <w:spacing w:after="0" w:line="1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debt securities if (1) an entity intends to sell the security, (2) it is more likely than not an entity will be required to sell the security before recovery of its amortized cost basis, or (3) the present value of the expected cash flows is not sufficient to recover</w:t>
      </w:r>
    </w:p>
    <w:p>
      <w:pPr>
        <w:sectPr>
          <w:pgSz w:w="11900" w:h="16838" w:orient="portrait"/>
          <w:cols w:equalWidth="0" w:num="1">
            <w:col w:w="11420"/>
          </w:cols>
          <w:pgMar w:left="240" w:top="227" w:right="239" w:bottom="1440" w:gutter="0" w:footer="0" w:header="0"/>
        </w:sectPr>
      </w:pP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entire amortized cost basis. In addition, the amount of the OTTI recognized in earnings depends on whether an entity intends to sell or will more likely than not be required to sell the security. If an entity intends to sell the security or will be required to sell the security, the OTTI shall be recognized in earnings equal to the entire difference between the fair value and the amortized cost basis at the balance sheet date. If an entity does not intend to sell the security and it is not more likely than not that the entity will be required to sell the security before the recovery of its amortized cost basis, the OTTI shall be separated into two amounts, the credit-related loss and the noncredit-related loss. The credit-related loss is based on the present value of the expected cash flows and is recognized in earnings.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and equity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3,489</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3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materials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cyclical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Consumer, non-cyclical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38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6"/>
        </w:trPr>
        <w:tc>
          <w:tcPr>
            <w:tcW w:w="3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7"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Table of Contents</w:t>
              </w:r>
            </w:hyperlink>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4"/>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1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gridSpan w:val="2"/>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w:t>
            </w:r>
          </w:p>
        </w:tc>
        <w:tc>
          <w:tcPr>
            <w:tcW w:w="18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3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gridSpan w:val="2"/>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 materials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Consumer, cyclical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Consumer, non-cyclical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380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Fair values of interest rate sensitive instruments may be affected by increases and decreases in prevailing interest rates which generally translate, respectively, into decreases and increases in fair values of fixed income investments.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4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NI Holdings’ investment portfolio experienced a change in net unrealized gains of $3,019. The overall portfolio experienced increases in unrealized gains, with the majority of the gains coming in equity securities.</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w:t>
      </w:r>
    </w:p>
    <w:p>
      <w:pPr>
        <w:spacing w:after="0" w:line="1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NI Holdings monitors its investment portfolio and reviews securities that have experienced a decline in fair value below cost or amortized cost to evaluate whether the decline is other than temporary. When assessing whether the cost or amortized cost basis of the security will be recovered, the Company compares the present value of the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or amortized cost basis is referred to as the “credit loss.” If there is a credit loss, the impairment is considered to be other than 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5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NI Holdings recognized $206 of other-than-temporary impairments of its investment securities. For the year ended December 31, 2016, NI Holdings recognized no other-than-temporary impairments of its investment securities.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35" w:name="page36"/>
    <w:bookmarkEnd w:id="3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55" w:lineRule="exact"/>
        <w:rPr>
          <w:sz w:val="20"/>
          <w:szCs w:val="20"/>
          <w:color w:val="auto"/>
        </w:rPr>
      </w:pPr>
    </w:p>
    <w:p>
      <w:pPr>
        <w:ind w:left="1960" w:right="680" w:hanging="1296"/>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21" w:lineRule="exact"/>
        <w:rPr>
          <w:sz w:val="20"/>
          <w:szCs w:val="20"/>
          <w:color w:val="auto"/>
        </w:rPr>
      </w:pPr>
    </w:p>
    <w:p>
      <w:pPr>
        <w:ind w:left="1960" w:right="20" w:hanging="1296"/>
        <w:spacing w:after="0" w:line="258"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II includes debt securities with quoted prices that are traded less frequently then exchange traded instruments. Valuation techniques include matrix pricing which is a mathematical technique used widely in the industry to value debt securities without relying exclusively on quoted market prices for the specific securities but rather by relying on the securities’ relationship to other benchmark quoted prices.</w:t>
      </w:r>
    </w:p>
    <w:p>
      <w:pPr>
        <w:spacing w:after="0" w:line="143" w:lineRule="exact"/>
        <w:rPr>
          <w:sz w:val="20"/>
          <w:szCs w:val="20"/>
          <w:color w:val="auto"/>
        </w:rPr>
      </w:pPr>
    </w:p>
    <w:p>
      <w:pPr>
        <w:ind w:left="1960" w:right="320" w:hanging="1296"/>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III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13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5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 adjusted spread model to develop prepayment and interest rate scenarios. The pricing service did not use broker quotes in determining fair values of the Company’s investments.</w:t>
      </w:r>
    </w:p>
    <w:p>
      <w:pPr>
        <w:spacing w:after="0" w:line="1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NI Holdings attempts to obtain a non-binding fair value estimate from a number of broker-dealers and reviews this estimate in conjunction with a fair value estimate reported by an independent business news service or other sources. In instances where only one broker-dealer provides a fair value for a fixed income security, NI Holdings uses that estimate. In instances where NI Holdings is able to obtain fair value estimates from more than one broker-dealer, the Company reviews the range of estimates and selects the most appropriate value based on the facts and circumstances. Should neither the independent pricing service nor a broker-dealer provide a fair value estimate, NI Holdings develops a fair value estimate based on cash flow analyses and other valuation techniques that utilize certain unobservable inputs. Accordingly, NI Holdings classifies such a security as a Level III investment.</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fair value estimates of NI Holdings’ investments provided by the independent pricing service at June 30, 2017 were utilized, among other resources, in reaching a conclusion as to the fair value of its investments.</w:t>
      </w:r>
    </w:p>
    <w:p>
      <w:pPr>
        <w:spacing w:after="0" w:line="121"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36" w:name="page37"/>
    <w:bookmarkEnd w:id="3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securities in common sectors, durations, and credit ratings. This review will also include all fixed income securities rated lower than “A” by Moody’s or S&amp;P. If, after this review, management does not believe the pricing for any security is a reasonable estimate of fair value, then it will seek to resolve the discrepancy through discussions with the pricing service. In its review, management did not identify any such discrepancies for the six months ended June 30, 2017 or the year ended December 31, 2016, and no adjustments were made to the estimates provided by the pricing service for the six months ended June 30, 2017 or the year ended December 31, 2016. The classification within the fair value hierarchy is then confirmed based on the final conclusions from the pricing review.</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w:t>
      </w:r>
    </w:p>
    <w:p>
      <w:pPr>
        <w:spacing w:after="0" w:line="20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 At June 30, 2017 and December 31, 2016, deferred policy acquisition costs and the related liability for unearned premiums were as follows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00" w:type="dxa"/>
            <w:vAlign w:val="bottom"/>
            <w:shd w:val="clear" w:color="auto" w:fill="CCEEFF"/>
          </w:tcPr>
          <w:p>
            <w:pPr>
              <w:spacing w:after="0"/>
              <w:rPr>
                <w:sz w:val="18"/>
                <w:szCs w:val="18"/>
                <w:color w:val="auto"/>
              </w:rPr>
            </w:pP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unearned premiums</w:t>
            </w: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57,445</w:t>
            </w:r>
          </w:p>
        </w:tc>
      </w:tr>
    </w:tbl>
    <w:p>
      <w:pPr>
        <w:spacing w:after="0" w:line="35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Ownership Plan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established the NI Holdings, Inc. Employee Stock Ownership Plan (the “ESOP”). The ESOP is intended to be an employee stock ownership plan within the meaning of Internal Revenue Code Section 4975(e)(7) and will invest primarily in common stock of the Company.</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Nodak Insurance loaned $2,400 to the ESOP’s related trust (the “ESOP Trust”). The ESOP loan will be for a period of ten years and bears interest at the long-term Applicable Federal Rate effective on the closing date of the offering.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5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4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market value of the Company’s stock at time of release.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ESOP participants are employees of Nodak Insurance. The employees of Primero will not participate in the ESOP.</w:t>
      </w:r>
    </w:p>
    <w:p>
      <w:pPr>
        <w:spacing w:after="0" w:line="18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37" w:name="page38"/>
    <w:bookmarkEnd w:id="3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showing the number of shares of common stock of the Company allocated to the participant’s account and the market value of those shares.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NI Holdings uses the asset and liability method of accounting for income taxes. Deferred income taxes arise from the recognition of temporary differences between financial statement carrying amounts and the tax bases of our assets and liabilities. A valuation allowance is provided when it is more likely than not that some portion of the deferred income tax asset will not be realized. The effect of a change in tax rates is recognized in the period of the enactment date.</w:t>
      </w:r>
    </w:p>
    <w:p>
      <w:pPr>
        <w:spacing w:after="0" w:line="1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NI Holdings had gross deferred income tax assets of $7,392 at June 30, 2017 and $6,648 at December 31, 2016. A valuation allowance is required to be established for any portion of the deferred income tax asset for which the Company believes it is more likely than not that it will not be realized. A valuation allowance of $1,022 was maintained at June 30, 2017 and December 31, 2016.</w:t>
      </w:r>
    </w:p>
    <w:p>
      <w:pPr>
        <w:spacing w:after="0" w:line="13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NI Holdings had gross deferred income tax liabilities of $10,394 at June 30, 2017 and $8,541 at December 31, 2016, arising primarily from deferred policy acquisition costs and net unrealized capital gains on investments.</w:t>
      </w:r>
    </w:p>
    <w:p>
      <w:pPr>
        <w:spacing w:after="0" w:line="135"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4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NI Holdings had no material unrecognized tax benefits or accrued interest and penalties. Federal tax years 2013 through 2016 are open for examination.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4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which NI Holdings serves are diversified enough such that management must regularly monitor the Company’s performance and competitive position to schedule appropriate rate actions by line of business and geographic market.</w:t>
      </w:r>
    </w:p>
    <w:p>
      <w:pPr>
        <w:spacing w:after="0" w:line="14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Premiums in the multi-peril crop insurance business are primarily influenced by the number of acres planted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second quarter, and earned ratably over the period of risk, which extends into fourth quarter.</w:t>
      </w:r>
    </w:p>
    <w:p>
      <w:pPr>
        <w:spacing w:after="0" w:line="15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Premiums in the crop hail insurance business are also generally written in second quarter, but earned over a shorter period of risk than multi-peril crop insurance.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7" w:right="2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Times New Roman" w:cs="Times New Roman" w:eastAsia="Times New Roman" w:hAnsi="Times New Roman"/>
                <w:sz w:val="18"/>
                <w:szCs w:val="18"/>
                <w:i w:val="1"/>
                <w:iCs w:val="1"/>
                <w:color w:val="0000EE"/>
                <w:w w:val="98"/>
              </w:rPr>
            </w:pPr>
            <w:hyperlink w:anchor="page2">
              <w:r>
                <w:rPr>
                  <w:rFonts w:ascii="Times New Roman" w:cs="Times New Roman" w:eastAsia="Times New Roman" w:hAnsi="Times New Roman"/>
                  <w:sz w:val="18"/>
                  <w:szCs w:val="18"/>
                  <w:i w:val="1"/>
                  <w:iCs w:val="1"/>
                  <w:color w:val="0000EE"/>
                  <w:w w:val="98"/>
                </w:rPr>
                <w:t>Table of Contents</w:t>
              </w:r>
            </w:hyperlink>
          </w:p>
        </w:tc>
        <w:tc>
          <w:tcPr>
            <w:tcW w:w="76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28"/>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Three Months ended June 30, 2017 and 2016</w:t>
            </w:r>
          </w:p>
        </w:tc>
        <w:tc>
          <w:tcPr>
            <w:tcW w:w="5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89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major components of NI Holdings’ operating revenues and net income are as follows (dollars in thousands):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52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38"/>
        </w:trPr>
        <w:tc>
          <w:tcPr>
            <w:tcW w:w="1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8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37,136</w:t>
            </w:r>
          </w:p>
        </w:tc>
        <w:tc>
          <w:tcPr>
            <w:tcW w:w="80" w:type="dxa"/>
            <w:vAlign w:val="bottom"/>
          </w:tcPr>
          <w:p>
            <w:pPr>
              <w:spacing w:after="0"/>
              <w:rPr>
                <w:sz w:val="18"/>
                <w:szCs w:val="18"/>
                <w:color w:val="auto"/>
              </w:rPr>
            </w:pPr>
          </w:p>
        </w:tc>
      </w:tr>
      <w:tr>
        <w:trPr>
          <w:trHeight w:val="216"/>
        </w:trPr>
        <w:tc>
          <w:tcPr>
            <w:tcW w:w="8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8"/>
                <w:szCs w:val="18"/>
                <w:color w:val="auto"/>
              </w:rPr>
            </w:pPr>
          </w:p>
        </w:tc>
      </w:tr>
      <w:tr>
        <w:trPr>
          <w:trHeight w:val="216"/>
        </w:trPr>
        <w:tc>
          <w:tcPr>
            <w:tcW w:w="8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8"/>
                <w:szCs w:val="18"/>
                <w:color w:val="auto"/>
              </w:rPr>
            </w:pPr>
          </w:p>
        </w:tc>
      </w:tr>
      <w:tr>
        <w:trPr>
          <w:trHeight w:val="230"/>
        </w:trPr>
        <w:tc>
          <w:tcPr>
            <w:tcW w:w="8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r>
      <w:tr>
        <w:trPr>
          <w:trHeight w:val="210"/>
        </w:trPr>
        <w:tc>
          <w:tcPr>
            <w:tcW w:w="8900" w:type="dxa"/>
            <w:vAlign w:val="bottom"/>
            <w:tcBorders>
              <w:bottom w:val="single" w:sz="8" w:color="CCEEFF"/>
            </w:tcBorders>
            <w:gridSpan w:val="3"/>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47,760</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income: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Underwriting (loss)</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8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8"/>
                <w:szCs w:val="18"/>
                <w:color w:val="auto"/>
              </w:rPr>
            </w:pPr>
          </w:p>
        </w:tc>
      </w:tr>
      <w:tr>
        <w:trPr>
          <w:trHeight w:val="216"/>
        </w:trPr>
        <w:tc>
          <w:tcPr>
            <w:tcW w:w="8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8"/>
                <w:szCs w:val="18"/>
                <w:color w:val="auto"/>
              </w:rPr>
            </w:pPr>
          </w:p>
        </w:tc>
      </w:tr>
      <w:tr>
        <w:trPr>
          <w:trHeight w:val="230"/>
        </w:trPr>
        <w:tc>
          <w:tcPr>
            <w:tcW w:w="8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r>
      <w:tr>
        <w:trPr>
          <w:trHeight w:val="210"/>
        </w:trPr>
        <w:tc>
          <w:tcPr>
            <w:tcW w:w="89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gridSpan w:val="2"/>
          </w:tcPr>
          <w:p>
            <w:pPr>
              <w:spacing w:after="0"/>
              <w:rPr>
                <w:sz w:val="18"/>
                <w:szCs w:val="18"/>
                <w:color w:val="auto"/>
              </w:rPr>
            </w:pPr>
          </w:p>
        </w:tc>
      </w:tr>
      <w:tr>
        <w:trPr>
          <w:trHeight w:val="230"/>
        </w:trPr>
        <w:tc>
          <w:tcPr>
            <w:tcW w:w="89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89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Earned</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NI Holdings’ net premiums earned increased 22.9% for the three months ended June 30, 2017 compared to the three months ended June 30, 2016 primarily due to continued growth in our personal lines of business and higher retention of premiums in our multi-peril crop insurance business.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 and Other Income</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NI Holdings had fee and other income of $321 for the three months ended June 30, 2017, compared to $508 for the three months ended June 30, 2016. Fee income is primarily related to the non-standard auto insurance business, which has declined modestly in volume since last year.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20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average cash and invested assets, investment income, and return on average cash and invested assets for the reported periods (dollars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5240" w:type="dxa"/>
            <w:vAlign w:val="bottom"/>
            <w:gridSpan w:val="4"/>
          </w:tcPr>
          <w:p>
            <w:pPr>
              <w:ind w:left="28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38"/>
        </w:trPr>
        <w:tc>
          <w:tcPr>
            <w:tcW w:w="6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304,514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208,850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r>
      <w:tr>
        <w:trPr>
          <w:trHeight w:val="216"/>
        </w:trPr>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Return on average cash and invested assets</w:t>
            </w:r>
          </w:p>
        </w:tc>
        <w:tc>
          <w:tcPr>
            <w:tcW w:w="3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bl>
    <w:p>
      <w:pPr>
        <w:spacing w:after="0" w:line="37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Investment income, net of investment expense, increased $265 for the three months ended June 30, 2017 compared to 2016. This increase is attributable to an increase in invested assets, as cash and invested assets increased to $303,545 at June 30, 2017 from $211,101 at June 30, 2016. The weighted average yield on invested assets decreased to 1.9% for the three months ended June 30, 2017 from 2.3% for the three months ended June 30, 2016. The 2017 average cash and invested assets increased primarily due to the net proceeds received from issuance of common stock of NI Holdings on March 13, 2017, which were not fully invested immediately, thus reducing the yield on these average assets.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Realized Capital Gain on Investments</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NI Holdings had net realized capital gain on investments of $339 for the three months ended June 30, 2017, compared to $130 for the three months ended June 30, 2016.</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NI Holdings’ fixed income investments and equity investments are classified as available for sale because it will, from time to time, make sales of securities that are not impaired, consistent with our investment goals and policies. The Company had net unrealized gains on fixed income investments of $2,900 at June 30, 2017 and net unrealized gains of $1,210 at December 31, 2016.</w:t>
      </w:r>
    </w:p>
    <w:p>
      <w:pPr>
        <w:sectPr>
          <w:pgSz w:w="11900" w:h="16838" w:orient="portrait"/>
          <w:cols w:equalWidth="0" w:num="1">
            <w:col w:w="11420"/>
          </w:cols>
          <w:pgMar w:left="240" w:top="216" w:right="239" w:bottom="1440" w:gutter="0" w:footer="0" w:header="0"/>
        </w:sectPr>
      </w:pP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NI Holdings has evaluated each security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it will not recover the entire amortized cost basis.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Underwriting Income (Loss)</w:t>
      </w:r>
    </w:p>
    <w:p>
      <w:pPr>
        <w:spacing w:after="0" w:line="20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NI Holdings evaluates its insurance operations by monitoring certain key measures of growth and profitability. In addition to using GAAP based performance measurements, NI Holdings also utilizes certain non-GAAP financial measures that are used widely in the property and casualty insurance industry and that it believes are valuable in managing its business and for comparison to its peers. These non-GAAP measures are underwriting income (loss), expense ratio, loss and LAE ratio, combined ratio, written premiums, net written premiums to statutory surplus ratio, and return on average equity.</w:t>
      </w:r>
    </w:p>
    <w:p>
      <w:pPr>
        <w:spacing w:after="0" w:line="1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Underwriting income (loss) measures the pretax profitability of the Company’s insurance business. It is derived by subtracting losses and LAE, amortization of deferred policy acquisition costs, and other underwriting and general expenses from net premiums earned. Each of these captions is presented in our consolidated statements of operations but not subtotaled. The sections below provide more insight into the variances in the categories of losses and LAE and amortization of deferred policy acquisition costs and other underwriting and general expenses, which impact underwriting profitability.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NI Holdings’ loss and LAE ratio decreased to 79.4% in the three months ended June 30, 2017, compared to 83.7% in the same period of 2016, due primarily to decreased weather related losses on its personal insurance line of products and partially offset by higher expected experience on multi-peril crop insurance in 2017. A very dry start to the 2017 growing season has pushed our losses and LAE expectation for the multi-peril crop business to be much higher than a year ago. This dynamic results in a higher level of premium retention under the risk-sharing arrangement with the federal government, but it also equates to a higher anticipated loss ratio on those premiums for the current year.</w:t>
      </w:r>
    </w:p>
    <w:p>
      <w:pPr>
        <w:spacing w:after="0" w:line="14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NI Holdings realized favorable development on prior accident years of $2,167 in the three months ended June 30, 2017 with respect to its traditional property and casualty products, compared to $4,756 of favorable development on prior accident years realized during the twelve months ended December 31, 2016.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Deferred Policy Acquisition Costs and Other Underwriting and General Expenses</w:t>
      </w:r>
    </w:p>
    <w:p>
      <w:pPr>
        <w:spacing w:after="0" w:line="20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Total underwriting and general expenses, including amortization of deferred policy acquisition costs, increased $1,043 in the three months ended June 30, 2017, or 9.9%, compared to the three months ended June 30, 2016. As a new public company, expenses were generally higher in 2017 due to increased salaries, legal and accounting costs, taxes and fees, and holding company costs. The expense ratio of 25.3% for the three months ended June 30, 2017 was 3.0% less than the same period of 2016, primarily due to a higher retention of multi-peril crop insurance premiums in 2017.</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(Loss) Before Income Taxes</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2017, NI Holdings had pre-tax loss of $39 compared to pre-tax loss of $2,666 for the three months ended June 30, 2016. The improvement in the pre-tax results was largely attributable to an improved loss and LAE ratio in its personal insurance lines of business in 2017 caused primarily by a higher number of weather-related losses in 2016.</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NI Holdings recorded income tax benefit of $156 for the three months ended June 30, 2017, compared to $847 of income tax benefit for the three months ended June 30, 2016. The effective tax rate during the three months ended June 30, 2017 was impacted by changes to the annual effective tax rate during the quarter and the small amount of pre-tax income for the quarter.</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0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2017, NI Holdings had net income after non-controlling interest of $129 compared to a net loss after non-controlling interest of $1,762 for the three months ended June 30, 2016. This increase in net income is primarily attributable to an improved loss and LAE ratio in the Company’s personal insurance lines of business.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Return on Average Equity</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2017, NI Holdings had annualized return on average equity, after non-controlling interest, of 0.2% compared to annualized return on average equity, after non-controlling interest, of -4.6% for the three months ended June 30, 2016. Average equity is calculated as the average between beginning and ending equity excluding non-controlling interest for the three month periods.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40" w:name="page41"/>
    <w:bookmarkEnd w:id="4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Mandatory Assumed Reinsurance</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NI Holdings is required to participate in the North Dakota Insurance Guaranty Association (NDIGA), which was formed to pay claims on policies issued by insolvent North Dakota licensed property and casualty insurers. Each North Dakota licensed property and casualty insurer pays NDIGA an annual assessment based on its direct premiums written in North Dakota. NI Holdings paid no assessments in the three month periods ended June 30, 2017 and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Six Months ended June 30, 2017 and 2016</w:t>
            </w: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major components of NI Holdings’ operating revenues and net income are as follows (dollars in thousands):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0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78,462</w:t>
            </w:r>
          </w:p>
        </w:tc>
        <w:tc>
          <w:tcPr>
            <w:tcW w:w="3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67,251</w:t>
            </w:r>
          </w:p>
        </w:tc>
        <w:tc>
          <w:tcPr>
            <w:tcW w:w="0" w:type="dxa"/>
            <w:vAlign w:val="bottom"/>
          </w:tcPr>
          <w:p>
            <w:pPr>
              <w:spacing w:after="0"/>
              <w:rPr>
                <w:sz w:val="1"/>
                <w:szCs w:val="1"/>
                <w:color w:val="auto"/>
              </w:rPr>
            </w:pPr>
          </w:p>
        </w:tc>
      </w:tr>
      <w:tr>
        <w:trPr>
          <w:trHeight w:val="216"/>
        </w:trPr>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30"/>
        </w:trPr>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0"/>
        </w:trPr>
        <w:tc>
          <w:tcPr>
            <w:tcW w:w="89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Components of net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Underwriting income</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2,779</w:t>
            </w:r>
          </w:p>
        </w:tc>
        <w:tc>
          <w:tcPr>
            <w:tcW w:w="3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16"/>
        </w:trPr>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30"/>
        </w:trPr>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0"/>
        </w:trPr>
        <w:tc>
          <w:tcPr>
            <w:tcW w:w="89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23"/>
        </w:trPr>
        <w:tc>
          <w:tcPr>
            <w:tcW w:w="892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Earned</w:t>
      </w:r>
    </w:p>
    <w:p>
      <w:pPr>
        <w:spacing w:after="0" w:line="20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NI Holdings’ net premiums earned increased 16.7% for the six months ended June 30, 2017 compared to the six months ended June 30, 2016 primarily due to continued growth in our personal insurance lines of business and higher retention of premiums in our multi-peril crop insurance business.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 and Other Income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 Holdings had fee and other income of $668 for the six months ended June 30, 2017, compared to $812 for the six months ended June 30,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 income is primarily related to the non-standard auto insurance business, which has declined modestly in volume since last year.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average cash and invested assets, investment income, and return on average cash and invested assets for the reported periods (dollars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3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r>
      <w:tr>
        <w:trPr>
          <w:trHeight w:val="238"/>
        </w:trPr>
        <w:tc>
          <w:tcPr>
            <w:tcW w:w="6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255,611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204,447</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Return on average cash and invested assets</w:t>
            </w:r>
          </w:p>
        </w:tc>
        <w:tc>
          <w:tcPr>
            <w:tcW w:w="29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3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Investment income, net of investment expense, increased $275 for the six months ended June 30, 2017 compared to 2016. This increase is attributable to an increase in invested assets, as cash and invested assets increased to $303,545 at June 30, 2017 from $211,101 at June 30, 2016. The weighted average yield on invested assets decreased to 2.0% for the six months ended June 30, 2017 from 2.3% for the six months ended June 30, 2016. The 2017 average cash and invested assets increased primarily due to the net proceeds received from issuance of common stock of NI Holdings on March 13, 2017, which were not fully invested immediately, thus reducing the yield on these average assets.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Realized Capital Gain on Investments</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NI Holdings had net realized capital gain on investments of $955 for the six months ended June 30, 2017, compared to $219 for the six months ended June 30, 2016.</w:t>
      </w:r>
    </w:p>
    <w:p>
      <w:pPr>
        <w:sectPr>
          <w:pgSz w:w="11900" w:h="16838" w:orient="portrait"/>
          <w:cols w:equalWidth="0" w:num="1">
            <w:col w:w="11420"/>
          </w:cols>
          <w:pgMar w:left="240" w:top="227" w:right="239" w:bottom="1440" w:gutter="0" w:footer="0" w:header="0"/>
        </w:sectPr>
      </w:pP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Underwriting Income (Loss)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discussed, NI Holdings evaluates its insurance operations by monitoring certain key measures of growth and profitability. In addition to using GAAP based performance measurements, NI Holdings also utilizes certain non-GAAP financial measures that are used widely in the property and casualty insurance industry and that it believes are valuable in managing its business and for comparison to its peers. These non-GAAP measures are underwriting income (loss), expense ratio, loss and LAE ratio, combined ratio, written premiums, net written premiums to statutory surplus ratio, and return on average equity.</w:t>
      </w:r>
    </w:p>
    <w:p>
      <w:pPr>
        <w:spacing w:after="0" w:line="15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Underwriting income (loss) measures the pretax profitability of the Company’s insurance business. It is derived by subtracting losses and LAE, amortization of deferred policy acquisition costs, and other underwriting and general expenses from net premiums earned. Each of these captions is presented in our consolidated statements of operations but not subtotaled. The sections below provide more insight into the variances in the categories of losses and LAE and amortization of deferred policy acquisition costs and other underwriting and general expenses, which impact underwriting profitability.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NI Holdings’ loss and LAE ratio increased to 68.8% in the six months ended June 30, 2017, compared to 63.3% in the same period of 2016, due primarily to increased catastrophe loss retention on its insurance products. While the six months ended June 30, 2016 experienced more volatile weather, the higher level of losses triggered an increase in reinsurance recoverables at lower retention levels. The results for the six months ended June 30, 2017 reflect more normal weather conditions and, as a result, more normal loss experience in its property and casualty business, albeit at higher reinsurance retention levels. In addition, a very dry start to the 2017 growing season has pushed our losses and LAE expectation for the multi-peril crop business to be much higher than a year ago. This dynamic results in a higher level of premium retention under the risk-sharing arrangement with the federal government, but it also equates to a higher anticipated loss ratio on those premiums for the current year.</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NI Holdings realized favorable development on prior accident years of $4,966 in the six months ended June 30, 2017 with respect to its traditional property and casualty products, compared to $4,756 of favorable development on prior accident years realized during the twelve months ended December 31, 2016.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Deferred Policy Acquisition Costs and Other Underwriting and General Expenses</w:t>
      </w:r>
    </w:p>
    <w:p>
      <w:pPr>
        <w:spacing w:after="0" w:line="187"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Total underwriting and general expenses, including amortization of deferred policy acquisition costs, increased $756 in the six months ended June 30, 2017, or 3.6%, compared to the six months ended June 30, 2016. Expenses were higher in 2017 due to increased commissions and, as a new public company, due to increased salaries, legal and accounting costs, taxes and fees, and holding company costs. The expense ratio of 27.7% for the six months ended June 30, 2017 was 3.5% less than the expense ratio in 2016, primarily due to a higher retention of multi-peril crop insurance premiums in 2017.</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187"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NI Holdings had pre-tax income of $6,992 compared to pre-tax income of $7,036 for the six months ended June 30, 2016. The slight decrease in pre-tax income was primarily due to a higher loss and LAE ratio.</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NI Holdings recorded income tax expense of $2,126 for the six months ended June 30, 2017, compared to $2,636 of income tax expense for the six months ended June 30, 2016. The effective tax rate for the six months ended June 30, 2017 was 30.4%, compared to an effective tax rate of 37.5% for the six months ended June 30, 2016. The decrease in the effective tax rate reflects the anticipated annual effective tax rate that will be realized for the current year.</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2017, NI Holdings had net income after noncontrolling interest of $4,818 compared to net income after noncontrolling interest of $4,452 for the six months ended June 30, 2016. This increase in net income is primarily due to a lower expected effective tax rate compared to a year ago.</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Return on Average Equity</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2017, NI Holdings had annualized return on average equity, after non-controlling interest, of 5.0% compared to annualized return on average equity, after non-controlling interest, of 5.9% for the six months ended June 30, 2016. Average equity is calculated as the average between beginning and ending equity excluding non-controlling interest for the six month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7" w:right="279" w:bottom="1440" w:gutter="0" w:footer="0" w:header="0"/>
        </w:sectPr>
      </w:pPr>
    </w:p>
    <w:bookmarkStart w:id="42" w:name="page43"/>
    <w:bookmarkEnd w:id="4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Mandatory Assumed Reinsurance</w:t>
      </w:r>
    </w:p>
    <w:p>
      <w:pPr>
        <w:spacing w:after="0" w:line="18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NI Holdings is required to participate in the North Dakota Insurance Guaranty Association (NDIGA), which was formed to pay claims on policies issued by insolvent North Dakota licensed property and casualty insurers. Each North Dakota licensed property and casualty insurer pays NDIGA an annual assessment based on its direct premiums written in North Dakota. NI Holdings paid no assessments in the six month periods ended June 30, 2017 and 2016.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June 30, 2017, NI Holdings had total assets of $429,666, compared to total assets of $278,703 at December 31, 2016, an increase of $150,963, or 54.2%. The increase was primarily attributable to net proceeds of $93,145 from issuance of NI Holdings common stock on March 13, 2017 and receivables from policyholders under the federal crop insurance program.</w:t>
      </w:r>
    </w:p>
    <w:p>
      <w:pPr>
        <w:spacing w:after="0" w:line="13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At June 30, 2017, total liabilities were $186,882, compared to $125,285 at December 31, 2016, an increase of $61,597, or 49.2%. The increase was primarily due to higher unpaid losses and loss adjustment expenses and higher levels of unearned premiums. Unpaid losses and loss adjustment expenses increased to $72,619 from $59,632 due to the expected influx of second quarter property losses. Unearned premiums increased to $92,194 from $57,445, due primarily to the start of the crop insurance season for 2017.</w:t>
      </w:r>
    </w:p>
    <w:p>
      <w:pPr>
        <w:spacing w:after="0" w:line="15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Total equity increased to $242,784 at June 30, 2017, from $153,418 as of December 31, 2016, an increase of $89,366, or 58.3%. The increase in equity primarily reflects net proceeds of $93,145 from the issuance of NI Holdings common stock and net income of $4,818 for the six months ended June 30, 2017, partially offset by the repurchase of treasury stock for $8,037.</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Stock Offering on Nodak Insurance Company and NI Holdings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NI Holdings was formed on March 13, 2017 and became the holding company for Nodak Insurance and its existing subsidiaries. The increased capitalization from our initial public offering should (i) enhance investment income by increasing our investment portfolio, and (ii) provide capital to permit the Company to seek acquisitions and other diversification opportunities. The newly issued stock was available for public trading on March 16, 2017.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addition, we raised $93,145 in net proceeds from our initial public offering, which we are able to use to meet the demands of claim settlements and operating expenses.</w:t>
      </w:r>
    </w:p>
    <w:p>
      <w:pPr>
        <w:spacing w:after="0" w:line="13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NI Holdings maintains investment and reinsurance programs that are intended to provide sufficient funds to meet its obligations without forced sales of investments. The Company maintains a portion of its investment portfolio in relatively short-term and highly liquid assets to ensure the availability of funds.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cash and cash equivalents for the six months ended June 30, 2017 and 2016 were as follows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380" w:type="dxa"/>
            <w:vAlign w:val="bottom"/>
            <w:gridSpan w:val="8"/>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10,449</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(93,327)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(9,969)</w:t>
            </w:r>
          </w:p>
        </w:tc>
      </w:tr>
      <w:tr>
        <w:trPr>
          <w:trHeight w:val="23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82,708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9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2017, net cash provided by from operating activities totaled $10,449 compared to $8,123 for the six months ended June 30, 2016. The Company realized higher levels of unearned premium and lower levels of reinsurance receivables at June 30, 2017 compared to June 30, 2016, while net income increased modestly from 2016. Net cash used in investing activities totaled $93,327 for the six months ended June 30, 2017, compared to $9,969 in the six months ended June 30, 2016, primarily reflecting the opportunity to invest additional surplus in longer term investments. Net cash provided by financing activities of $82,708 for the six months ended June 30, 2017 reflect the net proceeds from our initial public offering, offset by the initial funding of our new employee stock option plan and the repurchase of treasury stock for $8,037.</w:t>
      </w:r>
    </w:p>
    <w:p>
      <w:pPr>
        <w:spacing w:after="0" w:line="14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a standalone entity, and outside of the net proceeds from the recent initial public offering, NI Holdings’ principal source of long-term liquidity will be dividend payments from Nodak Insurance. 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43" w:name="page44"/>
    <w:bookmarkEnd w:id="4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4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without the prior approval of the North Dakota Insurance Department is approximately $13,900 based upon the policyholders’ surplus of Nodak Insurance at December 31, 2016.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in the six months ended June 30, 2017.</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a public company, NI Holdings is subject to the proxy solicitation, periodic reporting, insider trading, and other requirements of the Exchange Act and to most of the provisions of the Sarbanes-Oxley Act of 2002. As a result, NI Holdings anticipates incurring significant increases in expenses related to accounting and legal services that will be necessary to comply with such requirements.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(the “FASB”) issued guidance that establishes the manner in which an entity recognizes the amount of revenue to which it expects to be entitled for the transfer of promised goods or services to customers. While the guidance will replace most existing GAAP revenue recognition guidance, the scope of the guidance excludes insurance contracts. The new standard is effective on January 1, 2018. The standard permits the use of either the retrospective or the cumulative effect transition method. We do not expect the adoption of this new guidance to have a significant impact on our financial position, results of operations, or cash flows.</w:t>
      </w:r>
    </w:p>
    <w:p>
      <w:pPr>
        <w:spacing w:after="0" w:line="1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2016, the FASB issued guidance that generally requires entities to measure equity investments at fair value and recognize changes in fair value in their results of operations. The guidance also simplifies the impairment assessment of equity investments, without readily determinable fair values by requiring entities to perform a qualitative assessment to identify impairment. The FASB issued other disclosure and presentation improvements related to financial instruments within the guidance. The guidance is effective for annual and interim reporting periods beginning after December 15, 2017. We do not expect the adoption of this new guidance to have a significant impact on our financial position, results of operations, or cash flows.</w:t>
      </w:r>
    </w:p>
    <w:p>
      <w:pPr>
        <w:spacing w:after="0" w:line="15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guidance that requires lessees to recognize leases, including operating leases, on the lessee’s balance sheet, unless a lease is considered a short-term lease. The guidance also requires entities to make new judgments to identify leases. The guidance is effective for annual and interim reporting periods beginning after December 15, 2018 and permits early adoption. We do not expect the adoption of this new guidance to have a significant impact on our financial position, results of operations, or cash flows.</w:t>
      </w:r>
    </w:p>
    <w:p>
      <w:pPr>
        <w:spacing w:after="0" w:line="14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debt securities and purchased financial assets with credit deterioration. The guidance is effective for fiscal years, and interim periods within those fiscal years, beginning after December 15, 2019. We are evaluating the impact this new guidance will have on our financial position, results of operations, and cash flows.</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7" w:right="259" w:bottom="1440" w:gutter="0" w:footer="0" w:header="0"/>
        </w:sectPr>
      </w:pPr>
    </w:p>
    <w:bookmarkStart w:id="44" w:name="page45"/>
    <w:bookmarkEnd w:id="4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Company’s assessment of market risk as of June 30, 2017 indicates there have been no material changes in the quantitative and qualitative disclosures from those in our Annual Report on Form 10-K for the year ended December 31, 2016 filed with the SEC.</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Exchange Act Rules 240.13a-15(b) and 15d-14(a)) as of June 30, 2017.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first six months of 2017, to which this report relates that have materially affected, or are reasonably likely to materially affect the Company’s internal control over financial reporting.</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45" w:name="page46"/>
    <w:bookmarkEnd w:id="4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our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our final prospectus filed with the SEC on January 17, 2017.</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approved an authorization for the repurchase of up to $8 million of the Company’s outstanding common stock. We purchased 446,671 shares of our common stock for $8,037 during the three months ended June 30, 2017. The following table summarizes the purchases of our common stock during the quarter ended June 30,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Maximum Dollar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Value of Shares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8"/>
              </w:rPr>
              <w:t>That May Yet Be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Purchased Under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2"/>
            <w:vMerge w:val="restart"/>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9"/>
              </w:rPr>
              <w:t>Shares Purchased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the Plans or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w w:val="98"/>
              </w:rPr>
              <w:t>Average</w:t>
            </w:r>
          </w:p>
        </w:tc>
        <w:tc>
          <w:tcPr>
            <w:tcW w:w="15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6"/>
                <w:szCs w:val="16"/>
                <w:color w:val="auto"/>
              </w:rPr>
              <w:t xml:space="preserve">Programs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5"/>
                <w:szCs w:val="15"/>
                <w:color w:val="auto"/>
              </w:rPr>
              <w:t>Shares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500"/>
              <w:spacing w:after="0" w:line="134" w:lineRule="exact"/>
              <w:rPr>
                <w:sz w:val="20"/>
                <w:szCs w:val="20"/>
                <w:color w:val="auto"/>
              </w:rPr>
            </w:pPr>
            <w:r>
              <w:rPr>
                <w:rFonts w:ascii="Times New Roman" w:cs="Times New Roman" w:eastAsia="Times New Roman" w:hAnsi="Times New Roman"/>
                <w:sz w:val="15"/>
                <w:szCs w:val="15"/>
                <w:color w:val="auto"/>
              </w:rPr>
              <w:t>Price Paid</w:t>
            </w:r>
          </w:p>
        </w:tc>
        <w:tc>
          <w:tcPr>
            <w:tcW w:w="158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5"/>
                <w:szCs w:val="15"/>
                <w:color w:val="auto"/>
              </w:rPr>
              <w:t>Announced Plans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Purchased</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Per Share</w:t>
            </w:r>
          </w:p>
        </w:tc>
        <w:tc>
          <w:tcPr>
            <w:tcW w:w="1580" w:type="dxa"/>
            <w:vAlign w:val="bottom"/>
            <w:gridSpan w:val="2"/>
          </w:tcPr>
          <w:p>
            <w:pPr>
              <w:jc w:val="center"/>
              <w:ind w:right="120"/>
              <w:spacing w:after="0" w:line="245" w:lineRule="exact"/>
              <w:rPr>
                <w:sz w:val="20"/>
                <w:szCs w:val="20"/>
                <w:color w:val="auto"/>
              </w:rPr>
            </w:pPr>
            <w:r>
              <w:rPr>
                <w:rFonts w:ascii="Times New Roman" w:cs="Times New Roman" w:eastAsia="Times New Roman" w:hAnsi="Times New Roman"/>
                <w:sz w:val="17"/>
                <w:szCs w:val="17"/>
                <w:color w:val="auto"/>
              </w:rPr>
              <w:t xml:space="preserve">or Programs </w:t>
            </w:r>
            <w:r>
              <w:rPr>
                <w:rFonts w:ascii="Times New Roman" w:cs="Times New Roman" w:eastAsia="Times New Roman" w:hAnsi="Times New Roman"/>
                <w:sz w:val="28"/>
                <w:szCs w:val="28"/>
                <w:color w:val="auto"/>
                <w:vertAlign w:val="superscript"/>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2017 to April 30, 2017</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2017 to May 31, 2017</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128,678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2017 to June 30, 2017</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317,993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446,671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446,671</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446,671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right="34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pursuant to the May 25, 2017 publicly announced share repurchase authorization of up to $8.0 million of the Company’s outstanding common stock. Under the terms of this common stock repurchase plan, we have purchased 446,671 shares of our common stock for $8,037 through June 30, 2017.</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46" w:name="page47"/>
    <w:bookmarkEnd w:id="4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Other Information</w:t>
            </w: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10040" w:type="dxa"/>
            <w:vAlign w:val="bottom"/>
          </w:tcPr>
          <w:p>
            <w:pPr>
              <w:spacing w:after="0"/>
              <w:rPr>
                <w:sz w:val="24"/>
                <w:szCs w:val="24"/>
                <w:color w:val="auto"/>
              </w:rPr>
            </w:pPr>
          </w:p>
        </w:tc>
      </w:tr>
      <w:tr>
        <w:trPr>
          <w:trHeight w:val="43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Exhibits</w:t>
            </w:r>
          </w:p>
        </w:tc>
        <w:tc>
          <w:tcPr>
            <w:tcW w:w="10040" w:type="dxa"/>
            <w:vAlign w:val="bottom"/>
          </w:tcPr>
          <w:p>
            <w:pPr>
              <w:spacing w:after="0"/>
              <w:rPr>
                <w:sz w:val="24"/>
                <w:szCs w:val="24"/>
                <w:color w:val="auto"/>
              </w:rPr>
            </w:pPr>
          </w:p>
        </w:tc>
      </w:tr>
      <w:tr>
        <w:trPr>
          <w:trHeight w:val="801"/>
        </w:trPr>
        <w:tc>
          <w:tcPr>
            <w:tcW w:w="20" w:type="dxa"/>
            <w:vAlign w:val="bottom"/>
          </w:tcPr>
          <w:p>
            <w:pPr>
              <w:spacing w:after="0"/>
              <w:rPr>
                <w:sz w:val="24"/>
                <w:szCs w:val="24"/>
                <w:color w:val="auto"/>
              </w:rPr>
            </w:pP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56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w w:val="95"/>
              </w:rPr>
              <w:t>31.1</w:t>
            </w: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414"/>
        </w:trPr>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5"/>
              </w:rPr>
              <w:t>31.2</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bl>
    <w:p>
      <w:pPr>
        <w:spacing w:after="0" w:line="198" w:lineRule="exact"/>
        <w:rPr>
          <w:sz w:val="20"/>
          <w:szCs w:val="20"/>
          <w:color w:val="auto"/>
        </w:rPr>
      </w:pPr>
    </w:p>
    <w:p>
      <w:pPr>
        <w:ind w:left="1380" w:right="340" w:hanging="1129"/>
        <w:spacing w:after="0" w:line="282"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69"/>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420"/>
          </w:cols>
          <w:pgMar w:left="240" w:top="227" w:right="239" w:bottom="1440" w:gutter="0" w:footer="0" w:header="0"/>
        </w:sectPr>
      </w:pPr>
    </w:p>
    <w:bookmarkStart w:id="47" w:name="page48"/>
    <w:bookmarkEnd w:id="4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Table of Contents</w:t>
        </w:r>
      </w:hyperlink>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11, 2017.</w:t>
      </w:r>
    </w:p>
    <w:p>
      <w:pPr>
        <w:spacing w:after="0" w:line="200" w:lineRule="exact"/>
        <w:rPr>
          <w:sz w:val="20"/>
          <w:szCs w:val="20"/>
          <w:color w:val="auto"/>
        </w:rPr>
      </w:pPr>
    </w:p>
    <w:p>
      <w:pPr>
        <w:spacing w:after="0" w:line="3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R. Doom</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2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18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7"/>
          <w:szCs w:val="17"/>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121"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4"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August 11, 2017</w:t>
            </w:r>
          </w:p>
        </w:tc>
        <w:tc>
          <w:tcPr>
            <w:tcW w:w="160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284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2840" w:type="dxa"/>
            <w:vAlign w:val="bottom"/>
          </w:tcPr>
          <w:p>
            <w:pPr>
              <w:spacing w:after="0"/>
              <w:rPr>
                <w:sz w:val="16"/>
                <w:szCs w:val="16"/>
                <w:color w:val="auto"/>
              </w:rPr>
            </w:pPr>
          </w:p>
        </w:tc>
      </w:tr>
      <w:tr>
        <w:trPr>
          <w:trHeight w:val="214"/>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840" w:type="dxa"/>
            <w:vAlign w:val="bottom"/>
          </w:tcPr>
          <w:p>
            <w:pPr>
              <w:spacing w:after="0"/>
              <w:rPr>
                <w:sz w:val="18"/>
                <w:szCs w:val="18"/>
                <w:color w:val="auto"/>
              </w:rPr>
            </w:pPr>
          </w:p>
        </w:tc>
      </w:tr>
      <w:tr>
        <w:trPr>
          <w:trHeight w:val="236"/>
        </w:trPr>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840" w:type="dxa"/>
            <w:vAlign w:val="bottom"/>
          </w:tcPr>
          <w:p>
            <w:pPr>
              <w:spacing w:after="0"/>
              <w:rPr>
                <w:sz w:val="20"/>
                <w:szCs w:val="20"/>
                <w:color w:val="auto"/>
              </w:rPr>
            </w:pPr>
          </w:p>
        </w:tc>
      </w:tr>
      <w:tr>
        <w:trPr>
          <w:trHeight w:val="439"/>
        </w:trPr>
        <w:tc>
          <w:tcPr>
            <w:tcW w:w="4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jc w:val="right"/>
              <w:ind w:right="2710"/>
              <w:spacing w:after="0"/>
              <w:rPr>
                <w:sz w:val="20"/>
                <w:szCs w:val="20"/>
                <w:color w:val="auto"/>
              </w:rPr>
            </w:pPr>
            <w:r>
              <w:rPr>
                <w:rFonts w:ascii="Times New Roman" w:cs="Times New Roman" w:eastAsia="Times New Roman" w:hAnsi="Times New Roman"/>
                <w:sz w:val="18"/>
                <w:szCs w:val="18"/>
                <w:color w:val="auto"/>
              </w:rPr>
              <w:t>47</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19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7"/>
          <w:szCs w:val="17"/>
          <w:color w:val="auto"/>
        </w:rPr>
      </w:pPr>
    </w:p>
    <w:p>
      <w:pPr>
        <w:ind w:left="1300" w:right="2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134"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4"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August 11, 2017</w:t>
            </w:r>
          </w:p>
        </w:tc>
        <w:tc>
          <w:tcPr>
            <w:tcW w:w="160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R. Doom</w:t>
            </w:r>
          </w:p>
        </w:tc>
        <w:tc>
          <w:tcPr>
            <w:tcW w:w="284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R. Doom</w:t>
            </w:r>
          </w:p>
        </w:tc>
        <w:tc>
          <w:tcPr>
            <w:tcW w:w="2840" w:type="dxa"/>
            <w:vAlign w:val="bottom"/>
          </w:tcPr>
          <w:p>
            <w:pPr>
              <w:spacing w:after="0"/>
              <w:rPr>
                <w:sz w:val="16"/>
                <w:szCs w:val="16"/>
                <w:color w:val="auto"/>
              </w:rPr>
            </w:pPr>
          </w:p>
        </w:tc>
      </w:tr>
      <w:tr>
        <w:trPr>
          <w:trHeight w:val="214"/>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40" w:type="dxa"/>
            <w:vAlign w:val="bottom"/>
          </w:tcPr>
          <w:p>
            <w:pPr>
              <w:spacing w:after="0"/>
              <w:rPr>
                <w:sz w:val="18"/>
                <w:szCs w:val="18"/>
                <w:color w:val="auto"/>
              </w:rPr>
            </w:pPr>
          </w:p>
        </w:tc>
      </w:tr>
      <w:tr>
        <w:trPr>
          <w:trHeight w:val="236"/>
        </w:trPr>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840" w:type="dxa"/>
            <w:vAlign w:val="bottom"/>
          </w:tcPr>
          <w:p>
            <w:pPr>
              <w:spacing w:after="0"/>
              <w:rPr>
                <w:sz w:val="20"/>
                <w:szCs w:val="20"/>
                <w:color w:val="auto"/>
              </w:rPr>
            </w:pPr>
          </w:p>
        </w:tc>
      </w:tr>
      <w:tr>
        <w:trPr>
          <w:trHeight w:val="453"/>
        </w:trPr>
        <w:tc>
          <w:tcPr>
            <w:tcW w:w="4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jc w:val="right"/>
              <w:ind w:right="2710"/>
              <w:spacing w:after="0"/>
              <w:rPr>
                <w:sz w:val="20"/>
                <w:szCs w:val="20"/>
                <w:color w:val="auto"/>
              </w:rPr>
            </w:pPr>
            <w:r>
              <w:rPr>
                <w:rFonts w:ascii="Times New Roman" w:cs="Times New Roman" w:eastAsia="Times New Roman" w:hAnsi="Times New Roman"/>
                <w:sz w:val="18"/>
                <w:szCs w:val="18"/>
                <w:color w:val="auto"/>
              </w:rPr>
              <w:t>48</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June 30, 2017,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0"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August 11, 2017</w:t>
            </w:r>
          </w:p>
        </w:tc>
        <w:tc>
          <w:tcPr>
            <w:tcW w:w="160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284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2840" w:type="dxa"/>
            <w:vAlign w:val="bottom"/>
          </w:tcPr>
          <w:p>
            <w:pPr>
              <w:spacing w:after="0"/>
              <w:rPr>
                <w:sz w:val="16"/>
                <w:szCs w:val="16"/>
                <w:color w:val="auto"/>
              </w:rPr>
            </w:pPr>
          </w:p>
        </w:tc>
      </w:tr>
      <w:tr>
        <w:trPr>
          <w:trHeight w:val="214"/>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840" w:type="dxa"/>
            <w:vAlign w:val="bottom"/>
          </w:tcPr>
          <w:p>
            <w:pPr>
              <w:spacing w:after="0"/>
              <w:rPr>
                <w:sz w:val="18"/>
                <w:szCs w:val="18"/>
                <w:color w:val="auto"/>
              </w:rPr>
            </w:pPr>
          </w:p>
        </w:tc>
      </w:tr>
      <w:tr>
        <w:trPr>
          <w:trHeight w:val="236"/>
        </w:trPr>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840" w:type="dxa"/>
            <w:vAlign w:val="bottom"/>
          </w:tcPr>
          <w:p>
            <w:pPr>
              <w:spacing w:after="0"/>
              <w:rPr>
                <w:sz w:val="20"/>
                <w:szCs w:val="20"/>
                <w:color w:val="auto"/>
              </w:rPr>
            </w:pPr>
          </w:p>
        </w:tc>
      </w:tr>
      <w:tr>
        <w:trPr>
          <w:trHeight w:val="648"/>
        </w:trPr>
        <w:tc>
          <w:tcPr>
            <w:tcW w:w="41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August 11, 2017</w:t>
            </w:r>
          </w:p>
        </w:tc>
        <w:tc>
          <w:tcPr>
            <w:tcW w:w="160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R. Doom</w:t>
            </w:r>
          </w:p>
        </w:tc>
        <w:tc>
          <w:tcPr>
            <w:tcW w:w="2840" w:type="dxa"/>
            <w:vAlign w:val="bottom"/>
          </w:tcPr>
          <w:p>
            <w:pPr>
              <w:spacing w:after="0"/>
              <w:rPr>
                <w:sz w:val="24"/>
                <w:szCs w:val="24"/>
                <w:color w:val="auto"/>
              </w:rPr>
            </w:pPr>
          </w:p>
        </w:tc>
      </w:tr>
      <w:tr>
        <w:trPr>
          <w:trHeight w:val="191"/>
        </w:trPr>
        <w:tc>
          <w:tcPr>
            <w:tcW w:w="4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R. Doom</w:t>
            </w:r>
          </w:p>
        </w:tc>
        <w:tc>
          <w:tcPr>
            <w:tcW w:w="2840" w:type="dxa"/>
            <w:vAlign w:val="bottom"/>
          </w:tcPr>
          <w:p>
            <w:pPr>
              <w:spacing w:after="0"/>
              <w:rPr>
                <w:sz w:val="16"/>
                <w:szCs w:val="16"/>
                <w:color w:val="auto"/>
              </w:rPr>
            </w:pPr>
          </w:p>
        </w:tc>
      </w:tr>
      <w:tr>
        <w:trPr>
          <w:trHeight w:val="214"/>
        </w:trPr>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40" w:type="dxa"/>
            <w:vAlign w:val="bottom"/>
          </w:tcPr>
          <w:p>
            <w:pPr>
              <w:spacing w:after="0"/>
              <w:rPr>
                <w:sz w:val="18"/>
                <w:szCs w:val="18"/>
                <w:color w:val="auto"/>
              </w:rPr>
            </w:pPr>
          </w:p>
        </w:tc>
      </w:tr>
      <w:tr>
        <w:trPr>
          <w:trHeight w:val="236"/>
        </w:trPr>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840" w:type="dxa"/>
            <w:vAlign w:val="bottom"/>
          </w:tcPr>
          <w:p>
            <w:pPr>
              <w:spacing w:after="0"/>
              <w:rPr>
                <w:sz w:val="20"/>
                <w:szCs w:val="20"/>
                <w:color w:val="auto"/>
              </w:rPr>
            </w:pPr>
          </w:p>
        </w:tc>
      </w:tr>
      <w:tr>
        <w:trPr>
          <w:trHeight w:val="669"/>
        </w:trPr>
        <w:tc>
          <w:tcPr>
            <w:tcW w:w="4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jc w:val="right"/>
              <w:ind w:right="2710"/>
              <w:spacing w:after="0"/>
              <w:rPr>
                <w:sz w:val="20"/>
                <w:szCs w:val="20"/>
                <w:color w:val="auto"/>
              </w:rPr>
            </w:pPr>
            <w:r>
              <w:rPr>
                <w:rFonts w:ascii="Times New Roman" w:cs="Times New Roman" w:eastAsia="Times New Roman" w:hAnsi="Times New Roman"/>
                <w:sz w:val="18"/>
                <w:szCs w:val="18"/>
                <w:color w:val="auto"/>
              </w:rPr>
              <w:t>49</w:t>
            </w:r>
          </w:p>
        </w:tc>
        <w:tc>
          <w:tcPr>
            <w:tcW w:w="2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decimal"/>
      <w:start w:val="6"/>
    </w:lvl>
  </w:abstractNum>
  <w:abstractNum w:abstractNumId="12">
    <w:nsid w:val="2443A858"/>
    <w:multiLevelType w:val="hybridMultilevel"/>
    <w:lvl w:ilvl="0">
      <w:lvlJc w:val="left"/>
      <w:lvlText w:val="%1."/>
      <w:numFmt w:val="decimal"/>
      <w:start w:val="7"/>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0"/>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decimal"/>
      <w:start w:val="12"/>
    </w:lvl>
  </w:abstractNum>
  <w:abstractNum w:abstractNumId="20">
    <w:nsid w:val="189A769B"/>
    <w:multiLevelType w:val="hybridMultilevel"/>
    <w:lvl w:ilvl="0">
      <w:lvlJc w:val="left"/>
      <w:lvlText w:val="%1."/>
      <w:numFmt w:val="decimal"/>
      <w:start w:val="13"/>
    </w:lvl>
  </w:abstractNum>
  <w:abstractNum w:abstractNumId="21">
    <w:nsid w:val="54E49EB4"/>
    <w:multiLevelType w:val="hybridMultilevel"/>
    <w:lvl w:ilvl="0">
      <w:lvlJc w:val="left"/>
      <w:lvlText w:val="%1."/>
      <w:numFmt w:val="decimal"/>
      <w:start w:val="14"/>
    </w:lvl>
  </w:abstractNum>
  <w:abstractNum w:abstractNumId="22">
    <w:nsid w:val="71F32454"/>
    <w:multiLevelType w:val="hybridMultilevel"/>
    <w:lvl w:ilvl="0">
      <w:lvlJc w:val="left"/>
      <w:lvlText w:val="%1."/>
      <w:numFmt w:val="decimal"/>
      <w:start w:val="15"/>
    </w:lvl>
  </w:abstractNum>
  <w:abstractNum w:abstractNumId="23">
    <w:nsid w:val="2CA88611"/>
    <w:multiLevelType w:val="hybridMultilevel"/>
    <w:lvl w:ilvl="0">
      <w:lvlJc w:val="left"/>
      <w:lvlText w:val="%1."/>
      <w:numFmt w:val="decimal"/>
      <w:start w:val="16"/>
    </w:lvl>
  </w:abstractNum>
  <w:abstractNum w:abstractNumId="24">
    <w:nsid w:val="836C40E"/>
    <w:multiLevelType w:val="hybridMultilevel"/>
    <w:lvl w:ilvl="0">
      <w:lvlJc w:val="left"/>
      <w:lvlText w:val="%1."/>
      <w:numFmt w:val="decimal"/>
      <w:start w:val="17"/>
    </w:lvl>
  </w:abstractNum>
  <w:abstractNum w:abstractNumId="25">
    <w:nsid w:val="2901D82"/>
    <w:multiLevelType w:val="hybridMultilevel"/>
    <w:lvl w:ilvl="0">
      <w:lvlJc w:val="left"/>
      <w:lvlText w:val="%1."/>
      <w:numFmt w:val="decimal"/>
      <w:start w:val="18"/>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3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2019-12-29T04:41:33Z</dcterms:created>
  <dcterms:modified xsi:type="dcterms:W3CDTF">2019-12-29T04:41:33Z</dcterms:modified>
</cp:coreProperties>
</file>