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ind w:right="1820" w:firstLine="8"/>
        <w:spacing w:after="0" w:line="286" w:lineRule="auto"/>
        <w:tabs>
          <w:tab w:leader="none" w:pos="44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74" w:lineRule="exact"/>
        <w:rPr>
          <w:sz w:val="24"/>
          <w:szCs w:val="24"/>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80" w:type="dxa"/>
            <w:vAlign w:val="bottom"/>
          </w:tcPr>
          <w:p>
            <w:pPr>
              <w:spacing w:after="0"/>
              <w:rPr>
                <w:sz w:val="17"/>
                <w:szCs w:val="17"/>
                <w:color w:val="auto"/>
              </w:rPr>
            </w:pPr>
          </w:p>
        </w:tc>
        <w:tc>
          <w:tcPr>
            <w:tcW w:w="47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580" w:type="dxa"/>
            <w:vAlign w:val="bottom"/>
          </w:tcPr>
          <w:p>
            <w:pPr>
              <w:spacing w:after="0"/>
              <w:rPr>
                <w:sz w:val="17"/>
                <w:szCs w:val="17"/>
                <w:color w:val="auto"/>
              </w:rPr>
            </w:pPr>
          </w:p>
        </w:tc>
      </w:tr>
      <w:tr>
        <w:trPr>
          <w:trHeight w:val="345"/>
        </w:trPr>
        <w:tc>
          <w:tcPr>
            <w:tcW w:w="23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Commission file number 001-37973</w:t>
            </w:r>
          </w:p>
        </w:tc>
        <w:tc>
          <w:tcPr>
            <w:tcW w:w="3580" w:type="dxa"/>
            <w:vAlign w:val="bottom"/>
          </w:tcPr>
          <w:p>
            <w:pPr>
              <w:spacing w:after="0"/>
              <w:rPr>
                <w:sz w:val="24"/>
                <w:szCs w:val="24"/>
                <w:color w:val="auto"/>
              </w:rPr>
            </w:pPr>
          </w:p>
        </w:tc>
      </w:tr>
      <w:tr>
        <w:trPr>
          <w:trHeight w:val="399"/>
        </w:trPr>
        <w:tc>
          <w:tcPr>
            <w:tcW w:w="2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309"/>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358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80" w:type="dxa"/>
            <w:vAlign w:val="bottom"/>
          </w:tcPr>
          <w:p>
            <w:pPr>
              <w:spacing w:after="0"/>
              <w:rPr>
                <w:sz w:val="20"/>
                <w:szCs w:val="20"/>
                <w:color w:val="auto"/>
              </w:rPr>
            </w:pPr>
          </w:p>
        </w:tc>
      </w:tr>
      <w:tr>
        <w:trPr>
          <w:trHeight w:val="410"/>
        </w:trPr>
        <w:tc>
          <w:tcPr>
            <w:tcW w:w="784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7"/>
              </w:rPr>
              <w:t>NORTH DAKOTA</w:t>
            </w:r>
          </w:p>
        </w:tc>
        <w:tc>
          <w:tcPr>
            <w:tcW w:w="358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784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58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84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58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84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1101 First Avenue North</w:t>
            </w:r>
          </w:p>
        </w:tc>
        <w:tc>
          <w:tcPr>
            <w:tcW w:w="3580" w:type="dxa"/>
            <w:vAlign w:val="bottom"/>
          </w:tcPr>
          <w:p>
            <w:pPr>
              <w:spacing w:after="0"/>
              <w:rPr>
                <w:sz w:val="24"/>
                <w:szCs w:val="24"/>
                <w:color w:val="auto"/>
              </w:rPr>
            </w:pPr>
          </w:p>
        </w:tc>
      </w:tr>
      <w:tr>
        <w:trPr>
          <w:trHeight w:val="216"/>
        </w:trPr>
        <w:tc>
          <w:tcPr>
            <w:tcW w:w="784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Fargo, North Dakota</w:t>
            </w:r>
          </w:p>
        </w:tc>
        <w:tc>
          <w:tcPr>
            <w:tcW w:w="3580" w:type="dxa"/>
            <w:vAlign w:val="bottom"/>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38"/>
        </w:trPr>
        <w:tc>
          <w:tcPr>
            <w:tcW w:w="784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8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29"/>
        </w:trPr>
        <w:tc>
          <w:tcPr>
            <w:tcW w:w="2380" w:type="dxa"/>
            <w:vAlign w:val="bottom"/>
          </w:tcPr>
          <w:p>
            <w:pPr>
              <w:spacing w:after="0"/>
              <w:rPr>
                <w:sz w:val="24"/>
                <w:szCs w:val="24"/>
                <w:color w:val="auto"/>
              </w:rPr>
            </w:pPr>
          </w:p>
        </w:tc>
        <w:tc>
          <w:tcPr>
            <w:tcW w:w="3920" w:type="dxa"/>
            <w:vAlign w:val="bottom"/>
            <w:gridSpan w:val="4"/>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(701) 298-4200</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80" w:type="dxa"/>
            <w:vAlign w:val="bottom"/>
          </w:tcPr>
          <w:p>
            <w:pPr>
              <w:spacing w:after="0"/>
              <w:rPr>
                <w:sz w:val="20"/>
                <w:szCs w:val="20"/>
                <w:color w:val="auto"/>
              </w:rPr>
            </w:pP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o</w:t>
      </w:r>
    </w:p>
    <w:p>
      <w:pPr>
        <w:spacing w:after="0" w:line="111"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o</w:t>
      </w:r>
    </w:p>
    <w:p>
      <w:pPr>
        <w:spacing w:after="0" w:line="11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w:t>
            </w:r>
          </w:p>
        </w:tc>
        <w:tc>
          <w:tcPr>
            <w:tcW w:w="3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70"/>
              </w:rPr>
              <w:t>x</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w:t>
            </w:r>
          </w:p>
        </w:tc>
        <w:tc>
          <w:tcPr>
            <w:tcW w:w="3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70"/>
              </w:rPr>
              <w:t>x</w:t>
            </w:r>
          </w:p>
        </w:tc>
      </w:tr>
      <w:tr>
        <w:trPr>
          <w:trHeight w:val="234"/>
        </w:trPr>
        <w:tc>
          <w:tcPr>
            <w:tcW w:w="2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70"/>
              </w:rPr>
              <w:t>x</w:t>
            </w: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spacing w:after="0" w:line="207" w:lineRule="exact"/>
        <w:tabs>
          <w:tab w:leader="none" w:pos="8880" w:val="left"/>
        </w:tabs>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  o Yes</w:t>
        <w:tab/>
        <w:t xml:space="preserve">No </w:t>
      </w:r>
      <w:r>
        <w:rPr>
          <w:rFonts w:ascii="MS PGothic" w:cs="MS PGothic" w:eastAsia="MS PGothic" w:hAnsi="MS PGothic"/>
          <w:sz w:val="18"/>
          <w:szCs w:val="18"/>
          <w:color w:val="auto"/>
        </w:rPr>
        <w:t>☒</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149"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2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5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10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May 3, 2019 was 22,209,295.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2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r>
      <w:tr>
        <w:trPr>
          <w:trHeight w:val="351"/>
        </w:trPr>
        <w:tc>
          <w:tcPr>
            <w:tcW w:w="28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Part I. - FINANCIAL INFORMATION</w:t>
              </w:r>
            </w:hyperlink>
          </w:p>
        </w:tc>
        <w:tc>
          <w:tcPr>
            <w:tcW w:w="66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66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 - Financial Statements</w:t>
              </w:r>
            </w:hyperlink>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Balance Sheets</w:t>
              </w:r>
            </w:hyperlink>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Operations</w:t>
              </w:r>
            </w:hyperlink>
          </w:p>
        </w:tc>
        <w:tc>
          <w:tcPr>
            <w:tcW w:w="458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Comprehensive Income (Loss)</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Consolidated Statements of Changes in Equity</w:t>
              </w:r>
            </w:hyperlink>
          </w:p>
        </w:tc>
        <w:tc>
          <w:tcPr>
            <w:tcW w:w="880" w:type="dxa"/>
            <w:vAlign w:val="bottom"/>
            <w:tcBorders>
              <w:top w:val="single" w:sz="8" w:color="0000EE"/>
            </w:tcBorders>
            <w:gridSpan w:val="3"/>
          </w:tcPr>
          <w:p>
            <w:pPr>
              <w:spacing w:after="0"/>
              <w:rPr>
                <w:sz w:val="17"/>
                <w:szCs w:val="17"/>
                <w:color w:val="auto"/>
              </w:rPr>
            </w:pPr>
          </w:p>
        </w:tc>
        <w:tc>
          <w:tcPr>
            <w:tcW w:w="31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Unaudited Consolidated Statements of Cash Flows</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Unaudited Consolidated Financial Statements</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2. - Management’s Discussion and Analysis of Financial Condition and Results of Operations</w:t>
              </w:r>
            </w:hyperlink>
          </w:p>
        </w:tc>
        <w:tc>
          <w:tcPr>
            <w:tcW w:w="1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Item 3. - Quantitative and Qualitative Disclosures about Market Risk</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Item 4. - Controls and Procedures</w:t>
              </w:r>
            </w:hyperlink>
          </w:p>
        </w:tc>
        <w:tc>
          <w:tcPr>
            <w:tcW w:w="388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68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9500" w:type="dxa"/>
            <w:vAlign w:val="bottom"/>
            <w:gridSpan w:val="23"/>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Part II. - OTHER INFORMATION</w:t>
              </w:r>
            </w:hyperlink>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Item 1. - Legal Proceedings</w:t>
              </w:r>
            </w:hyperlink>
          </w:p>
        </w:tc>
        <w:tc>
          <w:tcPr>
            <w:tcW w:w="684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6"/>
        </w:trPr>
        <w:tc>
          <w:tcPr>
            <w:tcW w:w="66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Item 1A. - Risk Factors</w:t>
              </w:r>
            </w:hyperlink>
          </w:p>
        </w:tc>
        <w:tc>
          <w:tcPr>
            <w:tcW w:w="714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2. - Unregistered Sales of Equity Securities and Use of Proceeds</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660" w:type="dxa"/>
            <w:vAlign w:val="bottom"/>
          </w:tcPr>
          <w:p>
            <w:pPr>
              <w:spacing w:after="0"/>
              <w:rPr>
                <w:sz w:val="17"/>
                <w:szCs w:val="17"/>
                <w:color w:val="auto"/>
              </w:rPr>
            </w:pPr>
          </w:p>
        </w:tc>
        <w:tc>
          <w:tcPr>
            <w:tcW w:w="50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Item 3. - Defaults upon Senior Securities</w:t>
              </w:r>
            </w:hyperlink>
          </w:p>
        </w:tc>
        <w:tc>
          <w:tcPr>
            <w:tcW w:w="384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Item 4. - Mine Safety Disclosures</w:t>
              </w:r>
            </w:hyperlink>
          </w:p>
        </w:tc>
        <w:tc>
          <w:tcPr>
            <w:tcW w:w="5900" w:type="dxa"/>
            <w:vAlign w:val="bottom"/>
            <w:gridSpan w:val="1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6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Item 5. - Other Information</w:t>
              </w:r>
            </w:hyperlink>
          </w:p>
        </w:tc>
        <w:tc>
          <w:tcPr>
            <w:tcW w:w="440" w:type="dxa"/>
            <w:vAlign w:val="bottom"/>
            <w:tcBorders>
              <w:top w:val="single" w:sz="8" w:color="0000EE"/>
            </w:tcBorders>
            <w:gridSpan w:val="4"/>
          </w:tcPr>
          <w:p>
            <w:pPr>
              <w:spacing w:after="0"/>
              <w:rPr>
                <w:sz w:val="17"/>
                <w:szCs w:val="17"/>
                <w:color w:val="auto"/>
              </w:rPr>
            </w:pPr>
          </w:p>
        </w:tc>
        <w:tc>
          <w:tcPr>
            <w:tcW w:w="6420" w:type="dxa"/>
            <w:vAlign w:val="bottom"/>
            <w:gridSpan w:val="1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6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Item 6. - Exhibits</w:t>
              </w:r>
            </w:hyperlink>
          </w:p>
        </w:tc>
        <w:tc>
          <w:tcPr>
            <w:tcW w:w="7580" w:type="dxa"/>
            <w:vAlign w:val="bottom"/>
            <w:gridSpan w:val="1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Signatures</w:t>
              </w:r>
            </w:hyperlink>
          </w:p>
        </w:tc>
        <w:tc>
          <w:tcPr>
            <w:tcW w:w="8080" w:type="dxa"/>
            <w:vAlign w:val="bottom"/>
            <w:gridSpan w:val="1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bl>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w:t>
      </w:r>
    </w:p>
    <w:p>
      <w:pPr>
        <w:spacing w:after="0" w:line="185" w:lineRule="exact"/>
        <w:rPr>
          <w:sz w:val="20"/>
          <w:szCs w:val="20"/>
          <w:color w:val="auto"/>
        </w:rPr>
      </w:pPr>
    </w:p>
    <w:p>
      <w:pPr>
        <w:jc w:val="both"/>
        <w:ind w:left="660" w:right="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“the Company”, “we”, “us”, and “our” refer to NI Holdings, Inc., together with Nodak Insurance Company and its subsidiaries and its affiliate (Battle Creek Mutual Insurance Company) and Direct Auto Insurance Company (acquired August 31, 2018), for periods discussed after completion of the conversion, and for periods discussed prior to completion of the conversion refer to Nodak Mutual Insurance Company and all of its subsidiaries and Battle Creek Mutual Insurance Company;</w:t>
      </w:r>
    </w:p>
    <w:p>
      <w:pPr>
        <w:spacing w:after="0" w:line="1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Group” refers to Nodak Mutual Group, Inc., which is the majority shareholder of NI Holdings;</w:t>
      </w:r>
    </w:p>
    <w:p>
      <w:pPr>
        <w:spacing w:after="0" w:line="184"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Stock” refers to Nodak Insurance Company, the successor company to Nodak Mutual Insurance Company after the conversion;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refers to Nodak Stock or Nodak Mutual interchangeably;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w:t>
      </w:r>
    </w:p>
    <w:p>
      <w:pPr>
        <w:spacing w:after="0" w:line="198"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 and</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2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goals, intentions and expectations;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prospects and business strategy;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benefits and results.</w:t>
      </w:r>
    </w:p>
    <w:p>
      <w:pPr>
        <w:spacing w:after="0" w:line="185" w:lineRule="exact"/>
        <w:rPr>
          <w:sz w:val="20"/>
          <w:szCs w:val="20"/>
          <w:color w:val="auto"/>
        </w:rPr>
      </w:pPr>
    </w:p>
    <w:p>
      <w:pPr>
        <w:ind w:right="160" w:firstLine="648"/>
        <w:spacing w:after="0" w:line="313" w:lineRule="auto"/>
        <w:rPr>
          <w:sz w:val="20"/>
          <w:szCs w:val="20"/>
          <w:color w:val="auto"/>
        </w:rPr>
      </w:pPr>
      <w:r>
        <w:rPr>
          <w:rFonts w:ascii="Times New Roman" w:cs="Times New Roman" w:eastAsia="Times New Roman" w:hAnsi="Times New Roman"/>
          <w:sz w:val="17"/>
          <w:szCs w:val="17"/>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11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All of these factors are difficult to predict and many are beyond our control. These important factors include those discussed under “Risk Factors” and those listed below:</w:t>
      </w:r>
    </w:p>
    <w:p>
      <w:pPr>
        <w:spacing w:after="0" w:line="12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federal crop insurance program;</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conditions in the markets in which we compete that are less favorable than expected;</w:t>
      </w:r>
    </w:p>
    <w:p>
      <w:pPr>
        <w:spacing w:after="0" w:line="198" w:lineRule="exact"/>
        <w:rPr>
          <w:rFonts w:ascii="Times New Roman" w:cs="Times New Roman" w:eastAsia="Times New Roman" w:hAnsi="Times New Roman"/>
          <w:sz w:val="18"/>
          <w:szCs w:val="18"/>
          <w:color w:val="auto"/>
        </w:rPr>
      </w:pPr>
    </w:p>
    <w:p>
      <w:pPr>
        <w:ind w:left="5660" w:right="1560" w:hanging="5004"/>
        <w:spacing w:after="0" w:line="532" w:lineRule="auto"/>
        <w:tabs>
          <w:tab w:leader="none" w:pos="9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legislative, judicial, economic, demographic, and regulatory events in the jurisdictions where we do business;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7" w:right="319" w:bottom="1440" w:gutter="0" w:footer="0" w:header="0"/>
        </w:sectPr>
      </w:pPr>
    </w:p>
    <w:bookmarkStart w:id="3" w:name="page4"/>
    <w:bookmarkEnd w:id="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producer network;</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Direct Auto;</w:t>
      </w:r>
    </w:p>
    <w:p>
      <w:pPr>
        <w:spacing w:after="0" w:line="198"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2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inflation, unemployment, interest rates, and other factors;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and adequacy of loss reserves and trends in loss and loss adjustment expenses;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coverage terms required by state laws with respect to minimum auto liability insurance, including higher minimum limits;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of, or to implement, premium rate increases;</w:t>
      </w:r>
    </w:p>
    <w:p>
      <w:pPr>
        <w:spacing w:after="0" w:line="198"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reinsurance coverage at reasonable prices or on terms that adequately protect us and to collect amounts that we believe we are entitled to under such reinsurance;</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industry trends and ratings assigned by nationally recognized rating organizations;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fraud, operational errors, systems malfunctions, or cybersecurity incidents;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or arbitration results; and</w:t>
      </w:r>
    </w:p>
    <w:p>
      <w:pPr>
        <w:spacing w:after="0" w:line="184"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Because forward-looking information is subject to various risks and uncertainties, actual results may differ materially from that expressed or implied by the forward-looking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Table of Contents</w:t>
              </w:r>
            </w:hyperlink>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70,127</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260,824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5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14,791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477,287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85,560</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 income tax payable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23,000,000 shares; and</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2019 – 22,209,499 shares, 2018 – 22,192,894 shares</w:t>
            </w: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without par value, authorized 5,000,000 shares,</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 shares issued or outstanding</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205,853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net of income taxes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2019 – 599,131 shares, 2018 – 615,736 shares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477,287</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12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50,506</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capital gain on investments</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7,859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2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expenses</w:t>
            </w:r>
          </w:p>
        </w:tc>
        <w:tc>
          <w:tcPr>
            <w:tcW w:w="2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24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0.62</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24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6" w:name="page7"/>
    <w:bookmarkEnd w:id="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on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capital loss included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0" w:type="dxa"/>
            <w:vAlign w:val="bottom"/>
            <w:tcBorders>
              <w:bottom w:val="single" w:sz="8" w:color="auto"/>
            </w:tcBorders>
          </w:tcPr>
          <w:p>
            <w:pPr>
              <w:spacing w:after="0"/>
              <w:rPr>
                <w:sz w:val="18"/>
                <w:szCs w:val="18"/>
                <w:color w:val="auto"/>
              </w:rPr>
            </w:pPr>
          </w:p>
        </w:tc>
      </w:tr>
      <w:tr>
        <w:trPr>
          <w:trHeight w:val="63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4,164</w:t>
            </w: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 w:lineRule="exact"/>
        <w:rPr>
          <w:sz w:val="20"/>
          <w:szCs w:val="20"/>
          <w:color w:val="auto"/>
        </w:rPr>
      </w:pPr>
    </w:p>
    <w:p>
      <w:pPr>
        <w:sectPr>
          <w:pgSz w:w="11900" w:h="16838" w:orient="portrait"/>
          <w:cols w:equalWidth="0" w:num="2">
            <w:col w:w="6380" w:space="720"/>
            <w:col w:w="4320"/>
          </w:cols>
          <w:pgMar w:left="240" w:top="227"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income, before income taxes</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income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1"/>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 losses on investments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adjustment for net realized capital gain included in net income</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loss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4"/>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8"/>
                <w:szCs w:val="18"/>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accounting for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(8,184)</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 of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1"/>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2018</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net of income taxes</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(3,467)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Times New Roman" w:cs="Times New Roman" w:eastAsia="Times New Roman" w:hAnsi="Times New Roman"/>
                <w:sz w:val="18"/>
                <w:szCs w:val="18"/>
                <w:i w:val="1"/>
                <w:iCs w:val="1"/>
                <w:color w:val="0000EE"/>
                <w:w w:val="98"/>
              </w:rPr>
            </w:pPr>
            <w:hyperlink w:anchor="page2">
              <w:r>
                <w:rPr>
                  <w:rFonts w:ascii="Times New Roman" w:cs="Times New Roman" w:eastAsia="Times New Roman" w:hAnsi="Times New Roman"/>
                  <w:sz w:val="18"/>
                  <w:szCs w:val="18"/>
                  <w:i w:val="1"/>
                  <w:iCs w:val="1"/>
                  <w:color w:val="0000EE"/>
                  <w:w w:val="98"/>
                </w:rPr>
                <w:t>Table of Contents</w:t>
              </w:r>
            </w:hyperlink>
          </w:p>
        </w:tc>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13,796</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capital gain on investments</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(7,859)</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(11,147)</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(4,215)</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Federal income tax recoverable / payable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3,404</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(3,291)</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fixed income securities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(14,282)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(2,746)</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Issuance of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432" w:hanging="1342"/>
        <w:spacing w:after="0"/>
        <w:tabs>
          <w:tab w:leader="none" w:pos="14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432" w:hanging="1432"/>
        <w:spacing w:after="0"/>
        <w:tabs>
          <w:tab w:leader="none" w:pos="14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432" w:hanging="1432"/>
        <w:spacing w:after="0"/>
        <w:tabs>
          <w:tab w:leader="none" w:pos="14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-130810</wp:posOffset>
            </wp:positionV>
            <wp:extent cx="1560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988" w:space="720"/>
            <w:col w:w="1712"/>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1,177</w:t>
            </w: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68,950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70,127</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$2,000 and $1,500 in federal income taxes during the three months ended March 31, 2019 and 2018,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Notes to Unaudited Consolidated Financial Statements</w:t>
      </w:r>
    </w:p>
    <w:p>
      <w:pPr>
        <w:spacing w:after="0" w:line="3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07"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consolidated financial statements of NI Holdings include the financial position and results of NI Holdings and six other entities:</w:t>
      </w:r>
    </w:p>
    <w:p>
      <w:pPr>
        <w:spacing w:after="0" w:line="27"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Company (“Nodak Insurance”, formerly Nodak Mutual Insurance Company prior to the conversion);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Inc. (“Nodak Agency”);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Insurance Company (“American West”);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Insurance Company (“Primero”);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Mutual Insurance Company (“Battle Creek”, an affiliated company with Nodak Insurance);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Insurance Company (“Direct Auto”).</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Nodak Agency, a wholly-owned subsidiary of Nodak Insurance, is an inactive shell corporation.</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21"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3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Direct Auto, a wholly-owned subsidiary of NI Holdings, is a property and casualty company licensed in Illinois. Direct Auto began writing non-standard automobile coverage in 2007, and was acquired by NI Holdings on August 31, 2018 via a stock purchase agreement. See Note 4.</w:t>
      </w:r>
    </w:p>
    <w:p>
      <w:pPr>
        <w:spacing w:after="0" w:line="135" w:lineRule="exact"/>
        <w:rPr>
          <w:sz w:val="20"/>
          <w:szCs w:val="20"/>
          <w:color w:val="auto"/>
        </w:rPr>
      </w:pPr>
    </w:p>
    <w:p>
      <w:pPr>
        <w:ind w:left="20" w:right="180" w:firstLine="635"/>
        <w:spacing w:after="0" w:line="258"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39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0" w:name="page11"/>
    <w:bookmarkEnd w:id="1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 ended March 31, 2019 are not necessarily indicative of the results that may be expected for the year ended December 31, 2019.</w:t>
      </w:r>
    </w:p>
    <w:p>
      <w:pPr>
        <w:spacing w:after="0" w:line="14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388" w:lineRule="exact"/>
        <w:rPr>
          <w:sz w:val="20"/>
          <w:szCs w:val="20"/>
          <w:color w:val="auto"/>
        </w:rPr>
      </w:pPr>
    </w:p>
    <w:p>
      <w:pPr>
        <w:ind w:left="660" w:right="7360" w:hanging="652"/>
        <w:spacing w:after="0" w:line="503"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u w:val="single" w:color="auto"/>
          <w:color w:val="auto"/>
        </w:rPr>
        <w:t>Use of Estimates:</w:t>
      </w:r>
    </w:p>
    <w:p>
      <w:pPr>
        <w:spacing w:after="0" w:line="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Variable-Interest Entities: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8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11" w:name="page12"/>
    <w:bookmarkEnd w:id="1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w:t>
      </w:r>
    </w:p>
    <w:p>
      <w:pPr>
        <w:spacing w:after="0" w:line="227"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rule, changes in unrealized gains and losses on equity securities are reported as a component of net capital gain on investments in our operating results.</w:t>
      </w:r>
    </w:p>
    <w:p>
      <w:pPr>
        <w:spacing w:after="0" w:line="18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on investments, along with the change in unrealized gains and losses on equity securities after January 1, 2019.</w:t>
      </w:r>
    </w:p>
    <w:p>
      <w:pPr>
        <w:spacing w:after="0" w:line="1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85"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I – Quoted price in active markets for identical assets and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7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Other Financial Instruments: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$1,914 at March 31, 2019 and $1,954 at December 31, 2018.</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in the 2018 consolidated financial statements have been reclassified to conform to the 2019 presentation.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2" w:name="page13"/>
    <w:bookmarkEnd w:id="1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unearned premiums. When policies lapse, the Company reverses the unearned portion of the written premium and removes the applicable unearned premium. Policy-related fee income is recognized when collected.</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Policy Acquisition Costs: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report property and equipment at cost less accumulated depreciation. Depreciation is computed using the straight-line method based upon the estimated useful lives of the assets.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Losses and Loss Adjustment Expenses: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3" w:name="page14"/>
    <w:bookmarkEnd w:id="1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likely differ from the amount recorded.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With the exception of Battle Creek, which files a stand-alone federal income tax return, we currently file a consolidated federal income tax return. For the year ended December 31, 2016, the consolidated federal income tax return included Nodak Mutual Insurance Company and its wholly-owned subsidiaries. For the year ended December 31, 2017 and thereafter, the consolidated federal income tax return included and will include thereafter NI Holdings and its wholly-owned subsidiaries. Direct Auto became part of the consolidated federal income tax return as of its acquisition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reports tax-related interest and penalties, if any, as part of income tax expense in the year such amounts are determinable.</w:t>
      </w:r>
    </w:p>
    <w:p>
      <w:pPr>
        <w:spacing w:after="0" w:line="225"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elected to reclassify any tax effects stranded in accumulated other comprehensive income as a result of a change in income tax rates to retained earnings.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Property and liability insurance coverages are marketed through captive agents in North Dakota and through independent insurance agencies located throughout all operating areas. All business is billed directly to policyholders.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Reinsurance:</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7" w:right="299" w:bottom="1440" w:gutter="0" w:footer="0" w:header="0"/>
        </w:sectPr>
      </w:pPr>
    </w:p>
    <w:bookmarkStart w:id="14" w:name="page15"/>
    <w:bookmarkEnd w:id="1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three month periods ended March 31, 2019 and 2018.</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valuation date.</w:t>
      </w:r>
    </w:p>
    <w:p>
      <w:pPr>
        <w:spacing w:after="0" w:line="392"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Direct Auto Insurance Company</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August 31, 2018, the Company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The Company realized a $4,578 gain on the purchase of Direct Auto due to the use of applicable purchase accounting guidance (known as a “bargain purchase”).</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Direct Auto will remain headquartered in Chicago, Illinois and the current president (who was also one of the principal shareholders) of Direct Auto will continue to manage the Direct Auto insurance operations along with the current staff and management team. The results of Direct Auto are included as part of the Company’s non-standard auto business segment following the closing date.</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Company does not expect any adjustments during this period.</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acquired Direct Auto business contributed revenues of $12,573 and net income of $4,134 to the Company for the three months ended March 31, 2019. The following unaudited pro forma summary presents consolidated information of the Company as if the business combination had occurred on January 1, 2017:</w:t>
      </w:r>
    </w:p>
    <w:p>
      <w:pPr>
        <w:spacing w:after="0" w:line="172"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8"/>
          <w:szCs w:val="18"/>
          <w:b w:val="1"/>
          <w:bCs w:val="1"/>
          <w:color w:val="auto"/>
        </w:rPr>
        <w:t>Pro forma</w:t>
      </w:r>
    </w:p>
    <w:p>
      <w:pPr>
        <w:spacing w:after="0" w:line="31"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13,848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NI Holdings, Inc.</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reflect any material, nonrecurring pro forma adjustments directly attributable to the business combination in the above pro forma revenue and earnings.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 forma amounts have been calculated after applying the Company’s accounting policies and adjusting the results of</w:t>
      </w:r>
    </w:p>
    <w:p>
      <w:pPr>
        <w:sectPr>
          <w:pgSz w:w="11900" w:h="16838" w:orient="portrait"/>
          <w:cols w:equalWidth="0" w:num="1">
            <w:col w:w="11420"/>
          </w:cols>
          <w:pgMar w:left="240" w:top="22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Direct Auto to reflect the deferral and amortization of policy acquisition costs and the additional amortization that would have been charged assuming the fair value adjustments to intangible assets had been applied from January 1, 2017, with the related income tax effects.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2018, the Company incurred $118 of acquisition-related costs. These expenses did not impact the pro forma amounts presented above.</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paid $17,000 in cash consideration to the private shareholders of Direct Auto. The acquisition of Direct Auto did not include any contingent consideration. The following table summarizes the consideration transferred to acquire Direct Auto and the amounts of identified assets acquired and liabilities assumed at the acquisition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consideration transferred</w:t>
            </w:r>
          </w:p>
        </w:tc>
        <w:tc>
          <w:tcPr>
            <w:tcW w:w="2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net assets: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Favorable lease contract (included in goodwill and other intangibles)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(included in goodwill and other intangibles)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 (included in goodwill and other intangibles)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Value of business acquired (included in goodwill and other intangibles)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income tax payable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assets acquired includes premiums and agents’ balances receivable of $5,849. This is the gross amount due from policyholders and agents, none of which is anticipated to be uncollectible. The Company did not acquire any other material class of receivable as a result of the acquisition of Direct Auto.</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completed our final analysis of the assets and liabilities acquired and assigned fair values to the acquired intangibles consisting of favorable lease contract, state insurance license, Direct Auto trade name, and VOBA intangible assets of $20, $100, $248, and $5,134, respectively. The state insurance license has an indefinite life, while the other intangible assets will be amortized over useful lives of up to five years.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gain realized on bargain purchase of $4,578 from the Direct Auto acquisition is included in fee and other income in the Company’s Consolidated Statements of Operations during the three months ended September 30, 2018.</w:t>
      </w:r>
    </w:p>
    <w:p>
      <w:pPr>
        <w:spacing w:after="0" w:line="37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w:t>
      </w:r>
    </w:p>
    <w:p>
      <w:pPr>
        <w:sectPr>
          <w:pgSz w:w="11900" w:h="16838" w:orient="portrait"/>
          <w:cols w:equalWidth="0" w:num="1">
            <w:col w:w="11420"/>
          </w:cols>
          <w:pgMar w:left="240" w:top="227"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This guidance is effective for annual and interim reporting periods beginning after December 15, 2019 for public business entities. For private companies and emerging growth companies, this guidance is also effective for annual and interim reporting periods beginning after December 15, 2021. Early adoption is permitted for all entities beginning in 2017. The Company early adopted this guidance during the year ended December 31, 2017 on a prospective basis as a change in accounting principle, therefore at the date of adoption there was no impact to the Company’s financial position or results of operations.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This guidance is effective for annual periods beginning after December 15, 2016 for public business entities. For private companies and emerging growth companies, this guidance is effective for annual periods beginning after December 15, 2017, and interim periods within annual periods beginning after December 15, 2018. Early adoption is permitted for all entities in any period. An entity that elects early adoption must adopt all amendments in the same period. Amendments requiring recognition of excess income tax benefits and income tax deficiencies in the Consolidated Statement of Operations should be applied prospectively. The Company early adopted this guidance on a prospective basis for the year ended December 31, 2017. At the date of adoption, there was an immaterial impact to the computation of diluted earnings per share, but no impact to the Company’s financial position or results of operations.</w:t>
      </w:r>
    </w:p>
    <w:p>
      <w:pPr>
        <w:spacing w:after="0" w:line="19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new guidance to provide companies the option to reclassify income tax effects that are stranded in accumulated other comprehensive income as a result of income tax reform to retained earnings. This guidance is effective for all entities for fiscal years beginning after December 15, 2018, and interim periods within those fiscal years. Early adoption is permitted for reporting periods for which financial statements have not yet been issued or made available for issuance. In the period of adoption, an entity would be able to choose whether to apply the amendments retrospectively or in the period of adoption. The Company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8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In January 2019, the Company adopted amended guidance from the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has no impact to the Company’s results of operations at the date of adoption. The after-tax change in accounting for equity securities did not affect the Company’s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which will add a level of volatility to our net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Yet Adopted</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May 2014,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 when we adopt this guidance for the year ended December 31, 2019.</w:t>
      </w:r>
    </w:p>
    <w:p>
      <w:pPr>
        <w:spacing w:after="0" w:line="18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17" w:name="page18"/>
    <w:bookmarkEnd w:id="1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cumulative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9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August 2016, the FASB issued amended guidance that addresses diversity in how certain cash receipts and cash payments are presented and classified in the Consolidated Statement of Cash Flows. The amendments provide clarity on the treatment of eight specifically defined types of cash inflows and outflows. For private companies and emerging growth companies, this guidance is effective for annual reporting periods beginning after December 15, 2018 and interim periods within fiscal years beginning after December 15, 2019 using a retrospective transition method to each period presented or prospectively if adoption of an issue is impracticable. The adoption of this amended guidance will have no effect on our financial position or results of operations. We do not expect this amended guidance to have a significant impact on our Consolidated Statement of Cash Flows.</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amended guidance on the presentation of restricted cash in the Consolidated Statement of Cash Flows. Entities will be required to explain the changes during a reporting period in the total of cash, cash equivalents, and amounts generally described as restricted cash or restricted cash equivalents.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have no effect on our financial position or results of operations. We do not expect this amended guidance to have a significant impact on our Consolidated Statement of Cash Flows.</w:t>
      </w:r>
    </w:p>
    <w:p>
      <w:pPr>
        <w:spacing w:after="0" w:line="18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disclosures.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8" w:name="page19"/>
    <w:bookmarkEnd w:id="1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investment securities as of March 31, 2019 and December 31, 2018,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7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Cost or Amortized</w:t>
            </w:r>
          </w:p>
        </w:tc>
        <w:tc>
          <w:tcPr>
            <w:tcW w:w="14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158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16,857</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55,258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96,096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49,923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21,465</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21,293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258,958</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6,875</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298,405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7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Cost or Amortized</w:t>
            </w:r>
          </w:p>
        </w:tc>
        <w:tc>
          <w:tcPr>
            <w:tcW w:w="14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158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19,183</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52,782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19,617</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257,294</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7,037</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295,433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7" w:right="239" w:bottom="1440" w:gutter="0" w:footer="0" w:header="0"/>
        </w:sectPr>
      </w:pPr>
    </w:p>
    <w:bookmarkStart w:id="19" w:name="page20"/>
    <w:bookmarkEnd w:id="1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20" w:right="120" w:firstLine="635"/>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23"/>
        </w:trPr>
        <w:tc>
          <w:tcPr>
            <w:tcW w:w="58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3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50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13,322</w:t>
            </w: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97,197</w:t>
            </w: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51,302</w:t>
            </w: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8,203</w:t>
            </w:r>
          </w:p>
        </w:tc>
      </w:tr>
      <w:tr>
        <w:trPr>
          <w:trHeight w:val="23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90,800</w:t>
            </w:r>
          </w:p>
        </w:tc>
      </w:tr>
      <w:tr>
        <w:trPr>
          <w:trHeight w:val="223"/>
        </w:trPr>
        <w:tc>
          <w:tcPr>
            <w:tcW w:w="5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58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3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44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12,463</w:t>
            </w: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96,614</w:t>
            </w: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51,351</w:t>
            </w: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5,620</w:t>
            </w:r>
          </w:p>
        </w:tc>
      </w:tr>
      <w:tr>
        <w:trPr>
          <w:trHeight w:val="23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88,921</w:t>
            </w:r>
          </w:p>
        </w:tc>
      </w:tr>
      <w:tr>
        <w:trPr>
          <w:trHeight w:val="223"/>
        </w:trPr>
        <w:tc>
          <w:tcPr>
            <w:tcW w:w="5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 w:right="760" w:firstLine="635"/>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$4,954 at March 31, 2019 and $4,900 at December 31, 2018, were deposited with various state regulatory agencies as required by law. The Company has not pledged any assets to secure any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0" w:name="page21"/>
    <w:bookmarkEnd w:id="2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and equity securities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Greater than 12 months</w:t>
            </w:r>
          </w:p>
        </w:tc>
        <w:tc>
          <w:tcPr>
            <w:tcW w:w="16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34,892</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5,316</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9,435</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5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materials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cyclical</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non-cyclical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5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7" w:right="239" w:bottom="1440" w:gutter="0" w:footer="0" w:header="0"/>
        </w:sectPr>
      </w:pPr>
    </w:p>
    <w:bookmarkStart w:id="21" w:name="page22"/>
    <w:bookmarkEnd w:id="2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Greater than 12 months</w:t>
            </w: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9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18,218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26,685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45,033</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(1,147)</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69,826</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26,459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36,784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7,117</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13,097</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10,276</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5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materials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cyclical</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non-cyclical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5,097</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3,722</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3,335</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115,232</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 w:right="180" w:firstLine="635"/>
        <w:spacing w:after="0" w:line="282" w:lineRule="auto"/>
        <w:rPr>
          <w:sz w:val="20"/>
          <w:szCs w:val="20"/>
          <w:color w:val="auto"/>
        </w:rPr>
      </w:pPr>
      <w:r>
        <w:rPr>
          <w:rFonts w:ascii="Times New Roman" w:cs="Times New Roman" w:eastAsia="Times New Roman" w:hAnsi="Times New Roman"/>
          <w:sz w:val="18"/>
          <w:szCs w:val="18"/>
          <w:color w:val="auto"/>
        </w:rPr>
        <w:t>Investments with unrealized losses are categorized with a duration of greater than 12 months when all positions of a security have continually been in a loss position for at least 12 months.</w:t>
      </w:r>
    </w:p>
    <w:p>
      <w:pPr>
        <w:spacing w:after="0" w:line="54" w:lineRule="exact"/>
        <w:rPr>
          <w:sz w:val="20"/>
          <w:szCs w:val="20"/>
          <w:color w:val="auto"/>
        </w:rPr>
      </w:pPr>
    </w:p>
    <w:p>
      <w:pPr>
        <w:jc w:val="both"/>
        <w:ind w:left="20" w:right="60" w:firstLine="635"/>
        <w:spacing w:after="0" w:line="276" w:lineRule="auto"/>
        <w:rPr>
          <w:sz w:val="20"/>
          <w:szCs w:val="20"/>
          <w:color w:val="auto"/>
        </w:rPr>
      </w:pPr>
      <w:r>
        <w:rPr>
          <w:rFonts w:ascii="Times New Roman" w:cs="Times New Roman" w:eastAsia="Times New Roman" w:hAnsi="Times New Roman"/>
          <w:sz w:val="17"/>
          <w:szCs w:val="17"/>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w:t>
      </w:r>
    </w:p>
    <w:p>
      <w:pPr>
        <w:spacing w:after="0" w:line="1" w:lineRule="exact"/>
        <w:rPr>
          <w:sz w:val="20"/>
          <w:szCs w:val="20"/>
          <w:color w:val="auto"/>
        </w:rPr>
      </w:pPr>
    </w:p>
    <w:p>
      <w:pPr>
        <w:ind w:left="20" w:right="80" w:firstLine="2"/>
        <w:spacing w:after="0" w:line="254" w:lineRule="auto"/>
        <w:tabs>
          <w:tab w:leader="none" w:pos="2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no impairments during the three months ended March 31, 2019 and 2018.</w:t>
      </w:r>
    </w:p>
    <w:p>
      <w:pPr>
        <w:spacing w:after="0" w:line="117" w:lineRule="exact"/>
        <w:rPr>
          <w:sz w:val="20"/>
          <w:szCs w:val="20"/>
          <w:color w:val="auto"/>
        </w:rPr>
      </w:pPr>
    </w:p>
    <w:p>
      <w:pPr>
        <w:jc w:val="both"/>
        <w:ind w:left="20" w:right="180" w:firstLine="635"/>
        <w:spacing w:after="0" w:line="261" w:lineRule="auto"/>
        <w:rPr>
          <w:sz w:val="20"/>
          <w:szCs w:val="20"/>
          <w:color w:val="auto"/>
        </w:rPr>
      </w:pPr>
      <w:r>
        <w:rPr>
          <w:rFonts w:ascii="Times New Roman" w:cs="Times New Roman" w:eastAsia="Times New Roman" w:hAnsi="Times New Roman"/>
          <w:sz w:val="18"/>
          <w:szCs w:val="18"/>
          <w:color w:val="auto"/>
        </w:rPr>
        <w:t>As of March 31, 2019, we held 192 fixed income securities with unrealized losses. As of December 31, 2018, we held 317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2" w:name="page23"/>
    <w:bookmarkEnd w:id="2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investment income consisted of the following:</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Net capital gain on investments consisted of the following:</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other-than-temporary impairment losses: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realized losses, excluding other-than-temporary impairment losses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 on equity securities</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7,300</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capital gain on investments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 w:right="140" w:firstLine="635"/>
        <w:spacing w:after="0" w:line="261" w:lineRule="auto"/>
        <w:rPr>
          <w:sz w:val="20"/>
          <w:szCs w:val="20"/>
          <w:color w:val="auto"/>
        </w:rPr>
      </w:pPr>
      <w:r>
        <w:rPr>
          <w:rFonts w:ascii="Times New Roman" w:cs="Times New Roman" w:eastAsia="Times New Roman" w:hAnsi="Times New Roman"/>
          <w:sz w:val="18"/>
          <w:szCs w:val="18"/>
          <w:color w:val="auto"/>
        </w:rPr>
        <w:t>Effective January 1, 2019, the market fluctuations attributed to equity securities are included in the Company’s results of operations. Prior to the adoption of this accounting pronouncement, net unrealized gains and losses on equity securities were recorded in accumulated other comprehensive income. The after-tax amount of unrealized gains on equity securities, aggregating $8,184 as of December 31, 2018, was reclassified from accumulated other comprehensive income to retained earnings as of January 1, 2019.</w:t>
      </w:r>
    </w:p>
    <w:p>
      <w:pPr>
        <w:spacing w:after="0" w:line="392"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20" w:right="300" w:firstLine="635"/>
        <w:spacing w:after="0" w:line="266" w:lineRule="auto"/>
        <w:rPr>
          <w:sz w:val="20"/>
          <w:szCs w:val="20"/>
          <w:color w:val="auto"/>
        </w:rPr>
      </w:pPr>
      <w:r>
        <w:rPr>
          <w:rFonts w:ascii="Times New Roman" w:cs="Times New Roman" w:eastAsia="Times New Roman" w:hAnsi="Times New Roman"/>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March 31, 2019 and December 31, 2018 were fixed income securities.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Prices provided by independent pricing services and independent broker quotes can vary widely, even for the same security.</w:t>
      </w:r>
    </w:p>
    <w:p>
      <w:pPr>
        <w:spacing w:after="0" w:line="117" w:lineRule="exact"/>
        <w:rPr>
          <w:sz w:val="20"/>
          <w:szCs w:val="20"/>
          <w:color w:val="auto"/>
        </w:rPr>
      </w:pPr>
    </w:p>
    <w:p>
      <w:pPr>
        <w:ind w:left="20" w:right="60" w:firstLine="635"/>
        <w:spacing w:after="0" w:line="258" w:lineRule="auto"/>
        <w:rPr>
          <w:sz w:val="20"/>
          <w:szCs w:val="20"/>
          <w:color w:val="auto"/>
        </w:rPr>
      </w:pPr>
      <w:r>
        <w:rPr>
          <w:rFonts w:ascii="Times New Roman" w:cs="Times New Roman" w:eastAsia="Times New Roman" w:hAnsi="Times New Roman"/>
          <w:sz w:val="18"/>
          <w:szCs w:val="18"/>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March 31, 2019 or December 31, 2018.</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3" w:name="page24"/>
    <w:bookmarkEnd w:id="2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20" w:right="440" w:firstLine="635"/>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on a recurring basis by the level within the fair value hierarchy in which fair value measurements fall: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17,029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55,971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97,024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19,486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21,293</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7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260,824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6,196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6,196</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9,043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15,094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15,094</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11,195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70,127</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70,127</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7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388,057</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127,233</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19,208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52,698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securities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94,142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94,142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50,283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19,315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19,323</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7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254,969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materials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Communications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Consumer, cyclical</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non-cyclical</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12,369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12,369</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Energy</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Industrial</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9,763</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9,763</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68,950</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68,950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7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372,417</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117,448</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March 31, 2019 or December 31, 2018.</w:t>
      </w:r>
    </w:p>
    <w:p>
      <w:pPr>
        <w:sectPr>
          <w:pgSz w:w="11900" w:h="16838" w:orient="portrait"/>
          <w:cols w:equalWidth="0" w:num="1">
            <w:col w:w="11420"/>
          </w:cols>
          <w:pgMar w:left="240" w:top="22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27"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left="20" w:right="80" w:firstLine="635"/>
        <w:spacing w:after="0" w:line="266" w:lineRule="auto"/>
        <w:rPr>
          <w:sz w:val="20"/>
          <w:szCs w:val="20"/>
          <w:color w:val="auto"/>
        </w:rPr>
      </w:pPr>
      <w:r>
        <w:rPr>
          <w:rFonts w:ascii="Times New Roman" w:cs="Times New Roman" w:eastAsia="Times New Roman" w:hAnsi="Times New Roman"/>
          <w:sz w:val="18"/>
          <w:szCs w:val="18"/>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68" w:lineRule="exact"/>
        <w:rPr>
          <w:sz w:val="20"/>
          <w:szCs w:val="20"/>
          <w:color w:val="auto"/>
        </w:rPr>
      </w:pPr>
    </w:p>
    <w:p>
      <w:pPr>
        <w:ind w:left="20" w:right="80" w:firstLine="635"/>
        <w:spacing w:after="0" w:line="261" w:lineRule="auto"/>
        <w:rPr>
          <w:sz w:val="20"/>
          <w:szCs w:val="20"/>
          <w:color w:val="auto"/>
        </w:rPr>
      </w:pPr>
      <w:r>
        <w:rPr>
          <w:rFonts w:ascii="Times New Roman" w:cs="Times New Roman" w:eastAsia="Times New Roman" w:hAnsi="Times New Roman"/>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72" w:lineRule="exact"/>
        <w:rPr>
          <w:sz w:val="20"/>
          <w:szCs w:val="20"/>
          <w:color w:val="auto"/>
        </w:rPr>
      </w:pPr>
    </w:p>
    <w:p>
      <w:pPr>
        <w:ind w:left="20" w:right="100" w:firstLine="635"/>
        <w:spacing w:after="0" w:line="261" w:lineRule="auto"/>
        <w:rPr>
          <w:sz w:val="20"/>
          <w:szCs w:val="20"/>
          <w:color w:val="auto"/>
        </w:rPr>
      </w:pPr>
      <w:r>
        <w:rPr>
          <w:rFonts w:ascii="Times New Roman" w:cs="Times New Roman" w:eastAsia="Times New Roman" w:hAnsi="Times New Roman"/>
          <w:sz w:val="18"/>
          <w:szCs w:val="18"/>
          <w:color w:val="auto"/>
        </w:rPr>
        <w:t>As a group, during the three months ended March 31, 2019, the Company retained the first $10,000 of weather-related losses from catastrophic events and had reinsurance under various reinsurance agreements up to $78,600 in excess of its $10,000 retained risk. During the years ended December 31, 2018 and 2017, the catastrophic retention amount was $10,000 while the catastrophic reinsurance was $74,600. Prior to January 1, 2017, the group collectively retained the first $5,000 of weather-related losses.</w:t>
      </w:r>
    </w:p>
    <w:p>
      <w:pPr>
        <w:spacing w:after="0" w:line="72" w:lineRule="exact"/>
        <w:rPr>
          <w:sz w:val="20"/>
          <w:szCs w:val="20"/>
          <w:color w:val="auto"/>
        </w:rPr>
      </w:pPr>
    </w:p>
    <w:p>
      <w:pPr>
        <w:ind w:left="20" w:firstLine="635"/>
        <w:spacing w:after="0" w:line="255"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 except for one reinsurer with a rating downgraded to “B++” during 2018, with a receivable of $284 at March 31, 2019. This reinsurer was replaced during 2018, primarily due to the downgrade.</w:t>
      </w:r>
    </w:p>
    <w:p>
      <w:pPr>
        <w:sectPr>
          <w:pgSz w:w="11900" w:h="16838" w:orient="portrait"/>
          <w:cols w:equalWidth="0" w:num="1">
            <w:col w:w="11380"/>
          </w:cols>
          <w:pgMar w:left="240" w:top="227" w:right="27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reconciliation of direct to net premiums on both a written and an earned basis is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assumed earned premium to net earned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assumed earned premium to net earned premium</w:t>
      </w: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direct to net losses and loss adjustment expenses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Premiums Earned</w:t>
            </w: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55,653</w:t>
            </w:r>
          </w:p>
        </w:tc>
        <w:tc>
          <w:tcPr>
            <w:tcW w:w="220" w:type="dxa"/>
            <w:vAlign w:val="bottom"/>
          </w:tcPr>
          <w:p>
            <w:pPr>
              <w:spacing w:after="0"/>
              <w:rPr>
                <w:sz w:val="16"/>
                <w:szCs w:val="16"/>
                <w:color w:val="auto"/>
              </w:rPr>
            </w:pPr>
          </w:p>
        </w:tc>
        <w:tc>
          <w:tcPr>
            <w:tcW w:w="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52,253</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(2,773)</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50,506</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08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r>
      <w:tr>
        <w:trPr>
          <w:trHeight w:val="223"/>
        </w:trPr>
        <w:tc>
          <w:tcPr>
            <w:tcW w:w="20" w:type="dxa"/>
            <w:vAlign w:val="bottom"/>
          </w:tcPr>
          <w:p>
            <w:pPr>
              <w:spacing w:after="0"/>
              <w:rPr>
                <w:sz w:val="19"/>
                <w:szCs w:val="19"/>
                <w:color w:val="auto"/>
              </w:rPr>
            </w:pPr>
          </w:p>
        </w:tc>
        <w:tc>
          <w:tcPr>
            <w:tcW w:w="1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60" w:type="dxa"/>
            <w:vAlign w:val="bottom"/>
            <w:gridSpan w:val="2"/>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39,274</w:t>
            </w:r>
          </w:p>
        </w:tc>
        <w:tc>
          <w:tcPr>
            <w:tcW w:w="220" w:type="dxa"/>
            <w:vAlign w:val="bottom"/>
          </w:tcPr>
          <w:p>
            <w:pPr>
              <w:spacing w:after="0"/>
              <w:rPr>
                <w:sz w:val="16"/>
                <w:szCs w:val="16"/>
                <w:color w:val="auto"/>
              </w:rPr>
            </w:pPr>
          </w:p>
        </w:tc>
        <w:tc>
          <w:tcPr>
            <w:tcW w:w="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37,192</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26,631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18,637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60" w:space="720"/>
            <w:col w:w="3100"/>
          </w:cols>
          <w:pgMar w:left="240" w:top="227"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7" w:right="27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left="20" w:right="240" w:firstLine="635"/>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March 31, 2019 or December 31, 2018, no ceded commissions would need to be returned to the reinsurers. Reinsurance contracts are typically effective from January 1 through December 31 each year.</w:t>
      </w:r>
    </w:p>
    <w:p>
      <w:pPr>
        <w:spacing w:after="0" w:line="374"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with regards to our deferred policy acquisition costs was as follows:</w:t>
      </w:r>
    </w:p>
    <w:p>
      <w:pPr>
        <w:spacing w:after="0" w:line="12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7"/>
          <w:szCs w:val="17"/>
          <w:b w:val="1"/>
          <w:bCs w:val="1"/>
          <w:u w:val="single" w:color="auto"/>
          <w:color w:val="auto"/>
        </w:rPr>
        <w:t>Three Months Ended March 31,</w:t>
      </w:r>
    </w:p>
    <w:p>
      <w:pPr>
        <w:spacing w:after="0" w:line="48" w:lineRule="exact"/>
        <w:rPr>
          <w:sz w:val="20"/>
          <w:szCs w:val="20"/>
          <w:color w:val="auto"/>
        </w:rPr>
      </w:pPr>
    </w:p>
    <w:p>
      <w:pPr>
        <w:ind w:left="9220"/>
        <w:spacing w:after="0"/>
        <w:tabs>
          <w:tab w:leader="none" w:pos="1056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ectPr>
          <w:pgSz w:w="11900" w:h="16838" w:orient="portrait"/>
          <w:cols w:equalWidth="0" w:num="1">
            <w:col w:w="11420"/>
          </w:cols>
          <w:pgMar w:left="240" w:top="227" w:right="2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300"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liability for unpaid losses and loss adjustment expenses is summarized as follows: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340" w:type="dxa"/>
            <w:vAlign w:val="bottom"/>
          </w:tcPr>
          <w:p>
            <w:pPr>
              <w:jc w:val="right"/>
              <w:ind w:right="17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line="171" w:lineRule="exact"/>
              <w:rPr>
                <w:sz w:val="20"/>
                <w:szCs w:val="20"/>
                <w:color w:val="auto"/>
              </w:rPr>
            </w:pPr>
            <w:r>
              <w:rPr>
                <w:rFonts w:ascii="Times New Roman" w:cs="Times New Roman" w:eastAsia="Times New Roman" w:hAnsi="Times New Roman"/>
                <w:sz w:val="18"/>
                <w:szCs w:val="18"/>
                <w:color w:val="auto"/>
              </w:rPr>
              <w:t>12,866</w:t>
            </w:r>
          </w:p>
        </w:tc>
        <w:tc>
          <w:tcPr>
            <w:tcW w:w="360" w:type="dxa"/>
            <w:vAlign w:val="bottom"/>
          </w:tcPr>
          <w:p>
            <w:pPr>
              <w:jc w:val="right"/>
              <w:ind w:right="19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8,859</w:t>
            </w:r>
          </w:p>
        </w:tc>
        <w:tc>
          <w:tcPr>
            <w:tcW w:w="6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11,147</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60" w:type="dxa"/>
            <w:vAlign w:val="bottom"/>
          </w:tcPr>
          <w:p>
            <w:pPr>
              <w:spacing w:after="0"/>
              <w:rPr>
                <w:sz w:val="18"/>
                <w:szCs w:val="18"/>
                <w:color w:val="auto"/>
              </w:rPr>
            </w:pPr>
          </w:p>
        </w:tc>
      </w:tr>
      <w:tr>
        <w:trPr>
          <w:trHeight w:val="248"/>
        </w:trPr>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(9,222)</w:t>
            </w:r>
          </w:p>
        </w:tc>
        <w:tc>
          <w:tcPr>
            <w:tcW w:w="3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23"/>
        </w:trPr>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60" w:type="dxa"/>
            <w:vAlign w:val="bottom"/>
          </w:tcPr>
          <w:p>
            <w:pPr>
              <w:spacing w:after="0"/>
              <w:rPr>
                <w:sz w:val="19"/>
                <w:szCs w:val="19"/>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Three Months Ended March 31,</w:t>
      </w:r>
    </w:p>
    <w:p>
      <w:pPr>
        <w:spacing w:after="0" w:line="48" w:lineRule="exact"/>
        <w:rPr>
          <w:sz w:val="20"/>
          <w:szCs w:val="20"/>
          <w:color w:val="auto"/>
        </w:rPr>
      </w:pPr>
    </w:p>
    <w:p>
      <w:pPr>
        <w:ind w:left="3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31" w:lineRule="exact"/>
        <w:rPr>
          <w:sz w:val="20"/>
          <w:szCs w:val="20"/>
          <w:color w:val="auto"/>
        </w:rPr>
      </w:pPr>
    </w:p>
    <w:p>
      <w:pPr>
        <w:sectPr>
          <w:pgSz w:w="11900" w:h="16838" w:orient="portrait"/>
          <w:cols w:equalWidth="0" w:num="2">
            <w:col w:w="8140" w:space="720"/>
            <w:col w:w="2560"/>
          </w:cols>
          <w:pgMar w:left="240" w:top="2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87,121</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45,890</w:t>
            </w:r>
          </w:p>
        </w:tc>
      </w:tr>
      <w:tr>
        <w:trPr>
          <w:trHeight w:val="234"/>
        </w:trPr>
        <w:tc>
          <w:tcPr>
            <w:tcW w:w="3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2,232</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84,889</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-582295</wp:posOffset>
            </wp:positionV>
            <wp:extent cx="15608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720"/>
            <w:col w:w="2560"/>
          </w:cols>
          <w:pgMar w:left="240" w:top="227"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1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31,203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years</w:t>
            </w:r>
          </w:p>
        </w:tc>
        <w:tc>
          <w:tcPr>
            <w:tcW w:w="13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(4,969)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incurred</w:t>
            </w:r>
          </w:p>
        </w:tc>
        <w:tc>
          <w:tcPr>
            <w:tcW w:w="10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2"/>
              </w:rPr>
              <w:t>26,234</w:t>
            </w:r>
          </w:p>
        </w:tc>
        <w:tc>
          <w:tcPr>
            <w:tcW w:w="2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13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11,064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years</w:t>
            </w:r>
          </w:p>
        </w:tc>
        <w:tc>
          <w:tcPr>
            <w:tcW w:w="13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17,642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paid</w:t>
            </w:r>
          </w:p>
        </w:tc>
        <w:tc>
          <w:tcPr>
            <w:tcW w:w="10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2"/>
              </w:rPr>
              <w:t>28,706</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22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balance at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left="600"/>
        <w:spacing w:after="0"/>
        <w:tabs>
          <w:tab w:leader="none" w:pos="1940" w:val="left"/>
        </w:tabs>
        <w:rPr>
          <w:sz w:val="20"/>
          <w:szCs w:val="20"/>
          <w:color w:val="auto"/>
        </w:rPr>
      </w:pPr>
      <w:r>
        <w:rPr>
          <w:rFonts w:ascii="Times New Roman" w:cs="Times New Roman" w:eastAsia="Times New Roman" w:hAnsi="Times New Roman"/>
          <w:sz w:val="18"/>
          <w:szCs w:val="18"/>
          <w:color w:val="auto"/>
        </w:rPr>
        <w:t>85,560</w:t>
      </w:r>
      <w:r>
        <w:rPr>
          <w:sz w:val="20"/>
          <w:szCs w:val="20"/>
          <w:color w:val="auto"/>
        </w:rPr>
        <w:tab/>
      </w:r>
      <w:r>
        <w:rPr>
          <w:rFonts w:ascii="Times New Roman" w:cs="Times New Roman" w:eastAsia="Times New Roman" w:hAnsi="Times New Roman"/>
          <w:sz w:val="18"/>
          <w:szCs w:val="18"/>
          <w:color w:val="auto"/>
        </w:rPr>
        <w:t>43,863</w:t>
      </w:r>
    </w:p>
    <w:p>
      <w:pPr>
        <w:spacing w:after="0" w:line="27" w:lineRule="exact"/>
        <w:rPr>
          <w:sz w:val="20"/>
          <w:szCs w:val="20"/>
          <w:color w:val="auto"/>
        </w:rPr>
      </w:pPr>
    </w:p>
    <w:p>
      <w:pPr>
        <w:jc w:val="both"/>
        <w:ind w:left="680"/>
        <w:spacing w:after="0"/>
        <w:tabs>
          <w:tab w:leader="none" w:pos="2020" w:val="left"/>
        </w:tabs>
        <w:rPr>
          <w:sz w:val="20"/>
          <w:szCs w:val="20"/>
          <w:color w:val="auto"/>
        </w:rPr>
      </w:pPr>
      <w:r>
        <w:rPr>
          <w:rFonts w:ascii="Times New Roman" w:cs="Times New Roman" w:eastAsia="Times New Roman" w:hAnsi="Times New Roman"/>
          <w:sz w:val="18"/>
          <w:szCs w:val="18"/>
          <w:color w:val="auto"/>
        </w:rPr>
        <w:t>3,143</w:t>
      </w:r>
      <w:r>
        <w:rPr>
          <w:sz w:val="20"/>
          <w:szCs w:val="20"/>
          <w:color w:val="auto"/>
        </w:rPr>
        <w:tab/>
      </w:r>
      <w:r>
        <w:rPr>
          <w:rFonts w:ascii="Times New Roman" w:cs="Times New Roman" w:eastAsia="Times New Roman" w:hAnsi="Times New Roman"/>
          <w:sz w:val="18"/>
          <w:szCs w:val="18"/>
          <w:color w:val="auto"/>
        </w:rPr>
        <w:t>3,130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5608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1" w:lineRule="exact"/>
        <w:rPr>
          <w:sz w:val="20"/>
          <w:szCs w:val="20"/>
          <w:color w:val="auto"/>
        </w:rPr>
      </w:pPr>
    </w:p>
    <w:p>
      <w:pPr>
        <w:spacing w:after="0"/>
        <w:tabs>
          <w:tab w:leader="none" w:pos="580" w:val="left"/>
          <w:tab w:leader="none" w:pos="134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82,417</w:t>
        <w:tab/>
        <w:t>$</w:t>
      </w:r>
      <w:r>
        <w:rPr>
          <w:sz w:val="20"/>
          <w:szCs w:val="20"/>
          <w:color w:val="auto"/>
        </w:rPr>
        <w:tab/>
      </w:r>
      <w:r>
        <w:rPr>
          <w:rFonts w:ascii="Times New Roman" w:cs="Times New Roman" w:eastAsia="Times New Roman" w:hAnsi="Times New Roman"/>
          <w:sz w:val="18"/>
          <w:szCs w:val="18"/>
          <w:color w:val="auto"/>
        </w:rPr>
        <w:t>40,733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56083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08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720"/>
            <w:col w:w="2560"/>
          </w:cols>
          <w:pgMar w:left="240" w:top="227" w:right="239" w:bottom="1440" w:gutter="0" w:footer="0" w:header="0"/>
          <w:type w:val="continuous"/>
        </w:sectPr>
      </w:pPr>
    </w:p>
    <w:p>
      <w:pPr>
        <w:spacing w:after="0" w:line="174" w:lineRule="exact"/>
        <w:rPr>
          <w:sz w:val="20"/>
          <w:szCs w:val="20"/>
          <w:color w:val="auto"/>
        </w:rPr>
      </w:pPr>
    </w:p>
    <w:p>
      <w:pPr>
        <w:ind w:left="20" w:right="240" w:firstLine="635"/>
        <w:spacing w:after="0" w:line="281" w:lineRule="auto"/>
        <w:rPr>
          <w:sz w:val="20"/>
          <w:szCs w:val="20"/>
          <w:color w:val="auto"/>
        </w:rPr>
      </w:pPr>
      <w:r>
        <w:rPr>
          <w:rFonts w:ascii="Times New Roman" w:cs="Times New Roman" w:eastAsia="Times New Roman" w:hAnsi="Times New Roman"/>
          <w:sz w:val="17"/>
          <w:szCs w:val="17"/>
          <w:color w:val="auto"/>
        </w:rPr>
        <w:t>The prior years’ provision for unpaid losses and loss adjustment expenses decreased by $4,969 during the three months ended March 31, 2019, compared to an increase of $76 during the three months ended March 31, 2018. Increases and decreases are generally the result of ongoing analysis of loss development trends. As additional information becomes known regarding individual claims, original estimates are increased or decreased accordingly. The decrease for the three months ended March 31, 2019 was primarily attributable to continued favorable development of the Direct Auto book of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80" w:type="dxa"/>
            <w:vAlign w:val="bottom"/>
            <w:gridSpan w:val="4"/>
          </w:tcPr>
          <w:p>
            <w:pPr>
              <w:ind w:left="11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  Estimated 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12,099</w:t>
            </w:r>
          </w:p>
        </w:tc>
        <w:tc>
          <w:tcPr>
            <w:tcW w:w="56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11,911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Furniture and fixtures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Automobiles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cost</w:t>
            </w:r>
          </w:p>
        </w:tc>
        <w:tc>
          <w:tcPr>
            <w:tcW w:w="1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(10,643)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2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$142 and $139 for the three months ended March 31, 2019 and 2018, respectively.</w:t>
      </w: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20" w:right="100" w:firstLine="636"/>
        <w:spacing w:after="0" w:line="261" w:lineRule="auto"/>
        <w:rPr>
          <w:sz w:val="20"/>
          <w:szCs w:val="20"/>
          <w:color w:val="auto"/>
        </w:rPr>
      </w:pPr>
      <w:r>
        <w:rPr>
          <w:rFonts w:ascii="Times New Roman" w:cs="Times New Roman" w:eastAsia="Times New Roman" w:hAnsi="Times New Roman"/>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$324 and $307 during the three months ended March 31, 2019 and 2018, respectively. Royalty amounts payable of $125 and $108 were accrued as a liability to the NDFB at March 31, 2019 and December 31, 2018, respectively.</w:t>
      </w:r>
    </w:p>
    <w:p>
      <w:pPr>
        <w:spacing w:after="0" w:line="72" w:lineRule="exact"/>
        <w:rPr>
          <w:sz w:val="20"/>
          <w:szCs w:val="20"/>
          <w:color w:val="auto"/>
        </w:rPr>
      </w:pPr>
    </w:p>
    <w:p>
      <w:pPr>
        <w:ind w:left="20" w:right="80" w:firstLine="636"/>
        <w:spacing w:after="0" w:line="258"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2018 exceeded the amount of statutory capital and surplus necessary to satisfy regulatory requirements, including the RBC requirements, by a significant margin.</w:t>
      </w:r>
    </w:p>
    <w:p>
      <w:pPr>
        <w:spacing w:after="0" w:line="76" w:lineRule="exact"/>
        <w:rPr>
          <w:sz w:val="20"/>
          <w:szCs w:val="20"/>
          <w:color w:val="auto"/>
        </w:rPr>
      </w:pPr>
    </w:p>
    <w:p>
      <w:pPr>
        <w:ind w:left="20" w:right="40" w:firstLine="636"/>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during 2019 without the prior approval of the North Dakota Insurance Department is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three months ended March 31, 2019 or the year ended December 31, 2018.</w:t>
      </w:r>
    </w:p>
    <w:p>
      <w:pPr>
        <w:spacing w:after="0" w:line="81" w:lineRule="exact"/>
        <w:rPr>
          <w:sz w:val="20"/>
          <w:szCs w:val="20"/>
          <w:color w:val="auto"/>
        </w:rPr>
      </w:pPr>
    </w:p>
    <w:p>
      <w:pPr>
        <w:ind w:left="20" w:right="20" w:firstLine="636"/>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Direct Auto to NI Holdings during 2019 without the prior approval of the Illinois Department of Insurance is $6,653 based upon the statutory net income of Direct Auto for the year ended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three months ended March 31, 2019 or the year ended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7" w:name="page28"/>
    <w:bookmarkEnd w:id="2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the impact of including Battle Creek in our Consolidated Balance Sheets prior to intercompany eliminations: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(overdraft)</w:t>
            </w:r>
          </w:p>
        </w:tc>
        <w:tc>
          <w:tcPr>
            <w:tcW w:w="29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(1)</w:t>
            </w:r>
          </w:p>
        </w:tc>
        <w:tc>
          <w:tcPr>
            <w:tcW w:w="25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23,233</w:t>
            </w: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21,117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5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9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8,362</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premiums</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14,871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tc>
        <w:tc>
          <w:tcPr>
            <w:tcW w:w="25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Reinsurance premiums payable </w:t>
            </w:r>
            <w:r>
              <w:rPr>
                <w:rFonts w:ascii="Times New Roman" w:cs="Times New Roman" w:eastAsia="Times New Roman" w:hAnsi="Times New Roman"/>
                <w:sz w:val="29"/>
                <w:szCs w:val="29"/>
                <w:color w:val="auto"/>
                <w:vertAlign w:val="superscript"/>
              </w:rPr>
              <w:t>(1)</w:t>
            </w:r>
          </w:p>
        </w:tc>
        <w:tc>
          <w:tcPr>
            <w:tcW w:w="2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3,953</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5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25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9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34,461</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Amount eliminated in consolidation.</w:t>
      </w:r>
    </w:p>
    <w:p>
      <w:pPr>
        <w:spacing w:after="0" w:line="333" w:lineRule="exact"/>
        <w:rPr>
          <w:sz w:val="20"/>
          <w:szCs w:val="20"/>
          <w:color w:val="auto"/>
        </w:rPr>
      </w:pPr>
    </w:p>
    <w:p>
      <w:pPr>
        <w:jc w:val="both"/>
        <w:ind w:left="20" w:right="40" w:firstLine="635"/>
        <w:spacing w:after="0" w:line="266" w:lineRule="auto"/>
        <w:rPr>
          <w:sz w:val="20"/>
          <w:szCs w:val="20"/>
          <w:color w:val="auto"/>
        </w:rPr>
      </w:pPr>
      <w:r>
        <w:rPr>
          <w:rFonts w:ascii="Times New Roman" w:cs="Times New Roman" w:eastAsia="Times New Roman" w:hAnsi="Times New Roman"/>
          <w:sz w:val="18"/>
          <w:szCs w:val="18"/>
          <w:color w:val="auto"/>
        </w:rPr>
        <w:t>Total statutory revenues of Battle Creek, after intercompany eliminations, which is limited to net investment income and other income, were $31 and $38, respectively, during the three months ended March 31, 2019 and 2018, respectively. There were no statutory-basis expenses reported, after intercompany eliminations, during the three months ended March 31, 2019 and 2018.</w:t>
      </w:r>
    </w:p>
    <w:p>
      <w:pPr>
        <w:spacing w:after="0" w:line="388"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right="40" w:firstLine="635"/>
        <w:spacing w:after="0" w:line="282" w:lineRule="auto"/>
        <w:rPr>
          <w:sz w:val="20"/>
          <w:szCs w:val="20"/>
          <w:color w:val="auto"/>
        </w:rPr>
      </w:pPr>
      <w:r>
        <w:rPr>
          <w:rFonts w:ascii="Times New Roman" w:cs="Times New Roman" w:eastAsia="Times New Roman" w:hAnsi="Times New Roman"/>
          <w:sz w:val="18"/>
          <w:szCs w:val="18"/>
          <w:color w:val="auto"/>
        </w:rPr>
        <w:t>The Company sponsors a money-purchase plan that covers all eligible employees. Plan costs are funded annually as they are earned. The Company’s contribution expense for the money-purchase plan totaled $199 and $197 during the three months ended March 31, 2019 and 2018, respectively.</w:t>
      </w:r>
    </w:p>
    <w:p>
      <w:pPr>
        <w:spacing w:after="0" w:line="54" w:lineRule="exact"/>
        <w:rPr>
          <w:sz w:val="20"/>
          <w:szCs w:val="20"/>
          <w:color w:val="auto"/>
        </w:rPr>
      </w:pPr>
    </w:p>
    <w:p>
      <w:pPr>
        <w:ind w:left="20" w:right="520" w:firstLine="635"/>
        <w:spacing w:after="0" w:line="266" w:lineRule="auto"/>
        <w:rPr>
          <w:sz w:val="20"/>
          <w:szCs w:val="20"/>
          <w:color w:val="auto"/>
        </w:rPr>
      </w:pPr>
      <w:r>
        <w:rPr>
          <w:rFonts w:ascii="Times New Roman" w:cs="Times New Roman" w:eastAsia="Times New Roman" w:hAnsi="Times New Roman"/>
          <w:sz w:val="18"/>
          <w:szCs w:val="18"/>
          <w:color w:val="auto"/>
        </w:rPr>
        <w:t>The Company also sponsors a 401(k) plan with an automatic contribution to all eligible employees and a matching contribution for eligible employees of 50% up to 3% of eligible compensation. The Company’s contributions expense to the 401(k) plan totaled $139 and $140 during the three months ended March 31, 2019 and 2018, respectively. All fees associated with both plans are deducted from the eligible employee accounts.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ind w:left="20" w:right="180" w:firstLine="635"/>
        <w:spacing w:after="0" w:line="261" w:lineRule="auto"/>
        <w:rPr>
          <w:sz w:val="20"/>
          <w:szCs w:val="20"/>
          <w:color w:val="auto"/>
        </w:rPr>
      </w:pPr>
      <w:r>
        <w:rPr>
          <w:rFonts w:ascii="Times New Roman" w:cs="Times New Roman" w:eastAsia="Times New Roman" w:hAnsi="Times New Roman"/>
          <w:sz w:val="18"/>
          <w:szCs w:val="18"/>
          <w:color w:val="auto"/>
        </w:rPr>
        <w:t>The Board of Directors has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The Company’s expenses included $13 and $13 during the three months ended March 31, 2019 and 2018, respectively.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Ownership Plan</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pacing w:after="0" w:line="13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in March 2017, Nodak Insurance loaned $2,400 to the ESOP’s related trust (the “ESOP Trust”). The ESOP loan will be for a period of ten years and bears interest at the long-term Applicable Federal Rate effective</w:t>
      </w:r>
    </w:p>
    <w:p>
      <w:pPr>
        <w:sectPr>
          <w:pgSz w:w="11900" w:h="16838" w:orient="portrait"/>
          <w:cols w:equalWidth="0" w:num="1">
            <w:col w:w="11420"/>
          </w:cols>
          <w:pgMar w:left="240" w:top="227"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3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and Direct Auto will not participate in the ESOP. American West and Battle Creek have no employees.</w:t>
      </w:r>
    </w:p>
    <w:p>
      <w:pPr>
        <w:spacing w:after="0" w:line="13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4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recognized compensation expense of $94 and $103 during the three months ended March 31, 2019 and 2018, respectively.</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Through March 31, 2019 and December 31, 2018, 48,630 ESOP shares had been released and allocated to participants, with a remainder of 191,370 ESOP shares in suspense at March 31, 2019 and December 31, 2018. Using the Company’s quarter-end market price of $16.00 per share, the fair value of the unearned ESOP shares was $3,062 at March 31, 2019.</w:t>
      </w: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7" w:right="299" w:bottom="1440" w:gutter="0" w:footer="0" w:header="0"/>
        </w:sectPr>
      </w:pPr>
    </w:p>
    <w:bookmarkStart w:id="29" w:name="page30"/>
    <w:bookmarkEnd w:id="2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left="20" w:right="340" w:firstLine="635"/>
        <w:spacing w:after="0" w:line="282" w:lineRule="auto"/>
        <w:rPr>
          <w:sz w:val="20"/>
          <w:szCs w:val="20"/>
          <w:color w:val="auto"/>
        </w:rPr>
      </w:pPr>
      <w:r>
        <w:rPr>
          <w:rFonts w:ascii="Times New Roman" w:cs="Times New Roman" w:eastAsia="Times New Roman" w:hAnsi="Times New Roman"/>
          <w:sz w:val="18"/>
          <w:szCs w:val="18"/>
          <w:color w:val="auto"/>
        </w:rPr>
        <w:t>Nodak Insurance has a $5,000 line of credit with Wells Fargo Bank, N.A., of which there were no outstanding amounts as of March 31, 2019 or December 31, 2018. This line of credit is scheduled to expire on December 31, 2019.</w:t>
      </w:r>
    </w:p>
    <w:p>
      <w:pPr>
        <w:spacing w:after="0" w:line="374"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0" w:right="20" w:firstLine="635"/>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we had no unrecognized tax benefits, no accrued interest and penalties, and no significant uncertain tax positions. No interest and penalties were recognized during the three months ended March 31, 2019 or 2018.</w:t>
      </w:r>
    </w:p>
    <w:p>
      <w:pPr>
        <w:spacing w:after="0" w:line="54" w:lineRule="exact"/>
        <w:rPr>
          <w:sz w:val="20"/>
          <w:szCs w:val="20"/>
          <w:color w:val="auto"/>
        </w:rPr>
      </w:pPr>
    </w:p>
    <w:p>
      <w:pPr>
        <w:jc w:val="both"/>
        <w:ind w:left="20" w:right="220" w:firstLine="636"/>
        <w:spacing w:after="0" w:line="266" w:lineRule="auto"/>
        <w:rPr>
          <w:sz w:val="20"/>
          <w:szCs w:val="20"/>
          <w:color w:val="auto"/>
        </w:rPr>
      </w:pPr>
      <w:r>
        <w:rPr>
          <w:rFonts w:ascii="Times New Roman" w:cs="Times New Roman" w:eastAsia="Times New Roman" w:hAnsi="Times New Roman"/>
          <w:sz w:val="18"/>
          <w:szCs w:val="18"/>
          <w:color w:val="auto"/>
        </w:rPr>
        <w:t>At March 31, 2019 and December 31, 2018, the Company, other than Battle Creek, had no income tax related carryovers for net operating losses, alternative minimum tax credits, or capital losses. Battle Creek, which files its income tax returns on a stand-alone basis, had $4,786 of net operating loss carryover at December 31, 2018. The net operating loss carryforward expires beginning in 2021 through 2030.</w:t>
      </w:r>
    </w:p>
    <w:p>
      <w:pPr>
        <w:spacing w:after="0" w:line="388"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20" w:firstLine="635"/>
        <w:spacing w:after="0" w:line="266" w:lineRule="auto"/>
        <w:rPr>
          <w:sz w:val="20"/>
          <w:szCs w:val="20"/>
          <w:color w:val="auto"/>
        </w:rPr>
      </w:pPr>
      <w:r>
        <w:rPr>
          <w:rFonts w:ascii="Times New Roman" w:cs="Times New Roman" w:eastAsia="Times New Roman" w:hAnsi="Times New Roman"/>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2020. There were expenses of $75 and $15 related to these leases during the three months ended March 31, 2019 and 2018, respectively.</w:t>
      </w:r>
    </w:p>
    <w:p>
      <w:pPr>
        <w:spacing w:after="0" w:line="6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As of March 31, 2019, we have minimum future commitments under non-cancellable leases as follows:</w:t>
            </w: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02"/>
        </w:trPr>
        <w:tc>
          <w:tcPr>
            <w:tcW w:w="5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Estimated Future</w:t>
            </w:r>
          </w:p>
        </w:tc>
      </w:tr>
      <w:tr>
        <w:trPr>
          <w:trHeight w:val="238"/>
        </w:trPr>
        <w:tc>
          <w:tcPr>
            <w:tcW w:w="7560" w:type="dxa"/>
            <w:vAlign w:val="bottom"/>
            <w:gridSpan w:val="2"/>
          </w:tcPr>
          <w:p>
            <w:pPr>
              <w:jc w:val="right"/>
              <w:ind w:right="497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Minimum Commitments</w:t>
            </w:r>
          </w:p>
        </w:tc>
      </w:tr>
      <w:tr>
        <w:trPr>
          <w:trHeight w:val="210"/>
        </w:trPr>
        <w:tc>
          <w:tcPr>
            <w:tcW w:w="50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jc w:val="right"/>
              <w:ind w:right="647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60" w:type="dxa"/>
            <w:vAlign w:val="bottom"/>
          </w:tcPr>
          <w:p>
            <w:pPr>
              <w:jc w:val="right"/>
              <w:ind w:right="6470"/>
              <w:spacing w:after="0"/>
              <w:rPr>
                <w:sz w:val="20"/>
                <w:szCs w:val="20"/>
                <w:color w:val="auto"/>
              </w:rPr>
            </w:pPr>
            <w:r>
              <w:rPr>
                <w:rFonts w:ascii="Times New Roman" w:cs="Times New Roman" w:eastAsia="Times New Roman" w:hAnsi="Times New Roman"/>
                <w:sz w:val="18"/>
                <w:szCs w:val="18"/>
                <w:color w:val="auto"/>
              </w:rPr>
              <w:t>2020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60" w:type="dxa"/>
            <w:vAlign w:val="bottom"/>
            <w:shd w:val="clear" w:color="auto" w:fill="CCEEFF"/>
          </w:tcPr>
          <w:p>
            <w:pPr>
              <w:jc w:val="right"/>
              <w:ind w:right="6470"/>
              <w:spacing w:after="0"/>
              <w:rPr>
                <w:sz w:val="20"/>
                <w:szCs w:val="20"/>
                <w:color w:val="auto"/>
              </w:rPr>
            </w:pPr>
            <w:r>
              <w:rPr>
                <w:rFonts w:ascii="Times New Roman" w:cs="Times New Roman" w:eastAsia="Times New Roman" w:hAnsi="Times New Roman"/>
                <w:sz w:val="18"/>
                <w:szCs w:val="18"/>
                <w:color w:val="auto"/>
              </w:rPr>
              <w:t>2021</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60" w:type="dxa"/>
            <w:vAlign w:val="bottom"/>
          </w:tcPr>
          <w:p>
            <w:pPr>
              <w:jc w:val="right"/>
              <w:ind w:right="6470"/>
              <w:spacing w:after="0"/>
              <w:rPr>
                <w:sz w:val="20"/>
                <w:szCs w:val="20"/>
                <w:color w:val="auto"/>
              </w:rPr>
            </w:pPr>
            <w:r>
              <w:rPr>
                <w:rFonts w:ascii="Times New Roman" w:cs="Times New Roman" w:eastAsia="Times New Roman" w:hAnsi="Times New Roman"/>
                <w:sz w:val="18"/>
                <w:szCs w:val="18"/>
                <w:color w:val="auto"/>
              </w:rPr>
              <w:t>2022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60" w:type="dxa"/>
            <w:vAlign w:val="bottom"/>
            <w:shd w:val="clear" w:color="auto" w:fill="CCEEFF"/>
          </w:tcPr>
          <w:p>
            <w:pPr>
              <w:jc w:val="right"/>
              <w:ind w:right="6470"/>
              <w:spacing w:after="0"/>
              <w:rPr>
                <w:sz w:val="20"/>
                <w:szCs w:val="20"/>
                <w:color w:val="auto"/>
              </w:rPr>
            </w:pPr>
            <w:r>
              <w:rPr>
                <w:rFonts w:ascii="Times New Roman" w:cs="Times New Roman" w:eastAsia="Times New Roman" w:hAnsi="Times New Roman"/>
                <w:sz w:val="18"/>
                <w:szCs w:val="18"/>
                <w:color w:val="auto"/>
              </w:rPr>
              <w:t>2023</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sub-lease portions of our home office building under non-cancellable operating leases.</w:t>
      </w: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left="20" w:right="240" w:firstLine="635"/>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54" w:lineRule="exact"/>
        <w:rPr>
          <w:sz w:val="20"/>
          <w:szCs w:val="20"/>
          <w:color w:val="auto"/>
        </w:rPr>
      </w:pPr>
    </w:p>
    <w:p>
      <w:pPr>
        <w:ind w:left="20" w:right="140" w:firstLine="636"/>
        <w:spacing w:after="0" w:line="282" w:lineRule="auto"/>
        <w:rPr>
          <w:sz w:val="20"/>
          <w:szCs w:val="20"/>
          <w:color w:val="auto"/>
        </w:rPr>
      </w:pPr>
      <w:r>
        <w:rPr>
          <w:rFonts w:ascii="Times New Roman" w:cs="Times New Roman" w:eastAsia="Times New Roman" w:hAnsi="Times New Roman"/>
          <w:sz w:val="18"/>
          <w:szCs w:val="18"/>
          <w:color w:val="auto"/>
        </w:rPr>
        <w:t>The Company does not have any unrecorded or potential contingent liabilities or material commitments requiring the use of assets as of March 31, 2019 or December 31, 2018.</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7" w:right="31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jc w:val="both"/>
        <w:ind w:left="3520" w:right="120" w:firstLine="104"/>
        <w:spacing w:after="0" w:line="290" w:lineRule="auto"/>
        <w:rPr>
          <w:sz w:val="20"/>
          <w:szCs w:val="20"/>
          <w:color w:val="auto"/>
        </w:rPr>
      </w:pPr>
      <w:r>
        <w:rPr>
          <w:rFonts w:ascii="Times New Roman" w:cs="Times New Roman" w:eastAsia="Times New Roman" w:hAnsi="Times New Roman"/>
          <w:sz w:val="17"/>
          <w:szCs w:val="17"/>
          <w:b w:val="1"/>
          <w:bCs w:val="1"/>
          <w:color w:val="auto"/>
        </w:rPr>
        <w:t>Notes to Unaudited Consolidated Financial Statements (dollar amounts in thousands, except per share amounts)</w:t>
      </w:r>
    </w:p>
    <w:p>
      <w:pPr>
        <w:spacing w:after="0" w:line="370"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Treasury shares repurchased through stock repurchase authorization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27305</wp:posOffset>
            </wp:positionV>
            <wp:extent cx="17322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31" w:lineRule="exact"/>
        <w:rPr>
          <w:sz w:val="20"/>
          <w:szCs w:val="20"/>
          <w:color w:val="auto"/>
        </w:rPr>
      </w:pPr>
    </w:p>
    <w:p>
      <w:pPr>
        <w:jc w:val="both"/>
        <w:ind w:left="320"/>
        <w:spacing w:after="0"/>
        <w:tabs>
          <w:tab w:leader="none" w:pos="1760" w:val="left"/>
        </w:tabs>
        <w:rPr>
          <w:sz w:val="20"/>
          <w:szCs w:val="20"/>
          <w:color w:val="auto"/>
        </w:rPr>
      </w:pPr>
      <w:r>
        <w:rPr>
          <w:rFonts w:ascii="Times New Roman" w:cs="Times New Roman" w:eastAsia="Times New Roman" w:hAnsi="Times New Roman"/>
          <w:sz w:val="18"/>
          <w:szCs w:val="18"/>
          <w:color w:val="auto"/>
        </w:rPr>
        <w:t>22,192,894</w:t>
      </w:r>
      <w:r>
        <w:rPr>
          <w:sz w:val="20"/>
          <w:szCs w:val="20"/>
          <w:color w:val="auto"/>
        </w:rPr>
        <w:tab/>
      </w:r>
      <w:r>
        <w:rPr>
          <w:rFonts w:ascii="Times New Roman" w:cs="Times New Roman" w:eastAsia="Times New Roman" w:hAnsi="Times New Roman"/>
          <w:sz w:val="18"/>
          <w:szCs w:val="18"/>
          <w:color w:val="auto"/>
        </w:rPr>
        <w:t>22,337,644</w:t>
      </w:r>
    </w:p>
    <w:p>
      <w:pPr>
        <w:spacing w:after="0" w:line="23" w:lineRule="exact"/>
        <w:rPr>
          <w:sz w:val="20"/>
          <w:szCs w:val="20"/>
          <w:color w:val="auto"/>
        </w:rPr>
      </w:pPr>
    </w:p>
    <w:p>
      <w:pPr>
        <w:ind w:left="2420" w:hanging="1616"/>
        <w:spacing w:after="0"/>
        <w:tabs>
          <w:tab w:leader="none" w:pos="2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16,70515,200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14605</wp:posOffset>
            </wp:positionV>
            <wp:extent cx="17322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 w:lineRule="exact"/>
        <w:rPr>
          <w:sz w:val="20"/>
          <w:szCs w:val="20"/>
          <w:color w:val="auto"/>
        </w:rPr>
      </w:pPr>
    </w:p>
    <w:p>
      <w:pPr>
        <w:jc w:val="both"/>
        <w:ind w:left="320"/>
        <w:spacing w:after="0"/>
        <w:tabs>
          <w:tab w:leader="none" w:pos="1760" w:val="left"/>
        </w:tabs>
        <w:rPr>
          <w:sz w:val="20"/>
          <w:szCs w:val="20"/>
          <w:color w:val="auto"/>
        </w:rPr>
      </w:pPr>
      <w:r>
        <w:rPr>
          <w:rFonts w:ascii="Times New Roman" w:cs="Times New Roman" w:eastAsia="Times New Roman" w:hAnsi="Times New Roman"/>
          <w:sz w:val="18"/>
          <w:szCs w:val="18"/>
          <w:color w:val="auto"/>
        </w:rPr>
        <w:t>22,209,499</w:t>
      </w:r>
      <w:r>
        <w:rPr>
          <w:sz w:val="20"/>
          <w:szCs w:val="20"/>
          <w:color w:val="auto"/>
        </w:rPr>
        <w:tab/>
      </w:r>
      <w:r>
        <w:rPr>
          <w:rFonts w:ascii="Times New Roman" w:cs="Times New Roman" w:eastAsia="Times New Roman" w:hAnsi="Times New Roman"/>
          <w:sz w:val="18"/>
          <w:szCs w:val="18"/>
          <w:color w:val="auto"/>
        </w:rPr>
        <w:t>22,352,844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17145</wp:posOffset>
            </wp:positionV>
            <wp:extent cx="173228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680"/>
          </w:cols>
          <w:pgMar w:left="240" w:top="227" w:right="259" w:bottom="1440" w:gutter="0" w:footer="0" w:header="0"/>
        </w:sectPr>
      </w:pPr>
    </w:p>
    <w:p>
      <w:pPr>
        <w:spacing w:after="0" w:line="28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28, 2018, our Board of Directors approved an authorization for the repurchase of up to approximately $10 million of the Company’s outstanding common stock. We completed the repurchase of 191,265 shares of our common stock for $2,966 during 2018, and an additional 100 shares for $2 during the three months ended March 31, 2019. The cost of this treasury stock is a reduction of Equity within our Consolidated Balance Sheet.</w:t>
      </w:r>
    </w:p>
    <w:p>
      <w:pPr>
        <w:spacing w:after="0" w:line="200" w:lineRule="exact"/>
        <w:rPr>
          <w:sz w:val="20"/>
          <w:szCs w:val="20"/>
          <w:color w:val="auto"/>
        </w:rPr>
      </w:pPr>
    </w:p>
    <w:p>
      <w:pPr>
        <w:spacing w:after="0" w:line="350"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were based on salary and generally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(dollar amounts in thousands, except per share amounts)</w:t>
      </w:r>
    </w:p>
    <w:p>
      <w:pPr>
        <w:sectPr>
          <w:pgSz w:w="11900" w:h="16838" w:orient="portrait"/>
          <w:cols w:equalWidth="0" w:num="1">
            <w:col w:w="11420"/>
          </w:cols>
          <w:pgMar w:left="240" w:top="227"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outstanding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2018</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2019</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Units outstanding and unearned at March 31, 2019</w:t>
      </w: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52"/>
        </w:trPr>
        <w:tc>
          <w:tcPr>
            <w:tcW w:w="14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191"/>
        </w:trPr>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65,500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17.31</w:t>
            </w:r>
          </w:p>
        </w:tc>
        <w:tc>
          <w:tcPr>
            <w:tcW w:w="20" w:type="dxa"/>
            <w:vAlign w:val="bottom"/>
          </w:tcPr>
          <w:p>
            <w:pPr>
              <w:spacing w:after="0"/>
              <w:rPr>
                <w:sz w:val="16"/>
                <w:szCs w:val="16"/>
                <w:color w:val="auto"/>
              </w:rPr>
            </w:pPr>
          </w:p>
        </w:tc>
      </w:tr>
      <w:tr>
        <w:trPr>
          <w:trHeight w:val="216"/>
        </w:trPr>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r>
      <w:tr>
        <w:trPr>
          <w:trHeight w:val="248"/>
        </w:trPr>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(31,620)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16.99</w:t>
            </w:r>
          </w:p>
        </w:tc>
      </w:tr>
      <w:tr>
        <w:trPr>
          <w:trHeight w:val="210"/>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73,880</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16.87</w:t>
            </w:r>
          </w:p>
        </w:tc>
      </w:tr>
      <w:tr>
        <w:trPr>
          <w:trHeight w:val="407"/>
        </w:trPr>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15.21</w:t>
            </w:r>
          </w:p>
        </w:tc>
      </w:tr>
      <w:tr>
        <w:trPr>
          <w:trHeight w:val="248"/>
        </w:trPr>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(26,940)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16.23</w:t>
            </w:r>
          </w:p>
        </w:tc>
      </w:tr>
      <w:tr>
        <w:trPr>
          <w:trHeight w:val="223"/>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88,540</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16.29</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9" w:lineRule="exact"/>
        <w:rPr>
          <w:sz w:val="20"/>
          <w:szCs w:val="20"/>
          <w:color w:val="auto"/>
        </w:rPr>
      </w:pPr>
    </w:p>
    <w:p>
      <w:pPr>
        <w:sectPr>
          <w:pgSz w:w="11900" w:h="16838" w:orient="portrait"/>
          <w:cols w:equalWidth="0" w:num="2">
            <w:col w:w="7720" w:space="720"/>
            <w:col w:w="2980"/>
          </w:cols>
          <w:pgMar w:left="240" w:top="227" w:right="23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4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12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2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6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At March 31, 2019, there was $977 of unrecognized compensation cost related to outstanding RSUs. That cost is expected to be recognized over a weighted-average period of 3.89 years.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4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Company’s outstanding performance share units is presented below:</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Grant-Date</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52"/>
        </w:trPr>
        <w:tc>
          <w:tcPr>
            <w:tcW w:w="8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2018</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2018 (at target)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December 31, 2018</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granted during 2019 (at target)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Units outstanding at March 31, 2019</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impact of PSU activity to the Company’s financial results:</w:t>
            </w: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net of income taxes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4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March 31, 2019, there was $1,603 of unrecognized compensation cost related to outstanding PSUs. That cost is expected to be recognized over a weighted-average period of 2.30 years.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33" w:name="page34"/>
    <w:bookmarkEnd w:id="3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68" w:lineRule="exact"/>
        <w:rPr>
          <w:sz w:val="20"/>
          <w:szCs w:val="20"/>
          <w:color w:val="auto"/>
        </w:rPr>
      </w:pPr>
    </w:p>
    <w:p>
      <w:pPr>
        <w:ind w:left="540" w:hanging="532"/>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60" w:firstLine="636"/>
        <w:spacing w:after="0" w:line="261" w:lineRule="auto"/>
        <w:rPr>
          <w:sz w:val="20"/>
          <w:szCs w:val="20"/>
          <w:color w:val="auto"/>
        </w:rPr>
      </w:pPr>
      <w:r>
        <w:rPr>
          <w:rFonts w:ascii="Times New Roman" w:cs="Times New Roman" w:eastAsia="Times New Roman" w:hAnsi="Times New Roman"/>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22,228,630 and 22,361,757, respectively, during the three months ended March 31, 2019 and 2018, respectively.</w:t>
      </w:r>
    </w:p>
    <w:p>
      <w:pPr>
        <w:spacing w:after="0" w:line="72" w:lineRule="exact"/>
        <w:rPr>
          <w:sz w:val="20"/>
          <w:szCs w:val="20"/>
          <w:color w:val="auto"/>
        </w:rPr>
      </w:pPr>
    </w:p>
    <w:p>
      <w:pPr>
        <w:ind w:right="160" w:firstLine="636"/>
        <w:spacing w:after="0" w:line="282" w:lineRule="auto"/>
        <w:rPr>
          <w:sz w:val="20"/>
          <w:szCs w:val="20"/>
          <w:color w:val="auto"/>
        </w:rPr>
      </w:pPr>
      <w:r>
        <w:rPr>
          <w:rFonts w:ascii="Times New Roman" w:cs="Times New Roman" w:eastAsia="Times New Roman" w:hAnsi="Times New Roman"/>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5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we used in the basic and diluted per share computations for our common stock: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020" w:type="dxa"/>
            <w:vAlign w:val="bottom"/>
            <w:gridSpan w:val="2"/>
            <w:vMerge w:val="continue"/>
          </w:tcPr>
          <w:p>
            <w:pPr>
              <w:spacing w:after="0"/>
              <w:rPr>
                <w:sz w:val="16"/>
                <w:szCs w:val="16"/>
                <w:color w:val="auto"/>
              </w:rPr>
            </w:pPr>
          </w:p>
        </w:tc>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13,773</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vMerge w:val="continue"/>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22,228,630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22,361,757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5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Borders>
              <w:bottom w:val="single" w:sz="8" w:color="CCEEFF"/>
            </w:tcBorders>
            <w:vMerge w:val="continue"/>
          </w:tcPr>
          <w:p>
            <w:pPr>
              <w:spacing w:after="0"/>
              <w:rPr>
                <w:sz w:val="20"/>
                <w:szCs w:val="20"/>
                <w:color w:val="auto"/>
              </w:rPr>
            </w:pPr>
          </w:p>
        </w:tc>
        <w:tc>
          <w:tcPr>
            <w:tcW w:w="35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Numerator:</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13,773</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22,228,630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22,361,757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Restricted stock units and performance share units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35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22,374,056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5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vMerge w:val="continue"/>
          </w:tcPr>
          <w:p>
            <w:pPr>
              <w:spacing w:after="0"/>
              <w:rPr>
                <w:sz w:val="17"/>
                <w:szCs w:val="17"/>
                <w:color w:val="auto"/>
              </w:rPr>
            </w:pPr>
          </w:p>
        </w:tc>
        <w:tc>
          <w:tcPr>
            <w:tcW w:w="35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56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7" w:right="239" w:bottom="1440" w:gutter="0" w:footer="0" w:header="0"/>
        </w:sectPr>
      </w:pPr>
    </w:p>
    <w:bookmarkStart w:id="34" w:name="page35"/>
    <w:bookmarkEnd w:id="3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80" w:hanging="672"/>
        <w:spacing w:after="0"/>
        <w:tabs>
          <w:tab w:leader="none" w:pos="6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three months ended March 31, 2019 and 2018. For presentation in these tables, “LAE” refers to loss adjustment expenses.</w:t>
      </w:r>
    </w:p>
    <w:p>
      <w:pPr>
        <w:spacing w:after="0" w:line="14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35"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35" w:name="page36"/>
    <w:bookmarkEnd w:id="3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Passenger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Crop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premiums earned</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LAE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LAE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LAE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losses and LAE</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Underwriting gain (loss)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0</wp:posOffset>
            </wp:positionV>
            <wp:extent cx="660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9" w:lineRule="exact"/>
        <w:rPr>
          <w:sz w:val="20"/>
          <w:szCs w:val="20"/>
          <w:color w:val="auto"/>
        </w:rPr>
      </w:pPr>
    </w:p>
    <w:p>
      <w:pPr>
        <w:jc w:val="right"/>
        <w:ind w:right="7299"/>
        <w:spacing w:after="0"/>
        <w:rPr>
          <w:sz w:val="20"/>
          <w:szCs w:val="20"/>
          <w:color w:val="auto"/>
        </w:rPr>
      </w:pPr>
      <w:r>
        <w:rPr>
          <w:rFonts w:ascii="Times New Roman" w:cs="Times New Roman" w:eastAsia="Times New Roman" w:hAnsi="Times New Roman"/>
          <w:sz w:val="18"/>
          <w:szCs w:val="18"/>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jc w:val="right"/>
        <w:ind w:right="7279"/>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1,743</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7,859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17,644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3,848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1" w:lineRule="exact"/>
        <w:rPr>
          <w:sz w:val="20"/>
          <w:szCs w:val="20"/>
          <w:color w:val="auto"/>
        </w:rPr>
      </w:pPr>
    </w:p>
    <w:p>
      <w:pPr>
        <w:ind w:left="521" w:hanging="521"/>
        <w:spacing w:after="0"/>
        <w:tabs>
          <w:tab w:leader="none" w:pos="5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13,773</w:t>
      </w:r>
    </w:p>
    <w:p>
      <w:pPr>
        <w:spacing w:after="0" w:line="27" w:lineRule="exact"/>
        <w:rPr>
          <w:sz w:val="20"/>
          <w:szCs w:val="20"/>
          <w:color w:val="auto"/>
        </w:rPr>
      </w:pPr>
    </w:p>
    <w:p>
      <w:pPr>
        <w:sectPr>
          <w:pgSz w:w="11900" w:h="16838" w:orient="portrait"/>
          <w:cols w:equalWidth="0" w:num="2">
            <w:col w:w="9579" w:space="720"/>
            <w:col w:w="1121"/>
          </w:cols>
          <w:pgMar w:left="240" w:top="227"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Ratios: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and LAE ratio</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 ratio</w:t>
            </w:r>
          </w:p>
        </w:tc>
        <w:tc>
          <w:tcPr>
            <w:tcW w:w="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Combined ratio</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2019:</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9,978</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3,925</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4,816</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5,452</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Corporation</w:t>
            </w:r>
          </w:p>
        </w:tc>
        <w:tc>
          <w:tcPr>
            <w:tcW w:w="6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14,282</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Unpaid losses and LAE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17,737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46,641</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12,061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premiums</w:t>
            </w:r>
          </w:p>
        </w:tc>
        <w:tc>
          <w:tcPr>
            <w:tcW w:w="6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27,110</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18,845</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37,476</w:t>
            </w:r>
          </w:p>
        </w:tc>
        <w:tc>
          <w:tcPr>
            <w:tcW w:w="4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88,171</w:t>
            </w: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7"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Passenger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Farm</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premiums earned</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LAE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LAE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LAE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losses and LAE</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Underwriting gain (loss)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0</wp:posOffset>
            </wp:positionV>
            <wp:extent cx="660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1,369</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1,449</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43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1" w:lineRule="exact"/>
        <w:rPr>
          <w:sz w:val="20"/>
          <w:szCs w:val="20"/>
          <w:color w:val="auto"/>
        </w:rPr>
      </w:pPr>
    </w:p>
    <w:p>
      <w:pPr>
        <w:ind w:left="601" w:hanging="601"/>
        <w:spacing w:after="0"/>
        <w:tabs>
          <w:tab w:leader="none" w:pos="6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6,122</w:t>
      </w:r>
    </w:p>
    <w:p>
      <w:pPr>
        <w:spacing w:after="0" w:line="27" w:lineRule="exact"/>
        <w:rPr>
          <w:sz w:val="20"/>
          <w:szCs w:val="20"/>
          <w:color w:val="auto"/>
        </w:rPr>
      </w:pPr>
    </w:p>
    <w:p>
      <w:pPr>
        <w:sectPr>
          <w:pgSz w:w="11900" w:h="16838" w:orient="portrait"/>
          <w:cols w:equalWidth="0" w:num="2">
            <w:col w:w="9579" w:space="720"/>
            <w:col w:w="1121"/>
          </w:cols>
          <w:pgMar w:left="240" w:top="227"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Ratios: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and LAE ratio</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 ratio</w:t>
            </w:r>
          </w:p>
        </w:tc>
        <w:tc>
          <w:tcPr>
            <w:tcW w:w="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46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Combined ratio</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2018:</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16,043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8,393</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3,481</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c>
          <w:tcPr>
            <w:tcW w:w="46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Corporation</w:t>
            </w:r>
          </w:p>
        </w:tc>
        <w:tc>
          <w:tcPr>
            <w:tcW w:w="6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9,735</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Unpaid losses and LAE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5,339</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10,124</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160</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premiums</w:t>
            </w:r>
          </w:p>
        </w:tc>
        <w:tc>
          <w:tcPr>
            <w:tcW w:w="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25,380</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1,981</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33,528</w:t>
            </w:r>
          </w:p>
        </w:tc>
        <w:tc>
          <w:tcPr>
            <w:tcW w:w="46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7"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3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Consolidated Statement of Operations or Consolidated Balance Sheet line items to our operating segments. Those line items include investment income, net capital gain on investments, other income excluding non-standard auto insurance fees, and income taxes within the Consolidated Statement of Operations. For the Consolidated Balance Sheet, those items include cash and investments, property and equipment, other assets, accrued expenses, federal income taxes recoverable or payable, and equity.</w:t>
      </w:r>
    </w:p>
    <w:p>
      <w:pPr>
        <w:spacing w:after="0" w:line="392"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evaluated subsequent events through May 8, 2019, the date these consolidated financial statements were available for issuance.</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27" w:right="339" w:bottom="1440" w:gutter="0" w:footer="0" w:header="0"/>
        </w:sectPr>
      </w:pPr>
    </w:p>
    <w:bookmarkStart w:id="38" w:name="page39"/>
    <w:bookmarkEnd w:id="3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dollar amounts included in Item 2 herein are in thousands.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consolidated financial statements of NI Holdings include the financial position and results of operations of NI Holdings and six other entities:</w:t>
      </w:r>
    </w:p>
    <w:p>
      <w:pPr>
        <w:spacing w:after="0" w:line="27"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 a wholly-owned subsidiary of NI Holdings;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Inc. – a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 a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 an indirect wholly-owned subsidiary of Nodak Insurance;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 an affiliated company of Nodak Insurance;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 a wholly-owned subsidiary of NI Holdings.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Battle Creek is managed by Nodak Insurance, and Nodak Insurance reinsures 100% of the risk on all insurance policies issued by Battle Creek.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16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August 31, 2018, NI Holdings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Direct Auto remains headquartered in Chicago, Illinois and the current president of Direct Auto continues to manage the Direct Auto insurance operations along with the staff and management team in place at the time of acquisition. The results of Direct Auto are included as part of the Company’s non-standard auto business segment following the closing date.</w:t>
      </w:r>
    </w:p>
    <w:p>
      <w:pPr>
        <w:spacing w:after="0" w:line="15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Nodak Insurance and Battle Creek are rated “A” by A.M. Best, which is the third highest out of a possible 15 ratings. American West is rated “A-”. Primero and Direct Auto are unrated.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7" w:right="279" w:bottom="1440" w:gutter="0" w:footer="0" w:header="0"/>
        </w:sectPr>
      </w:pPr>
    </w:p>
    <w:bookmarkStart w:id="39" w:name="page40"/>
    <w:bookmarkEnd w:id="39"/>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chart of the corporate structure follows: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0" w:type="dxa"/>
            <w:vAlign w:val="bottom"/>
            <w:tcBorders>
              <w:top w:val="single" w:sz="8" w:color="auto"/>
              <w:left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6"/>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80" w:type="dxa"/>
            <w:vAlign w:val="bottom"/>
            <w:gridSpan w:val="7"/>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ORGANIZATIONAL CHART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6"/>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6"/>
          </w:tcPr>
          <w:p>
            <w:pPr>
              <w:jc w:val="center"/>
              <w:ind w:right="1540"/>
              <w:spacing w:after="0"/>
              <w:rPr>
                <w:sz w:val="20"/>
                <w:szCs w:val="20"/>
                <w:color w:val="auto"/>
              </w:rPr>
            </w:pPr>
            <w:r>
              <w:rPr>
                <w:rFonts w:ascii="Times New Roman" w:cs="Times New Roman" w:eastAsia="Times New Roman" w:hAnsi="Times New Roman"/>
                <w:sz w:val="18"/>
                <w:szCs w:val="18"/>
                <w:color w:val="auto"/>
              </w:rPr>
              <w:t>Nodak Mutual Group, Inc.</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 55%</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ownership</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NI Holdings, Inc.</w:t>
            </w: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0" w:type="dxa"/>
            <w:vAlign w:val="bottom"/>
            <w:tcBorders>
              <w:lef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right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ownership</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6"/>
          </w:tcPr>
          <w:p>
            <w:pPr>
              <w:jc w:val="center"/>
              <w:ind w:right="1540"/>
              <w:spacing w:after="0"/>
              <w:rPr>
                <w:sz w:val="20"/>
                <w:szCs w:val="20"/>
                <w:color w:val="auto"/>
              </w:rPr>
            </w:pPr>
            <w:r>
              <w:rPr>
                <w:rFonts w:ascii="Times New Roman" w:cs="Times New Roman" w:eastAsia="Times New Roman" w:hAnsi="Times New Roman"/>
                <w:sz w:val="18"/>
                <w:szCs w:val="18"/>
                <w:color w:val="auto"/>
                <w:w w:val="99"/>
              </w:rPr>
              <w:t>Nodak Insurance Company</w:t>
            </w:r>
          </w:p>
        </w:tc>
        <w:tc>
          <w:tcPr>
            <w:tcW w:w="260" w:type="dxa"/>
            <w:vAlign w:val="bottom"/>
            <w:tcBorders>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500" w:type="dxa"/>
            <w:vAlign w:val="bottom"/>
            <w:tcBorders>
              <w:left w:val="single" w:sz="8" w:color="auto"/>
              <w:right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ownership</w:t>
            </w:r>
          </w:p>
        </w:tc>
        <w:tc>
          <w:tcPr>
            <w:tcW w:w="1320" w:type="dxa"/>
            <w:vAlign w:val="bottom"/>
            <w:gridSpan w:val="2"/>
          </w:tcPr>
          <w:p>
            <w:pPr>
              <w:spacing w:after="0"/>
              <w:rPr>
                <w:sz w:val="20"/>
                <w:szCs w:val="20"/>
                <w:color w:val="auto"/>
              </w:rPr>
            </w:pPr>
          </w:p>
        </w:tc>
        <w:tc>
          <w:tcPr>
            <w:tcW w:w="1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ownership</w:t>
            </w:r>
          </w:p>
        </w:tc>
        <w:tc>
          <w:tcPr>
            <w:tcW w:w="46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Affiliation</w:t>
            </w:r>
          </w:p>
        </w:tc>
        <w:tc>
          <w:tcPr>
            <w:tcW w:w="1360" w:type="dxa"/>
            <w:vAlign w:val="bottom"/>
            <w:gridSpan w:val="2"/>
          </w:tcPr>
          <w:p>
            <w:pPr>
              <w:spacing w:after="0"/>
              <w:rPr>
                <w:sz w:val="20"/>
                <w:szCs w:val="20"/>
                <w:color w:val="auto"/>
              </w:rPr>
            </w:pPr>
          </w:p>
        </w:tc>
        <w:tc>
          <w:tcPr>
            <w:tcW w:w="13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0" w:type="dxa"/>
            <w:vAlign w:val="bottom"/>
            <w:tcBorders>
              <w:left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Nodak Agency, Inc.</w:t>
            </w:r>
          </w:p>
        </w:tc>
        <w:tc>
          <w:tcPr>
            <w:tcW w:w="260" w:type="dxa"/>
            <w:vAlign w:val="bottom"/>
            <w:tcBorders>
              <w:right w:val="single" w:sz="8" w:color="auto"/>
            </w:tcBorders>
          </w:tcPr>
          <w:p>
            <w:pPr>
              <w:spacing w:after="0"/>
              <w:rPr>
                <w:sz w:val="16"/>
                <w:szCs w:val="16"/>
                <w:color w:val="auto"/>
              </w:rPr>
            </w:pPr>
          </w:p>
        </w:tc>
        <w:tc>
          <w:tcPr>
            <w:tcW w:w="3060" w:type="dxa"/>
            <w:vAlign w:val="bottom"/>
            <w:tcBorders>
              <w:top w:val="single" w:sz="8" w:color="auto"/>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260" w:type="dxa"/>
            <w:vAlign w:val="bottom"/>
            <w:tcBorders>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Battle Creek Mutual</w:t>
            </w:r>
          </w:p>
        </w:tc>
        <w:tc>
          <w:tcPr>
            <w:tcW w:w="260" w:type="dxa"/>
            <w:vAlign w:val="bottom"/>
            <w:tcBorders>
              <w:right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Tri-State, Ltd</w:t>
            </w:r>
          </w:p>
        </w:tc>
        <w:tc>
          <w:tcPr>
            <w:tcW w:w="640" w:type="dxa"/>
            <w:vAlign w:val="bottom"/>
            <w:tcBorders>
              <w:top w:val="single" w:sz="8" w:color="auto"/>
              <w:righ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Borders>
              <w:right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Insurance Company</w:t>
            </w: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Primero Insurance Company</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80" w:type="dxa"/>
            <w:vAlign w:val="bottom"/>
          </w:tcPr>
          <w:p>
            <w:pPr>
              <w:spacing w:after="0"/>
              <w:rPr>
                <w:sz w:val="24"/>
                <w:szCs w:val="24"/>
                <w:color w:val="auto"/>
              </w:rPr>
            </w:pPr>
          </w:p>
        </w:tc>
        <w:tc>
          <w:tcPr>
            <w:tcW w:w="11200" w:type="dxa"/>
            <w:vAlign w:val="bottom"/>
            <w:gridSpan w:val="19"/>
          </w:tcPr>
          <w:p>
            <w:pPr>
              <w:ind w:left="380"/>
              <w:spacing w:after="0"/>
              <w:rPr>
                <w:sz w:val="20"/>
                <w:szCs w:val="20"/>
                <w:color w:val="auto"/>
              </w:rPr>
            </w:pPr>
            <w:r>
              <w:rPr>
                <w:rFonts w:ascii="Times New Roman" w:cs="Times New Roman" w:eastAsia="Times New Roman" w:hAnsi="Times New Roman"/>
                <w:sz w:val="18"/>
                <w:szCs w:val="18"/>
                <w:color w:val="auto"/>
              </w:rPr>
              <w:t>The following tables provide selected amounts from the Company’s Unaudited Consolidated Statements of Operations and Balance Sheets.</w:t>
            </w:r>
          </w:p>
        </w:tc>
        <w:tc>
          <w:tcPr>
            <w:tcW w:w="0" w:type="dxa"/>
            <w:vAlign w:val="bottom"/>
          </w:tcPr>
          <w:p>
            <w:pPr>
              <w:spacing w:after="0"/>
              <w:rPr>
                <w:sz w:val="1"/>
                <w:szCs w:val="1"/>
                <w:color w:val="auto"/>
              </w:rPr>
            </w:pPr>
          </w:p>
        </w:tc>
      </w:tr>
      <w:tr>
        <w:trPr>
          <w:trHeight w:val="234"/>
        </w:trPr>
        <w:tc>
          <w:tcPr>
            <w:tcW w:w="4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information can be found later in this section.</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10"/>
        </w:trPr>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written</w:t>
            </w:r>
          </w:p>
        </w:tc>
        <w:tc>
          <w:tcPr>
            <w:tcW w:w="15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55,653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50,506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lef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non-controlling interest</w:t>
            </w:r>
          </w:p>
        </w:tc>
        <w:tc>
          <w:tcPr>
            <w:tcW w:w="46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13,796</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477,287</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w:t>
            </w: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293,455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275,753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Marketplace Conditions and Trends</w:t>
      </w:r>
    </w:p>
    <w:p>
      <w:pPr>
        <w:spacing w:after="0" w:line="18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generally in a stable phase as different portions of the market respond to higher frequency and severity of weather-related events.</w:t>
      </w:r>
    </w:p>
    <w:p>
      <w:pPr>
        <w:spacing w:after="0" w:line="14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Unlike property and casualty insurance, the total crop insurance premiums written each year vary mainly based on prevailing commodity prices for the type of crops insured,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80"/>
          </w:cols>
          <w:pgMar w:left="240" w:top="216" w:right="179" w:bottom="1440" w:gutter="0" w:footer="0" w:header="0"/>
        </w:sectPr>
      </w:pPr>
    </w:p>
    <w:bookmarkStart w:id="40" w:name="page41"/>
    <w:bookmarkEnd w:id="40"/>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Revenue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derives its revenue primarily from net premiums earned, net investment income, and net capital gain (loss) on investments.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Gross and net premiums written</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earned</w:t>
      </w:r>
    </w:p>
    <w:p>
      <w:pPr>
        <w:spacing w:after="0" w:line="20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an annual policy that is written on July 1, 2019, one-half of the premiums would be earned in 2019 and the other half would be earned in 2020.</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 and net capital gain (loss) on investments</w:t>
      </w:r>
    </w:p>
    <w:p>
      <w:pPr>
        <w:spacing w:after="0" w:line="2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NI Holdings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4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Beginning in 2019, in accordance with a change in accounting principle, changes in unrealized gains and losses on the Company’s investments in equity securities are included in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Unrealized gains and losses on fixed income securities continue to be recorded in Other Comprehensive Income. The new accounting treatment has no effect on Equity.</w:t>
      </w:r>
    </w:p>
    <w:p>
      <w:pPr>
        <w:spacing w:after="0" w:line="14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NI Holdings’ portfolio of investments is managed by Conning, Inc., Disciplined Growth Investors, and CIBC Personal Wealth Management. These investment managers have discretion to buy and sell securities in accordance with the investment policy approved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Expense Items</w:t>
      </w:r>
    </w:p>
    <w:p>
      <w:pPr>
        <w:spacing w:after="0" w:line="20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NI Holdings’ expenses consist primarily of losses and loss adjustment expenses (“LAE”), amortization of deferred policy acquisition costs, other underwriting and general expenses, and income taxes.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41" w:name="page42"/>
    <w:bookmarkEnd w:id="41"/>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Losses and Loss Adjustment Expenses</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 and other underwriting and general expenses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Expenses incurred to underwrite risks are referred to as policy acquisition costs.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4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and LAE ratio</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20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Combined ratio</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written</w:t>
      </w:r>
    </w:p>
    <w:p>
      <w:pPr>
        <w:spacing w:after="0" w:line="18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statement of operations matches the amount of premium to the period of risk for those insurance policies. The Company’s insurance policies are sold with a variety of effective periods, including annual, semi-annual, and monthly.</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2" w:name="page43"/>
    <w:bookmarkEnd w:id="42"/>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written to statutory surplus ratio</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is theoretically using its capacity to write more policies. Statutory surplus is determined using accounting principles prescribed or permitted by the insurance subsidiaries’ state of domicile and differs from GAAP equity.</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gain (loss)</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 (loss) and return on average equity</w:t>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Unpaid Losses and Loss Adjustment Expenses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How reserves are established</w:t>
      </w:r>
    </w:p>
    <w:p>
      <w:pPr>
        <w:spacing w:after="0" w:line="18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5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4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3" w:name="page44"/>
    <w:bookmarkEnd w:id="43"/>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3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would vary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 Holdings accrues its ultimate liability for unpaid losses and LAE by using the following actuarial methodologies:</w:t>
      </w:r>
    </w:p>
    <w:p>
      <w:pPr>
        <w:spacing w:after="0" w:line="18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Bornhuetter-Ferguson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Bornhuetter-Ferguson Method is a blended method that explicitly takes into account both actual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Paid and Case Incurred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Paid and Case Incurred Loss Development Method utilizes ratios of cumulative paid or case incurred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or LAE at each age of development as a percent of the preceding development age. Selected 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15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Ratio of Paid ALAE to Paid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method utilizes the ratio of paid allocated loss adjustment expense (“ALAE”) to paid losses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4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4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57" w:lineRule="exact"/>
        <w:rPr>
          <w:sz w:val="20"/>
          <w:szCs w:val="20"/>
          <w:color w:val="auto"/>
        </w:rPr>
      </w:pPr>
    </w:p>
    <w:p>
      <w:pPr>
        <w:ind w:left="660" w:right="540"/>
        <w:spacing w:after="0" w:line="454" w:lineRule="auto"/>
        <w:rPr>
          <w:sz w:val="20"/>
          <w:szCs w:val="20"/>
          <w:color w:val="auto"/>
        </w:rPr>
      </w:pPr>
      <w:r>
        <w:rPr>
          <w:rFonts w:ascii="Times New Roman" w:cs="Times New Roman" w:eastAsia="Times New Roman" w:hAnsi="Times New Roman"/>
          <w:sz w:val="18"/>
          <w:szCs w:val="18"/>
          <w:color w:val="auto"/>
        </w:rPr>
        <w:t xml:space="preserve">Other factors that have or can have an impact on the Company’s case and IBNR reserves include but are not limited to those described below. </w:t>
      </w:r>
      <w:r>
        <w:rPr>
          <w:rFonts w:ascii="Times New Roman" w:cs="Times New Roman" w:eastAsia="Times New Roman" w:hAnsi="Times New Roman"/>
          <w:sz w:val="18"/>
          <w:szCs w:val="18"/>
          <w:u w:val="single" w:color="auto"/>
          <w:color w:val="auto"/>
        </w:rPr>
        <w:t>Changes in liability law and public attitudes regarding damage awards</w:t>
      </w: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44" w:name="page45"/>
    <w:bookmarkEnd w:id="44"/>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legal changes and, therefore, could prove to be inadequate for the ultimate losses paid by the Company, causing the Company to experience adverse development and higher loss payments in future years.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 in claims handling and/or setting case reserves</w:t>
      </w:r>
    </w:p>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Economic inflation</w:t>
      </w:r>
    </w:p>
    <w:p>
      <w:pPr>
        <w:spacing w:after="0" w:line="18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Increases or decreases in claim severity for reasons other than inflation</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Actual settlement experience different from historical data trends</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 in Reporting Lag</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5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45" w:name="page46"/>
    <w:bookmarkEnd w:id="45"/>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Actuarial Loss Reserves</w:t>
            </w: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NI Holdings’ liabilities for unpaid losses and LAE are summarized below:</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240" w:type="dxa"/>
            <w:vAlign w:val="bottom"/>
          </w:tcPr>
          <w:p>
            <w:pPr>
              <w:spacing w:after="0"/>
              <w:rPr>
                <w:sz w:val="24"/>
                <w:szCs w:val="24"/>
                <w:color w:val="auto"/>
              </w:rPr>
            </w:pPr>
          </w:p>
        </w:tc>
        <w:tc>
          <w:tcPr>
            <w:tcW w:w="4180" w:type="dxa"/>
            <w:vAlign w:val="bottom"/>
            <w:gridSpan w:val="7"/>
          </w:tcPr>
          <w:p>
            <w:pPr>
              <w:ind w:left="1200"/>
              <w:spacing w:after="0"/>
              <w:rPr>
                <w:sz w:val="20"/>
                <w:szCs w:val="20"/>
                <w:color w:val="auto"/>
              </w:rPr>
            </w:pPr>
            <w:r>
              <w:rPr>
                <w:rFonts w:ascii="Times New Roman" w:cs="Times New Roman" w:eastAsia="Times New Roman" w:hAnsi="Times New Roman"/>
                <w:sz w:val="18"/>
                <w:szCs w:val="18"/>
                <w:b w:val="1"/>
                <w:bCs w:val="1"/>
                <w:color w:val="auto"/>
              </w:rPr>
              <w:t>March 31, 2019  December 31, 2018</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 reserves</w:t>
            </w:r>
          </w:p>
        </w:tc>
        <w:tc>
          <w:tcPr>
            <w:tcW w:w="1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IBNR reserves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5,510</w:t>
            </w: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9,940</w:t>
            </w:r>
          </w:p>
        </w:tc>
      </w:tr>
      <w:tr>
        <w:trPr>
          <w:trHeight w:val="210"/>
        </w:trPr>
        <w:tc>
          <w:tcPr>
            <w:tcW w:w="7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1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82,417</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w:t>
            </w: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r>
      <w:tr>
        <w:trPr>
          <w:trHeight w:val="223"/>
        </w:trPr>
        <w:tc>
          <w:tcPr>
            <w:tcW w:w="7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case and IBNR reserves for unpaid losses and LAE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5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Case Reserves</w:t>
            </w: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IBNR Reserves</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Total Reserves</w:t>
            </w:r>
          </w:p>
        </w:tc>
        <w:tc>
          <w:tcPr>
            <w:tcW w:w="100" w:type="dxa"/>
            <w:vAlign w:val="bottom"/>
            <w:gridSpan w:val="2"/>
          </w:tcPr>
          <w:p>
            <w:pPr>
              <w:spacing w:after="0"/>
              <w:rPr>
                <w:sz w:val="19"/>
                <w:szCs w:val="19"/>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passenger auto</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Non-standard auto</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46,641</w:t>
            </w: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and farm</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11,145</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Crop</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8"/>
                <w:szCs w:val="18"/>
                <w:color w:val="auto"/>
              </w:rPr>
            </w:pPr>
          </w:p>
        </w:tc>
      </w:tr>
      <w:tr>
        <w:trPr>
          <w:trHeight w:val="23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r>
      <w:tr>
        <w:trPr>
          <w:trHeight w:val="21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shd w:val="clear" w:color="auto" w:fill="CCEEFF"/>
          </w:tcPr>
          <w:p>
            <w:pPr>
              <w:spacing w:after="0"/>
              <w:rPr>
                <w:sz w:val="19"/>
                <w:szCs w:val="19"/>
                <w:color w:val="auto"/>
              </w:rPr>
            </w:pP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Case Reserves</w:t>
            </w:r>
          </w:p>
        </w:tc>
        <w:tc>
          <w:tcPr>
            <w:tcW w:w="18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IBNR Reserves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Total Reserves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passenger auto</w:t>
            </w:r>
          </w:p>
        </w:tc>
        <w:tc>
          <w:tcPr>
            <w:tcW w:w="3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Non-standard auto</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49,109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46,786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and farm</w:t>
            </w:r>
          </w:p>
        </w:tc>
        <w:tc>
          <w:tcPr>
            <w:tcW w:w="3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Crop</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8,381</w:t>
            </w:r>
          </w:p>
        </w:tc>
        <w:tc>
          <w:tcPr>
            <w:tcW w:w="0" w:type="dxa"/>
            <w:vAlign w:val="bottom"/>
          </w:tcPr>
          <w:p>
            <w:pPr>
              <w:spacing w:after="0"/>
              <w:rPr>
                <w:sz w:val="1"/>
                <w:szCs w:val="1"/>
                <w:color w:val="auto"/>
              </w:rPr>
            </w:pPr>
          </w:p>
        </w:tc>
      </w:tr>
      <w:tr>
        <w:trPr>
          <w:trHeight w:val="21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336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3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33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36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46" w:name="page47"/>
    <w:bookmarkEnd w:id="46"/>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Sensitivity of Major Assumptions Underlying the Liabilities for Unpaid Losses and Loss Adjustment Expenses</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Total Reserves</w:t>
      </w:r>
    </w:p>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the impact of a 1% change in our estimate for unpaid losses and LAE, net of reinsurance recoverables, on our net income, after income taxes of 21%, would be approximately $651.</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Inflation</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Inflation is not explicitly selected in the loss reserve analysis. However, historical inflation is embedded in the estimated loss development reserving function through analysis of costs and trends and reviews of historical reserving results. The following table displays the impact on net income after income taxes resulting from various changes from the inflation factor implicitly embedded in the estimated payment pattern as of December 31, 2018, which is deemed consistent with March 31, 2019.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51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Change in Inflation</w:t>
            </w:r>
          </w:p>
        </w:tc>
        <w:tc>
          <w:tcPr>
            <w:tcW w:w="560" w:type="dxa"/>
            <w:vAlign w:val="bottom"/>
          </w:tcPr>
          <w:p>
            <w:pPr>
              <w:spacing w:after="0"/>
              <w:rPr>
                <w:sz w:val="20"/>
                <w:szCs w:val="20"/>
                <w:color w:val="auto"/>
              </w:rPr>
            </w:pPr>
          </w:p>
        </w:tc>
        <w:tc>
          <w:tcPr>
            <w:tcW w:w="34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Impact on After-Tax Earnings</w:t>
            </w:r>
          </w:p>
        </w:tc>
      </w:tr>
      <w:tr>
        <w:trPr>
          <w:trHeight w:val="210"/>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4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3,693</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6,318</w:t>
            </w:r>
          </w:p>
        </w:tc>
      </w:tr>
    </w:tbl>
    <w:p>
      <w:pPr>
        <w:spacing w:after="0" w:line="35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Case Reserves</w:t>
      </w:r>
    </w:p>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tax that results from various changes to the level of case reserves as of December 31, 2018, which is deemed consistent with March 31, 2019. This variance in future IBNR emergence could occur in one year or over multiple years, depending when the change is recognized.</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51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Change in Case Reserves</w:t>
            </w:r>
          </w:p>
        </w:tc>
        <w:tc>
          <w:tcPr>
            <w:tcW w:w="560" w:type="dxa"/>
            <w:vAlign w:val="bottom"/>
          </w:tcPr>
          <w:p>
            <w:pPr>
              <w:spacing w:after="0"/>
              <w:rPr>
                <w:sz w:val="20"/>
                <w:szCs w:val="20"/>
                <w:color w:val="auto"/>
              </w:rPr>
            </w:pPr>
          </w:p>
        </w:tc>
        <w:tc>
          <w:tcPr>
            <w:tcW w:w="34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Impact on After-Tax Earnings</w:t>
            </w:r>
          </w:p>
        </w:tc>
      </w:tr>
      <w:tr>
        <w:trPr>
          <w:trHeight w:val="210"/>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(6,045)</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4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3,022</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6,045</w:t>
            </w:r>
          </w:p>
        </w:tc>
      </w:tr>
    </w:tbl>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Equity as a component of other comprehensive income (loss) and, accordingly, have no effect on net income (loss). Effective January 1, 2019, changes in unrealized investment gains or losses on equity securities will impact net income (loss) as they occur instead of as an adjustment to Equity as a component of other comprehensive income (loss). Investment income is recognized when earned, and realized capital gains and losses on investments are recognized when investments are sold, or an other-than-temporary impairment is recognized.</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w:t>
      </w:r>
    </w:p>
    <w:p>
      <w:pPr>
        <w:sectPr>
          <w:pgSz w:w="11900" w:h="16838" w:orient="portrait"/>
          <w:cols w:equalWidth="0" w:num="1">
            <w:col w:w="11340"/>
          </w:cols>
          <w:pgMar w:left="240" w:top="216" w:right="31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16" w:right="319" w:bottom="1440" w:gutter="0" w:footer="0" w:header="0"/>
          <w:type w:val="continuous"/>
        </w:sectPr>
      </w:pPr>
    </w:p>
    <w:bookmarkStart w:id="47" w:name="page48"/>
    <w:bookmarkEnd w:id="47"/>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4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2019, NI Holdings’ investment portfolio experienced an increase in net unrealized gains of $11,491.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8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4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unrealized gains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unrealized losses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(3,402)</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fixed income unrealized gains (losses)</w:t>
            </w: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unrealized gains</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unrealized losses</w:t>
            </w:r>
          </w:p>
        </w:tc>
        <w:tc>
          <w:tcPr>
            <w:tcW w:w="4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(3,821)</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equity unrealized gains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gains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19,525</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fixed income portion of the portfolio experienced increases in unrealized gains and decreases in unrealized losses, which is believed to be reflective of a general signal from the Federal Reserve regarding future interest rate actions, during the three months ended March 31, 2019. The net increase of $4,191 is reflected directly in Equity as a component of accumulated other comprehensive income.</w:t>
      </w:r>
    </w:p>
    <w:p>
      <w:pPr>
        <w:spacing w:after="0" w:line="13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equity portion of the portfolio experienced increases in unrealized gains and decreases in unrealized losses, which are attributed to favorable conditions in the stock market during the three months ended March 31, 2019. The net increase of $7,300 is included in net capital gains on investments on the Company’s Consolidated Statements of Operations.</w:t>
      </w:r>
    </w:p>
    <w:p>
      <w:pPr>
        <w:spacing w:after="0" w:line="14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3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NI Holdings did not recognize any other-than-temporary impairments of its investment securities. For the year ended December 31, 2018, NI Holdings recognized $382 of other-than-temporary impairments of its investment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on the Company’s investments, see Note 6 to the Unaudited Consolidated Financial Statements,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8" w:name="page49"/>
    <w:bookmarkEnd w:id="48"/>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value measurements and disclosures establishes a fair value hierarchy that prioritizes the inputs to valuation methods used to measure fair value. The three levels of the fair value hierarchy are as follows:</w:t>
      </w:r>
    </w:p>
    <w:p>
      <w:pPr>
        <w:sectPr>
          <w:pgSz w:w="11900" w:h="16838" w:orient="portrait"/>
          <w:cols w:equalWidth="0" w:num="1">
            <w:col w:w="11400"/>
          </w:cols>
          <w:pgMar w:left="240" w:top="216" w:right="259" w:bottom="1440" w:gutter="0" w:footer="0" w:header="0"/>
        </w:sectPr>
      </w:pP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Level I</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33" w:lineRule="exact"/>
        <w:rPr>
          <w:sz w:val="20"/>
          <w:szCs w:val="20"/>
          <w:color w:val="auto"/>
        </w:rPr>
      </w:pPr>
    </w:p>
    <w:p>
      <w:pPr>
        <w:sectPr>
          <w:pgSz w:w="11900" w:h="16838" w:orient="portrait"/>
          <w:cols w:equalWidth="0" w:num="2">
            <w:col w:w="1880" w:space="720"/>
            <w:col w:w="8800"/>
          </w:cols>
          <w:pgMar w:left="240" w:top="216" w:right="2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i w:val="1"/>
          <w:iCs w:val="1"/>
          <w:color w:val="auto"/>
        </w:rPr>
        <w:t>Level II</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1" w:lineRule="exact"/>
        <w:rPr>
          <w:sz w:val="20"/>
          <w:szCs w:val="20"/>
          <w:color w:val="auto"/>
        </w:rPr>
      </w:pPr>
    </w:p>
    <w:p>
      <w:pPr>
        <w:sectPr>
          <w:pgSz w:w="11900" w:h="16838" w:orient="portrait"/>
          <w:cols w:equalWidth="0" w:num="2">
            <w:col w:w="1880" w:space="720"/>
            <w:col w:w="8800"/>
          </w:cols>
          <w:pgMar w:left="240" w:top="216" w:right="2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i w:val="1"/>
          <w:iCs w:val="1"/>
          <w:color w:val="auto"/>
        </w:rPr>
        <w:t>Level III</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21" w:lineRule="exact"/>
        <w:rPr>
          <w:sz w:val="20"/>
          <w:szCs w:val="20"/>
          <w:color w:val="auto"/>
        </w:rPr>
      </w:pPr>
    </w:p>
    <w:p>
      <w:pPr>
        <w:sectPr>
          <w:pgSz w:w="11900" w:h="16838" w:orient="portrait"/>
          <w:cols w:equalWidth="0" w:num="2">
            <w:col w:w="1880" w:space="720"/>
            <w:col w:w="8800"/>
          </w:cols>
          <w:pgMar w:left="240" w:top="216" w:right="259" w:bottom="1440" w:gutter="0" w:footer="0" w:header="0"/>
          <w:type w:val="continuous"/>
        </w:sect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66"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w:t>
      </w:r>
    </w:p>
    <w:p>
      <w:pPr>
        <w:spacing w:after="0" w:line="14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4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3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three months ended March 31, 2019 or the year ended December 31, 2018. The classification within the fair value hierarchy is then confirmed based on the final conclusions from the pricing review.</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type w:val="continuous"/>
        </w:sectPr>
      </w:pPr>
    </w:p>
    <w:bookmarkStart w:id="49" w:name="page50"/>
    <w:bookmarkEnd w:id="49"/>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on the Company’s fair value measurements, see Note 7 to the Unaudited Consolidated Financial Statements, included elsewhere in this Report.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3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No deferred policy acquisition costs (“DAC”) were recorded in the acquisition for Direct Auto in accordance with purchase accounting guidance. Rather, a separate intangible asset representing the value of business acquired (“VOBA”) was valued at $5,134 and established at the closing date. This VOBA intangible asset will be amortized into expense as the acquired unearned premiums are reported into income, in the same way as DAC. Policy acquisition costs relating to new business written by Direct Auto will be deferred following the closing date. The release of the VOBA asset and the establishment of new DAC will generally offset each other over the twelve months following the acquisition of Direct Auto.</w:t>
      </w:r>
    </w:p>
    <w:p>
      <w:pPr>
        <w:spacing w:after="0" w:line="14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deferred policy acquisition costs, the VOBA intangible asset, and the related liability for unearned premiums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4080" w:type="dxa"/>
            <w:vAlign w:val="bottom"/>
            <w:gridSpan w:val="4"/>
          </w:tcPr>
          <w:p>
            <w:pPr>
              <w:ind w:left="26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6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 intangible asset</w:t>
            </w: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unearned premiums</w:t>
            </w:r>
          </w:p>
        </w:tc>
        <w:tc>
          <w:tcPr>
            <w:tcW w:w="2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88,171</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84,767</w:t>
            </w:r>
          </w:p>
        </w:tc>
      </w:tr>
    </w:tbl>
    <w:p>
      <w:pPr>
        <w:spacing w:after="0" w:line="3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w:t>
      </w:r>
    </w:p>
    <w:p>
      <w:pPr>
        <w:spacing w:after="0" w:line="14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NI Holdings had gross deferred income tax assets of $5,964 at March 31, 2019 and $5,741 at December 31, 2018,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$587 was maintained at March 31, 2019 and December 31, 2018.</w:t>
      </w:r>
    </w:p>
    <w:p>
      <w:pPr>
        <w:spacing w:after="0" w:line="14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NI Holdings had gross deferred income tax liabilities of $8,436 at March 31, 2019 and $5,865 at December 31, 2018, arising primarily from deferred policy acquisition costs, intangible assets, and net unrealized capital gains on investments.</w:t>
      </w:r>
    </w:p>
    <w:p>
      <w:pPr>
        <w:spacing w:after="0" w:line="121"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5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NI Holdings had no material unrecognized tax benefits or accrued interest and penalties. Federal tax years 2013 through 2017 are open for examination.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0" w:name="page51"/>
    <w:bookmarkEnd w:id="50"/>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4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 We believe that the market is generally in a stable phase as different portions of the market respond to higher frequency and severity of weather-related events.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w:t>
      </w:r>
    </w:p>
    <w:p>
      <w:pPr>
        <w:spacing w:after="0" w:line="14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Premiums in the crop hail insurance business are also generally written in second quarter, but earned over a shorter period of risk than multi-peril crop insurance.</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1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on the Company’s results of operations by segment, see Note 21 to the Unaudited Consolidated Financial Statements, included elsewhere in this Report.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March 31, 2019 and 2018</w:t>
      </w:r>
    </w:p>
    <w:p>
      <w:pPr>
        <w:spacing w:after="0" w:line="18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net income for NI Holdings was $13,796 for the three months ended March 31, 2019 compared to $6,152 a year ago. The major components of NI Holdings’ operating revenues and net income for the two periods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capital gain on investments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 expenses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Underwriting income</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capital gain on investments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1" w:name="page52"/>
    <w:bookmarkEnd w:id="51"/>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NI Holdings’ net premiums earned for the three months ended March 31, 2019 increased 39.9% to $50,506 compared to $36,112 for the three months ended March 31,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8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16,092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14,825</w:t>
            </w:r>
          </w:p>
        </w:tc>
      </w:tr>
      <w:tr>
        <w:trPr>
          <w:trHeight w:val="216"/>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2,991</w:t>
            </w:r>
          </w:p>
        </w:tc>
      </w:tr>
      <w:tr>
        <w:trPr>
          <w:trHeight w:val="216"/>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15,118</w:t>
            </w:r>
          </w:p>
        </w:tc>
      </w:tr>
      <w:tr>
        <w:trPr>
          <w:trHeight w:val="216"/>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3,077</w:t>
            </w:r>
          </w:p>
        </w:tc>
      </w:tr>
      <w:tr>
        <w:trPr>
          <w:trHeight w:val="223"/>
        </w:trPr>
        <w:tc>
          <w:tcPr>
            <w:tcW w:w="88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8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premium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52,253</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37,192</w:t>
            </w:r>
          </w:p>
        </w:tc>
      </w:tr>
      <w:tr>
        <w:trPr>
          <w:trHeight w:val="216"/>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premium</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Ceded premium</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w:t>
            </w:r>
          </w:p>
        </w:tc>
      </w:tr>
      <w:tr>
        <w:trPr>
          <w:trHeight w:val="223"/>
        </w:trPr>
        <w:tc>
          <w:tcPr>
            <w:tcW w:w="88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Direct premiums earned for the first quarter of 2019 increased $15,061, or 40.5%, to $52,253 from $37,192 for the first quarter of 2018. Assumed premiums earned decreased slightly. Ceded premiums earned increased slightly. The addition of the Direct Auto non-standard auto business contributed $10,828 in direct premiums earned during the three months ended March 31, 2019.</w:t>
      </w:r>
    </w:p>
    <w:p>
      <w:pPr>
        <w:spacing w:after="0" w:line="14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personal lines of business (private passenger auto, home and farm) continued their strong growth in Nebraska and South Dakota. Our non-standard auto premiums also increased year-over-year due to growth in Nevada from Primero rate increases, a portion of which relates to statutory policy limit increases, Primero policy growth, and the acquisition of Direct Auto.</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NI Holdings’ net losses and LAE for the three months ended March 31, 2019 increased 39.2% to $26,234 compared to $18,849 for the three months ended March 31, 2018. The Company’s loss and LAE ratio decreased slightly to 51.9% for 2019, compared to 52.2% for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8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LAE ratio:</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88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loss and LAE ratio</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overall loss and LAE experience improved slightly year-over-year.</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Net losses for private passenger auto improved in the first quarter of 2019 compared to a year ago, as rate increases took effect and loss experience moderated. Net losses for home and farm increased to normal levels for first quarter, after experiencing favorable losses in 2018. Net losses for non-standard auto included a combination of favorable loss experience development in Direct Auto, partially offset by unfavorable loss experience development in Primero. In Direct Auto, this business has so far shown better than anticipated loss experience, and we have reduced the overall reserve levels accordingly. In Primero, the statutory increase in minimum liability limits in the state of Nevada has resulted in a higher than anticipated increase in the average paid claim and average loss reserve. This has driven up our loss experience, which we intend to address through additional rate increases.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losses for our commercial and assumed reinsurance business in 2019 were comparable to 2018. Crop insurance is negligible in first quarter.</w:t>
      </w:r>
    </w:p>
    <w:p>
      <w:pPr>
        <w:sectPr>
          <w:pgSz w:w="11900" w:h="16838" w:orient="portrait"/>
          <w:cols w:equalWidth="0" w:num="1">
            <w:col w:w="11420"/>
          </w:cols>
          <w:pgMar w:left="240" w:top="216"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2" w:name="page53"/>
    <w:bookmarkEnd w:id="52"/>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NI Holdings realized favorable development on prior accident years of $4,969 in the first quarter of 2019, compared to $76 of unfavorable development on prior accident years realized in the first quarter of 2018.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 and Other Underwriting and General Expenses</w:t>
      </w:r>
    </w:p>
    <w:p>
      <w:pPr>
        <w:spacing w:after="0" w:line="20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Total underwriting and general expenses, including amortization of deferred policy acquisition costs, increased 40.6% to $16,694 in first quarter 2019 compared to $11,877 in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8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expenses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00" w:type="dxa"/>
            <w:vAlign w:val="bottom"/>
            <w:shd w:val="clear" w:color="auto" w:fill="CCEEFF"/>
          </w:tcPr>
          <w:p>
            <w:pPr>
              <w:spacing w:after="0"/>
              <w:rPr>
                <w:sz w:val="18"/>
                <w:szCs w:val="18"/>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(7,160)</w:t>
            </w:r>
          </w:p>
        </w:tc>
      </w:tr>
      <w:tr>
        <w:trPr>
          <w:trHeight w:val="210"/>
        </w:trPr>
        <w:tc>
          <w:tcPr>
            <w:tcW w:w="88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7,039</w:t>
            </w:r>
          </w:p>
        </w:tc>
      </w:tr>
      <w:tr>
        <w:trPr>
          <w:trHeight w:val="223"/>
        </w:trPr>
        <w:tc>
          <w:tcPr>
            <w:tcW w:w="88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reported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Underlying expenses were $6,621 higher in the three months ended March 31, 2019 compared to a year ago across various expense categories. Policy acquisition costs have increased due to higher written premiums. Employee costs have increased, due primarily to stock compensation costs. Consulting expenses have increased relating to technology and public company services. The new Direct Auto subsidiary contributed $5,743 of underlying expenses to the current quarter, including $1,135 of amortization expense of other intangibles.</w:t>
      </w:r>
    </w:p>
    <w:p>
      <w:pPr>
        <w:spacing w:after="0" w:line="14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Expense deferrals were $3,987 higher in first quarter 2019 compared to first quarter 2018 primarily due to the new Direct Auto business and a modest increase in other direct premiums written in 2019, whereas amortization of those costs was $2,183 higher in 2019 primarily due to amortization of the Direct Auto deferrals. The net impact of policy acquisition costs was a $1,925 reduction to expense, of which $1,437 was attributable to Direct Auto.</w:t>
      </w:r>
    </w:p>
    <w:p>
      <w:pPr>
        <w:spacing w:after="0" w:line="14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expense ratio of 33.1% for the three months ended March 31, 2019 was 0.2 percentage points higher than the expense ratio in the first quarter of 2018. This ratio increase would be consistent with the growth in both the net premiums earned and total underwriting and general expenses.</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Gain (Loss)</w:t>
      </w:r>
    </w:p>
    <w:p>
      <w:pPr>
        <w:spacing w:after="0" w:line="18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8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4,842</w:t>
            </w:r>
          </w:p>
        </w:tc>
      </w:tr>
      <w:tr>
        <w:trPr>
          <w:trHeight w:val="216"/>
        </w:trPr>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8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w:t>
            </w:r>
          </w:p>
        </w:tc>
      </w:tr>
      <w:tr>
        <w:trPr>
          <w:trHeight w:val="223"/>
        </w:trPr>
        <w:tc>
          <w:tcPr>
            <w:tcW w:w="88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underwriting gain</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underwriting results of the Company for the first quarter improved year-over-year, primarily reflecting substantial loss experience improvement in the auto segments. Private passenger auto had lower loss experience in the first quarter of 2019 compared to 2018, while non-standard auto results were improved due to the addition of Direct Auto. The underwriting gain on home and farm business decreased due to higher loss experience in 2019 primarily due to the winter snowfall and early spring flooding in Nebraska, compared to favorable loss experience in the first quarter of 2018.</w:t>
      </w:r>
    </w:p>
    <w:p>
      <w:pPr>
        <w:spacing w:after="0" w:line="14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all other segment reported a higher underwriting gain in 2019, as loss experience was normal across our commercial, excess liability, and assumed reinsurance lines of business. Crop insurance activity is negligible in the first quarter, and primarily reflects development of prior year loss reserves.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3" w:name="page54"/>
    <w:bookmarkEnd w:id="53"/>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 and Other Income</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NI Holdings had fee and other income of $464 for the three months ended March 31, 2019, compared to $377 for the three months ended March 31, 2018. Fee income attributable to the non-standard auto segment is a key component in measuring its profitability. Fee income on this business increased to $470 for the three months ended March 31, 2019 from $322 for the three months ended March 31, 2018, due to growth in Primero’s non-standard auto business and the addition of Direct Auto.</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average cash and invested assets, net investment income, and return on average cash and invested assets for the reported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Investment income, net of investment expense, increased $374 for the three months ended March 31, 2019 compared to a year ago. This increase is attributable to the increase in invested assets, due primarily to the acquisition of Direct Auto. The majority of Direct Auto cash and invested assets was in short term cash and cash equivalents at the closing date, and will be invested in fixed income securities. The weighted average gross yield on invested assets dropped slightly to 2.4% in 2019 from 2.5% in 2018, due to the high amount of funds related to Direct Auto that are not yet fully invested.</w:t>
      </w:r>
    </w:p>
    <w:p>
      <w:pPr>
        <w:spacing w:after="0" w:line="153"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7"/>
          <w:szCs w:val="17"/>
          <w:color w:val="auto"/>
        </w:rPr>
        <w:t>As of March 31, 2019, our overall book yield for our combined fixed income and equity portfolio was 2.8%. The average duration was 3.3. We expect our book yield and average duration to increase as the Direct Auto cash and cash equivalents are invested in accordance with our investment policy.</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Capital Gain on Investments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 Holdings had realized capital gains on investment of $559 for the three months ended March 31, 2019, compared to $469 a year ago.</w:t>
      </w:r>
    </w:p>
    <w:p>
      <w:pPr>
        <w:spacing w:after="0" w:line="19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Effective January 1, 2019, in accordance with a change in accounting principle, market fluctuations on our equity securities are reflected in the Company’s results of operations. NI Holdings reported a net gain of $7,300 attributed to the change in unrealized appreciation of its equity securities for the three months ended March 31, 2019. Prior to the January 1, 2019, such unrealized gains and losses were included in Other Comprehensive Income. Pre-tax net unrealized losses on equity securities recorded in Other Comprehensive Income were $439 for the three months ended March 31, 2018 and $9,467 for the year ended December 31, 2018. Although we anticipate a higher level of short-term volatility going forward in our reported results due to similar market fluctuations, we continue to believe that this asset class presents viable investment opportunities.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no other-than-temporary impairments in the three months ended March 31, 2019 and 2018.</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Company’s fixed income securities and equity securities are classified as available for sale because it will, from time to time, make sales of securities that are not impaired, consistent with our investment goals and policies. At March 31, 2019, the Company had net unrealized gains on fixed income securities of $1,886 and net unrealized gains on equity securities of $17,659. At December 31, 2018, the Company had net unrealized losses on fixed income securities of $2,325 and net unrealized gains on equity securities of $10,359. The increase in the fair value of our fixed income securities is believed to be reflective of a general signal from the Federal Reserve regarding future interest rate actions during the first three months of 2019. The increase in the fair value of our equity securities is consistent with the fluctuations in the equity markets in the same period.</w:t>
      </w:r>
    </w:p>
    <w:p>
      <w:pPr>
        <w:spacing w:after="0" w:line="16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believes that any declines in fair value in its existing portfolio are most likely attributable to short-term market trends and there is no evidence that the Company will not recover the entire amortized cost basis.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4" w:name="page55"/>
    <w:bookmarkEnd w:id="54"/>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NI Holdings had pre-tax income of $17,644 compared to $7,601 for the three months ended March 31, 2018. The $10,043 increase in pre-tax income was largely attributable to the change in unrealized gains on our equity securities portfolio and favorable loss experience in our auto segments.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NI Holdings recorded income tax expense of $3,848 for the three months ended March 31, 2019, compared to $1,449 for the three months ended March 31, 2018. A portion of income tax expense relates to state taxes. Our effective tax rate for the first quarter of 2019 was 21.8% compared to an effective tax rate of 19.1% for the first quarter of 2018.</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against certain deferred income tax assets remained at $587 as of March 31, 2019, the same amount as December 31, 2018.</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NI Holdings had net income before non-controlling interest of $13,796 compared $6,152 for 2018. This increase in net income was primarily attributable to the change in unrealized gains on our equity securities portfolio and favorable loss experience in our auto segments.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Return on Average Equity</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NI Holdings had annualized return on average equity, after non-controlling interest, of 19.6% compared to annualized return on average equity, after non-controlling interest, of 9.6% for the three months ended March 31, 2018. Average equity is calculated as the average between beginning and ending equity excluding non-controlling interest for the period.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sectPr>
      </w:pPr>
    </w:p>
    <w:bookmarkStart w:id="55" w:name="page56"/>
    <w:bookmarkEnd w:id="55"/>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major components of NI Holdings’ financial position are as follows: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180" w:type="dxa"/>
            <w:vAlign w:val="bottom"/>
          </w:tcPr>
          <w:p>
            <w:pPr>
              <w:spacing w:after="0"/>
              <w:rPr>
                <w:sz w:val="24"/>
                <w:szCs w:val="24"/>
                <w:color w:val="auto"/>
              </w:rPr>
            </w:pPr>
          </w:p>
        </w:tc>
        <w:tc>
          <w:tcPr>
            <w:tcW w:w="4240" w:type="dxa"/>
            <w:vAlign w:val="bottom"/>
            <w:gridSpan w:val="7"/>
          </w:tcPr>
          <w:p>
            <w:pPr>
              <w:ind w:left="1260"/>
              <w:spacing w:after="0"/>
              <w:rPr>
                <w:sz w:val="20"/>
                <w:szCs w:val="20"/>
                <w:color w:val="auto"/>
              </w:rPr>
            </w:pPr>
            <w:r>
              <w:rPr>
                <w:rFonts w:ascii="Times New Roman" w:cs="Times New Roman" w:eastAsia="Times New Roman" w:hAnsi="Times New Roman"/>
                <w:sz w:val="18"/>
                <w:szCs w:val="18"/>
                <w:b w:val="1"/>
                <w:bCs w:val="1"/>
                <w:color w:val="auto"/>
              </w:rPr>
              <w:t>March 31, 2019  December 31, 2018</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investments</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389,971</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374,371</w:t>
            </w:r>
          </w:p>
        </w:tc>
      </w:tr>
      <w:tr>
        <w:trPr>
          <w:trHeight w:val="230"/>
        </w:trPr>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38,502</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34,287</w:t>
            </w: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14,791</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12,866</w:t>
            </w:r>
          </w:p>
        </w:tc>
      </w:tr>
      <w:tr>
        <w:trPr>
          <w:trHeight w:val="230"/>
        </w:trPr>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34,023</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36,968</w:t>
            </w:r>
          </w:p>
        </w:tc>
      </w:tr>
      <w:tr>
        <w:trPr>
          <w:trHeight w:val="263"/>
        </w:trPr>
        <w:tc>
          <w:tcPr>
            <w:tcW w:w="7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477,287</w:t>
            </w:r>
          </w:p>
        </w:tc>
        <w:tc>
          <w:tcPr>
            <w:tcW w:w="2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458,492</w:t>
            </w:r>
          </w:p>
        </w:tc>
        <w:tc>
          <w:tcPr>
            <w:tcW w:w="100" w:type="dxa"/>
            <w:vAlign w:val="bottom"/>
            <w:tcBorders>
              <w:bottom w:val="single" w:sz="8" w:color="CCEEFF"/>
            </w:tcBorders>
          </w:tcPr>
          <w:p>
            <w:pPr>
              <w:spacing w:after="0"/>
              <w:rPr>
                <w:sz w:val="22"/>
                <w:szCs w:val="22"/>
                <w:color w:val="auto"/>
              </w:rPr>
            </w:pPr>
          </w:p>
        </w:tc>
      </w:tr>
      <w:tr>
        <w:trPr>
          <w:trHeight w:val="197"/>
        </w:trPr>
        <w:tc>
          <w:tcPr>
            <w:tcW w:w="7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Unearned premiums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85,560</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87,121</w:t>
            </w:r>
          </w:p>
        </w:tc>
      </w:tr>
      <w:tr>
        <w:trPr>
          <w:trHeight w:val="230"/>
        </w:trPr>
        <w:tc>
          <w:tcPr>
            <w:tcW w:w="3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88,171</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84,767</w:t>
            </w:r>
          </w:p>
        </w:tc>
      </w:tr>
      <w:tr>
        <w:trPr>
          <w:trHeight w:val="230"/>
        </w:trPr>
        <w:tc>
          <w:tcPr>
            <w:tcW w:w="3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10,101</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r>
      <w:tr>
        <w:trPr>
          <w:trHeight w:val="234"/>
        </w:trPr>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183,832</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182,739</w:t>
            </w:r>
          </w:p>
        </w:tc>
      </w:tr>
    </w:tbl>
    <w:p>
      <w:pPr>
        <w:spacing w:after="0" w:line="20" w:lineRule="exact"/>
        <w:rPr>
          <w:sz w:val="20"/>
          <w:szCs w:val="20"/>
          <w:color w:val="auto"/>
        </w:rPr>
      </w:pPr>
    </w:p>
    <w:p>
      <w:pPr>
        <w:sectPr>
          <w:pgSz w:w="11900" w:h="16838" w:orient="portrait"/>
          <w:cols w:equalWidth="0" w:num="2">
            <w:col w:w="7720" w:space="720"/>
            <w:col w:w="298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293,455</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275,753</w:t>
            </w:r>
          </w:p>
        </w:tc>
      </w:tr>
      <w:tr>
        <w:trPr>
          <w:trHeight w:val="223"/>
        </w:trPr>
        <w:tc>
          <w:tcPr>
            <w:tcW w:w="84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At March 31, 2019, NI Holdings had total assets of $477,287, an increase of $18,795, or 4.1%, from December 31, 2018. Cash and investments increased due to market fluctuations in both the fixed income and equity markets. Deferred policy acquisition costs increased primarily due to the recognition of deferred policy acquisition costs related to Direct Auto.</w:t>
      </w:r>
    </w:p>
    <w:p>
      <w:pPr>
        <w:spacing w:after="0" w:line="14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March 31, 2019, total liabilities were $183,832, an increase of $1,093, or 0.6%, from December 31, 2018. Unpaid losses and loss adjustment expenses decreased slightly, offset by an increase in unearned premiums. Other liabilities decreased slightly as annual bonus payments were mostly offset by an increase in net deferred income tax liabilities.</w:t>
      </w:r>
    </w:p>
    <w:p>
      <w:pPr>
        <w:spacing w:after="0" w:line="136" w:lineRule="exact"/>
        <w:rPr>
          <w:sz w:val="20"/>
          <w:szCs w:val="20"/>
          <w:color w:val="auto"/>
        </w:rPr>
      </w:pPr>
    </w:p>
    <w:p>
      <w:pPr>
        <w:jc w:val="both"/>
        <w:ind w:right="140" w:firstLine="648"/>
        <w:spacing w:after="0" w:line="313" w:lineRule="auto"/>
        <w:rPr>
          <w:sz w:val="20"/>
          <w:szCs w:val="20"/>
          <w:color w:val="auto"/>
        </w:rPr>
      </w:pPr>
      <w:r>
        <w:rPr>
          <w:rFonts w:ascii="Times New Roman" w:cs="Times New Roman" w:eastAsia="Times New Roman" w:hAnsi="Times New Roman"/>
          <w:sz w:val="17"/>
          <w:szCs w:val="17"/>
          <w:color w:val="auto"/>
        </w:rPr>
        <w:t>Total equity increased by $17,702, or 6.4%, during the three months ended March 31, 2019. The increase in equity reflects consolidated net income of $13,773 for the three-month period, and an increase in accumulated other comprehensive income due to higher fair values of our fixed income securities.</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6" w:name="page57"/>
    <w:bookmarkEnd w:id="56"/>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we plan to use for strategic acquisitions. However, these funds are available if necessary to meet the demands of claim settlements and operating expenses. Through March 31, 2019, we have used that money to acquire $11,035 in treasury stock and, in 2018, we used $17,000 for the acquisition of Direct Auto.</w:t>
      </w:r>
    </w:p>
    <w:p>
      <w:pPr>
        <w:spacing w:after="0" w:line="157"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ectPr>
          <w:pgSz w:w="11900" w:h="16838" w:orient="portrait"/>
          <w:cols w:equalWidth="0" w:num="1">
            <w:col w:w="11420"/>
          </w:cols>
          <w:pgMar w:left="240" w:top="216" w:right="239" w:bottom="1440" w:gutter="0" w:footer="0" w:header="0"/>
        </w:sectPr>
      </w:pP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cash and cash equivalents for the three months ended March 31, 2019 and 2018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20" w:type="dxa"/>
            <w:vAlign w:val="bottom"/>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4,231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5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4,339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(6,724)</w:t>
            </w:r>
          </w:p>
        </w:tc>
      </w:tr>
      <w:tr>
        <w:trPr>
          <w:trHeight w:val="248"/>
        </w:trPr>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80" w:space="180"/>
            <w:col w:w="2560"/>
          </w:cols>
          <w:pgMar w:left="240" w:top="216" w:right="239" w:bottom="1440" w:gutter="0" w:footer="0" w:header="0"/>
          <w:type w:val="continuous"/>
        </w:sectPr>
      </w:pPr>
    </w:p>
    <w:p>
      <w:pPr>
        <w:spacing w:after="0" w:line="21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net cash provided by operating activities totaled $4,231 compared to $4,339 a year ago. Consolidated net income aggregated $13,773 for the three months ended March 31, 2019 compared to $6,152 for the same period a year ago. The Company offset this increase in net income with the impact of changes in premiums and agents’ balances receivable, reinsurance recoverables on losses, and the change in unrealized gains on equity securities in 2019 compared to 2018.</w:t>
      </w:r>
    </w:p>
    <w:p>
      <w:pPr>
        <w:spacing w:after="0" w:line="15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totaled $3,032 for the three months ended March 31, 2019, compared to $6,724 net cash used by investing activities a year ago. Both periods reflect the opportunity to invest excess cash from operations in longer term investments.</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Net cash used by financing activities totaled $22 for the three months ended March 31, 2019. There was no net cash provided or used by financing activities for the three months ended March 31, 2018.</w:t>
      </w:r>
    </w:p>
    <w:p>
      <w:pPr>
        <w:spacing w:after="0" w:line="12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a standalone entity, and outside of the net proceeds from the recent initial public offering, NI Holdings’ principal source of long-term liquidity will be dividend payments from Nodak Insurance and Direct Auto.</w:t>
      </w:r>
    </w:p>
    <w:p>
      <w:pPr>
        <w:spacing w:after="0" w:line="13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4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us during 2019 without the prior approval of the North Dakota Insurance Department is approximately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three months ended March 31, 2019 or the year ended December 31, 2018.</w:t>
      </w:r>
    </w:p>
    <w:p>
      <w:pPr>
        <w:spacing w:after="0" w:line="14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7" w:name="page58"/>
    <w:bookmarkEnd w:id="57"/>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Direct Auto to NI Holdings during 2019 without the prior approval of the Illinois Department of Insurance is $6,653 based upon the statutory net income of Direct Auto for the year ended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three months ended March 31, 2019 or the year ended December 31,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recent accounting pronouncements, see Note 5 to the Unaudited Consolidated Financial Statements,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58" w:name="page59"/>
    <w:bookmarkEnd w:id="58"/>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March 31, 2019 indicates there have been no material changes in the quantitative and qualitative disclosures from those in our Annual Report on Form 10-K for the year ended December 31, 2018 filed with the SEC.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Exchange Act Rules 240.13a-15(b) and 15d-15(a)) as of March 31, 2019.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quarter ended March 31, 2019, to which this report relates that have materially affected, or are reasonably likely to materially affect the Company’s internal control over financial reporting.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9" w:name="page60"/>
    <w:bookmarkEnd w:id="59"/>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0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Direct Auto was acquired on August 31, 2018 with $17,000 of the net proceeds from the initial public offering. There has been no material change in the planned use of proceeds from our initial public offering as described in our final prospectus filed with the SEC on January 17, 2017.</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February 28, 2018, our Board of Directors approved an authorization for the repurchase of up to approximately $10,000 of the Company’s outstanding common stock. We purchased 191,265 shares of our common stock for $2,996 during the three months ended December 31, 2018. We purchased an additional 100 shares of our common stock for $2 during the three months ended March 31, 2019.</w:t>
      </w:r>
    </w:p>
    <w:p>
      <w:pPr>
        <w:sectPr>
          <w:pgSz w:w="11900" w:h="16838" w:orient="portrait"/>
          <w:cols w:equalWidth="0" w:num="1">
            <w:col w:w="11400"/>
          </w:cols>
          <w:pgMar w:left="240" w:top="2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Period in 2019</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to January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to February 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to March 31</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first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Maximum Dollar Value</w:t>
            </w:r>
          </w:p>
        </w:tc>
      </w:tr>
      <w:tr>
        <w:trPr>
          <w:trHeight w:val="216"/>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Shares That May Yet</w:t>
            </w:r>
          </w:p>
        </w:tc>
      </w:tr>
      <w:tr>
        <w:trPr>
          <w:trHeight w:val="221"/>
        </w:trPr>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as Part of Publicly</w:t>
            </w:r>
          </w:p>
        </w:tc>
        <w:tc>
          <w:tcPr>
            <w:tcW w:w="2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 Purchased Under the</w:t>
            </w:r>
          </w:p>
        </w:tc>
      </w:tr>
      <w:tr>
        <w:trPr>
          <w:trHeight w:val="216"/>
        </w:trPr>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Paid</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5"/>
                <w:szCs w:val="25"/>
                <w:color w:val="auto"/>
                <w:vertAlign w:val="superscript"/>
              </w:rPr>
              <w:t>(1)</w:t>
            </w:r>
          </w:p>
        </w:tc>
      </w:tr>
      <w:tr>
        <w:trPr>
          <w:trHeight w:val="270"/>
        </w:trPr>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Purchased</w:t>
            </w:r>
          </w:p>
        </w:tc>
        <w:tc>
          <w:tcPr>
            <w:tcW w:w="140" w:type="dxa"/>
            <w:vAlign w:val="bottom"/>
          </w:tcPr>
          <w:p>
            <w:pPr>
              <w:spacing w:after="0"/>
              <w:rPr>
                <w:sz w:val="23"/>
                <w:szCs w:val="2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Per Share</w:t>
            </w:r>
          </w:p>
        </w:tc>
        <w:tc>
          <w:tcPr>
            <w:tcW w:w="1580" w:type="dxa"/>
            <w:vAlign w:val="bottom"/>
            <w:gridSpan w:val="2"/>
          </w:tcPr>
          <w:p>
            <w:pPr>
              <w:jc w:val="center"/>
              <w:ind w:right="200"/>
              <w:spacing w:after="0" w:line="269" w:lineRule="exact"/>
              <w:rPr>
                <w:sz w:val="20"/>
                <w:szCs w:val="20"/>
                <w:color w:val="auto"/>
              </w:rPr>
            </w:pPr>
            <w:r>
              <w:rPr>
                <w:rFonts w:ascii="Times New Roman" w:cs="Times New Roman" w:eastAsia="Times New Roman" w:hAnsi="Times New Roman"/>
                <w:sz w:val="18"/>
                <w:szCs w:val="18"/>
                <w:color w:val="auto"/>
                <w:w w:val="94"/>
              </w:rPr>
              <w:t xml:space="preserve">or Programs </w:t>
            </w:r>
            <w:r>
              <w:rPr>
                <w:rFonts w:ascii="Times New Roman" w:cs="Times New Roman" w:eastAsia="Times New Roman" w:hAnsi="Times New Roman"/>
                <w:sz w:val="30"/>
                <w:szCs w:val="30"/>
                <w:color w:val="auto"/>
                <w:w w:val="94"/>
                <w:vertAlign w:val="superscript"/>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7,004</w:t>
            </w:r>
          </w:p>
        </w:tc>
        <w:tc>
          <w:tcPr>
            <w:tcW w:w="20" w:type="dxa"/>
            <w:vAlign w:val="bottom"/>
          </w:tcPr>
          <w:p>
            <w:pPr>
              <w:spacing w:after="0"/>
              <w:rPr>
                <w:sz w:val="16"/>
                <w:szCs w:val="16"/>
                <w:color w:val="auto"/>
              </w:rPr>
            </w:pPr>
          </w:p>
        </w:tc>
      </w:tr>
      <w:tr>
        <w:trPr>
          <w:trHeight w:val="230"/>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7,004</w:t>
            </w:r>
          </w:p>
        </w:tc>
      </w:tr>
      <w:tr>
        <w:trPr>
          <w:trHeight w:val="234"/>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7,002</w:t>
            </w:r>
          </w:p>
        </w:tc>
      </w:tr>
      <w:tr>
        <w:trPr>
          <w:trHeight w:val="223"/>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7,002</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-325120</wp:posOffset>
            </wp:positionV>
            <wp:extent cx="72466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-608330</wp:posOffset>
            </wp:positionV>
            <wp:extent cx="72466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160"/>
          </w:cols>
          <w:pgMar w:left="240" w:top="216" w:right="259" w:bottom="1440" w:gutter="0" w:footer="0" w:header="0"/>
          <w:type w:val="continuous"/>
        </w:sectPr>
      </w:pPr>
    </w:p>
    <w:p>
      <w:pPr>
        <w:spacing w:after="0" w:line="25" w:lineRule="exact"/>
        <w:rPr>
          <w:sz w:val="20"/>
          <w:szCs w:val="20"/>
          <w:color w:val="auto"/>
        </w:rPr>
      </w:pPr>
    </w:p>
    <w:p>
      <w:pPr>
        <w:ind w:left="660" w:right="800" w:hanging="415"/>
        <w:spacing w:after="0" w:line="195" w:lineRule="auto"/>
        <w:tabs>
          <w:tab w:leader="none" w:pos="66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March 5, 2018 publicly announced share repurchase authorization of up to approximately $10,000 of the Company’s outstanding common stock.</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type w:val="continuous"/>
        </w:sectPr>
      </w:pPr>
    </w:p>
    <w:bookmarkStart w:id="60" w:name="page61"/>
    <w:bookmarkEnd w:id="60"/>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Defaults upon Senior Securities</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Mine Safety Disclosures</w:t>
            </w:r>
          </w:p>
        </w:tc>
      </w:tr>
      <w:tr>
        <w:trPr>
          <w:trHeight w:val="40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Other Information</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4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4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Exhibits</w:t>
            </w:r>
          </w:p>
        </w:tc>
        <w:tc>
          <w:tcPr>
            <w:tcW w:w="4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2"/>
        </w:trPr>
        <w:tc>
          <w:tcPr>
            <w:tcW w:w="20" w:type="dxa"/>
            <w:vAlign w:val="bottom"/>
          </w:tcPr>
          <w:p>
            <w:pPr>
              <w:spacing w:after="0"/>
              <w:rPr>
                <w:sz w:val="24"/>
                <w:szCs w:val="24"/>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gridSpan w:val="4"/>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gridSpan w:val="2"/>
          </w:tcPr>
          <w:p>
            <w:pPr>
              <w:ind w:left="240"/>
              <w:spacing w:after="0" w:line="170"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10040" w:type="dxa"/>
            <w:vAlign w:val="bottom"/>
            <w:tcBorders>
              <w:top w:val="single" w:sz="8" w:color="auto"/>
            </w:tcBorders>
            <w:gridSpan w:val="4"/>
          </w:tcPr>
          <w:p>
            <w:pPr>
              <w:spacing w:after="0" w:line="170"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Adopted Pursuant to Section 302 of the Sarbanes-Oxley Act of 2002.</w:t>
              </w:r>
            </w:hyperlink>
          </w:p>
        </w:tc>
        <w:tc>
          <w:tcPr>
            <w:tcW w:w="420" w:type="dxa"/>
            <w:vAlign w:val="bottom"/>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hyperlink>
          </w:p>
        </w:tc>
        <w:tc>
          <w:tcPr>
            <w:tcW w:w="4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4"/>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Adopted Pursuant to Section 302 of the Sarbanes-Oxley Act of 2002.</w:t>
              </w:r>
            </w:hyperlink>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80" w:right="340" w:hanging="1129"/>
        <w:spacing w:after="0" w:line="282" w:lineRule="auto"/>
        <w:tabs>
          <w:tab w:leader="none" w:pos="1380" w:val="left"/>
        </w:tabs>
        <w:numPr>
          <w:ilvl w:val="0"/>
          <w:numId w:val="38"/>
        </w:numPr>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Certification of Principal Executive Officer and Principal Financial Officer pursuant to 18 U.S.C. Section 1350, as adopted pursuant to</w:t>
        </w:r>
      </w:hyperlink>
      <w:r>
        <w:rPr>
          <w:rFonts w:ascii="Times New Roman" w:cs="Times New Roman" w:eastAsia="Times New Roman" w:hAnsi="Times New Roman"/>
          <w:sz w:val="18"/>
          <w:szCs w:val="18"/>
          <w:u w:val="single" w:color="auto"/>
          <w:color w:val="0000EE"/>
        </w:rPr>
        <w:t xml:space="preserve"> </w:t>
      </w:r>
      <w:hyperlink w:anchor="page65">
        <w:r>
          <w:rPr>
            <w:rFonts w:ascii="Times New Roman" w:cs="Times New Roman" w:eastAsia="Times New Roman" w:hAnsi="Times New Roman"/>
            <w:sz w:val="18"/>
            <w:szCs w:val="18"/>
            <w:u w:val="single" w:color="auto"/>
            <w:color w:val="0000EE"/>
          </w:rPr>
          <w:t>Section 906 of the Sarbanes-Oxley Act of 2002.</w:t>
        </w:r>
      </w:hyperlink>
    </w:p>
    <w:p>
      <w:pPr>
        <w:spacing w:after="0" w:line="162"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69"/>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59</w:t>
            </w:r>
          </w:p>
        </w:tc>
      </w:tr>
    </w:tbl>
    <w:p>
      <w:pPr>
        <w:sectPr>
          <w:pgSz w:w="11900" w:h="16838" w:orient="portrait"/>
          <w:cols w:equalWidth="0" w:num="1">
            <w:col w:w="11420"/>
          </w:cols>
          <w:pgMar w:left="240" w:top="216" w:right="239" w:bottom="1440" w:gutter="0" w:footer="0" w:header="0"/>
        </w:sectPr>
      </w:pPr>
    </w:p>
    <w:bookmarkStart w:id="61" w:name="page62"/>
    <w:bookmarkEnd w:id="61"/>
    <w:p>
      <w:pPr>
        <w:ind w:left="60"/>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8, 2019.</w:t>
      </w:r>
    </w:p>
    <w:p>
      <w:pPr>
        <w:spacing w:after="0" w:line="200" w:lineRule="exact"/>
        <w:rPr>
          <w:sz w:val="20"/>
          <w:szCs w:val="20"/>
          <w:color w:val="auto"/>
        </w:rPr>
      </w:pPr>
    </w:p>
    <w:p>
      <w:pPr>
        <w:spacing w:after="0" w:line="3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R. Doom</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16"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8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May 8, 2019</w:t>
            </w:r>
          </w:p>
        </w:tc>
        <w:tc>
          <w:tcPr>
            <w:tcW w:w="306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1320" w:type="dxa"/>
            <w:vAlign w:val="bottom"/>
          </w:tcPr>
          <w:p>
            <w:pPr>
              <w:spacing w:after="0"/>
              <w:rPr>
                <w:sz w:val="18"/>
                <w:szCs w:val="18"/>
                <w:color w:val="auto"/>
              </w:rPr>
            </w:pPr>
          </w:p>
        </w:tc>
      </w:tr>
      <w:tr>
        <w:trPr>
          <w:trHeight w:val="218"/>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Alexander</w:t>
            </w:r>
          </w:p>
        </w:tc>
      </w:tr>
      <w:tr>
        <w:trPr>
          <w:trHeight w:val="214"/>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9"/>
        </w:trPr>
        <w:tc>
          <w:tcPr>
            <w:tcW w:w="4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61</w:t>
            </w:r>
          </w:p>
        </w:tc>
        <w:tc>
          <w:tcPr>
            <w:tcW w:w="27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9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May 8, 2019</w:t>
            </w: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R. Doom</w:t>
            </w:r>
          </w:p>
        </w:tc>
      </w:tr>
      <w:tr>
        <w:trPr>
          <w:trHeight w:val="218"/>
        </w:trPr>
        <w:tc>
          <w:tcPr>
            <w:tcW w:w="53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Brian R. Doom</w:t>
            </w:r>
          </w:p>
        </w:tc>
      </w:tr>
      <w:tr>
        <w:trPr>
          <w:trHeight w:val="234"/>
        </w:trPr>
        <w:tc>
          <w:tcPr>
            <w:tcW w:w="534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7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March 31, 2019,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May 8, 2019</w:t>
            </w: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60" w:type="dxa"/>
            <w:vAlign w:val="bottom"/>
          </w:tcPr>
          <w:p>
            <w:pPr>
              <w:spacing w:after="0"/>
              <w:rPr>
                <w:sz w:val="17"/>
                <w:szCs w:val="17"/>
                <w:color w:val="auto"/>
              </w:rPr>
            </w:pPr>
          </w:p>
        </w:tc>
      </w:tr>
      <w:tr>
        <w:trPr>
          <w:trHeight w:val="218"/>
        </w:trPr>
        <w:tc>
          <w:tcPr>
            <w:tcW w:w="53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Michael J. Alexander</w:t>
            </w:r>
          </w:p>
        </w:tc>
        <w:tc>
          <w:tcPr>
            <w:tcW w:w="60" w:type="dxa"/>
            <w:vAlign w:val="bottom"/>
          </w:tcPr>
          <w:p>
            <w:pPr>
              <w:spacing w:after="0"/>
              <w:rPr>
                <w:sz w:val="18"/>
                <w:szCs w:val="18"/>
                <w:color w:val="auto"/>
              </w:rPr>
            </w:pPr>
          </w:p>
        </w:tc>
      </w:tr>
      <w:tr>
        <w:trPr>
          <w:trHeight w:val="214"/>
        </w:trPr>
        <w:tc>
          <w:tcPr>
            <w:tcW w:w="53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60" w:type="dxa"/>
            <w:vAlign w:val="bottom"/>
          </w:tcPr>
          <w:p>
            <w:pPr>
              <w:spacing w:after="0"/>
              <w:rPr>
                <w:sz w:val="18"/>
                <w:szCs w:val="18"/>
                <w:color w:val="auto"/>
              </w:rPr>
            </w:pPr>
          </w:p>
        </w:tc>
      </w:tr>
      <w:tr>
        <w:trPr>
          <w:trHeight w:val="236"/>
        </w:trPr>
        <w:tc>
          <w:tcPr>
            <w:tcW w:w="5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60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May 8, 2019</w:t>
            </w: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R. Doom</w:t>
            </w:r>
          </w:p>
        </w:tc>
        <w:tc>
          <w:tcPr>
            <w:tcW w:w="60" w:type="dxa"/>
            <w:vAlign w:val="bottom"/>
            <w:tcBorders>
              <w:bottom w:val="single" w:sz="8" w:color="auto"/>
            </w:tcBorders>
          </w:tcPr>
          <w:p>
            <w:pPr>
              <w:spacing w:after="0"/>
              <w:rPr>
                <w:sz w:val="24"/>
                <w:szCs w:val="24"/>
                <w:color w:val="auto"/>
              </w:rPr>
            </w:pPr>
          </w:p>
        </w:tc>
      </w:tr>
      <w:tr>
        <w:trPr>
          <w:trHeight w:val="237"/>
        </w:trPr>
        <w:tc>
          <w:tcPr>
            <w:tcW w:w="534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Brian R. Doom</w:t>
            </w:r>
          </w:p>
        </w:tc>
        <w:tc>
          <w:tcPr>
            <w:tcW w:w="60" w:type="dxa"/>
            <w:vAlign w:val="bottom"/>
          </w:tcPr>
          <w:p>
            <w:pPr>
              <w:spacing w:after="0"/>
              <w:rPr>
                <w:sz w:val="20"/>
                <w:szCs w:val="20"/>
                <w:color w:val="auto"/>
              </w:rPr>
            </w:pPr>
          </w:p>
        </w:tc>
      </w:tr>
    </w:tbl>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20"/>
    </w:lvl>
  </w:abstractNum>
  <w:abstractNum w:abstractNumId="8">
    <w:nsid w:val="79838CB2"/>
    <w:multiLevelType w:val="hybridMultilevel"/>
    <w:lvl w:ilvl="0">
      <w:lvlJc w:val="left"/>
      <w:lvlText w:val="(%1)"/>
      <w:numFmt w:val="decimal"/>
      <w:start w:val="22"/>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3"/>
    </w:lvl>
  </w:abstractNum>
  <w:abstractNum w:abstractNumId="13">
    <w:nsid w:val="71F32454"/>
    <w:multiLevelType w:val="hybridMultilevel"/>
    <w:lvl w:ilvl="0">
      <w:lvlJc w:val="left"/>
      <w:lvlText w:val="%1."/>
      <w:numFmt w:val="decimal"/>
      <w:start w:val="4"/>
    </w:lvl>
  </w:abstractNum>
  <w:abstractNum w:abstractNumId="14">
    <w:nsid w:val="2CA88611"/>
    <w:multiLevelType w:val="hybridMultilevel"/>
    <w:lvl w:ilvl="0">
      <w:lvlJc w:val="left"/>
      <w:lvlText w:val="%1."/>
      <w:numFmt w:val="decimal"/>
      <w:start w:val="5"/>
    </w:lvl>
  </w:abstractNum>
  <w:abstractNum w:abstractNumId="15">
    <w:nsid w:val="836C40E"/>
    <w:multiLevelType w:val="hybridMultilevel"/>
    <w:lvl w:ilvl="0">
      <w:lvlJc w:val="left"/>
      <w:lvlText w:val="%1."/>
      <w:numFmt w:val="decimal"/>
      <w:start w:val="6"/>
    </w:lvl>
  </w:abstractNum>
  <w:abstractNum w:abstractNumId="16">
    <w:nsid w:val="2901D82"/>
    <w:multiLevelType w:val="hybridMultilevel"/>
    <w:lvl w:ilvl="0">
      <w:lvlJc w:val="left"/>
      <w:lvlText w:val="(%1)"/>
      <w:numFmt w:val="lowerRoman"/>
      <w:start w:val="2"/>
    </w:lvl>
  </w:abstractNum>
  <w:abstractNum w:abstractNumId="17">
    <w:nsid w:val="3A95F874"/>
    <w:multiLevelType w:val="hybridMultilevel"/>
    <w:lvl w:ilvl="0">
      <w:lvlJc w:val="left"/>
      <w:lvlText w:val="%1."/>
      <w:numFmt w:val="decimal"/>
      <w:start w:val="7"/>
    </w:lvl>
  </w:abstractNum>
  <w:abstractNum w:abstractNumId="18">
    <w:nsid w:val="8138641"/>
    <w:multiLevelType w:val="hybridMultilevel"/>
    <w:lvl w:ilvl="0">
      <w:lvlJc w:val="left"/>
      <w:lvlText w:val="%1."/>
      <w:numFmt w:val="decimal"/>
      <w:start w:val="8"/>
    </w:lvl>
  </w:abstractNum>
  <w:abstractNum w:abstractNumId="19">
    <w:nsid w:val="1E7FF521"/>
    <w:multiLevelType w:val="hybridMultilevel"/>
    <w:lvl w:ilvl="0">
      <w:lvlJc w:val="left"/>
      <w:lvlText w:val="%1."/>
      <w:numFmt w:val="decimal"/>
      <w:start w:val="9"/>
    </w:lvl>
  </w:abstractNum>
  <w:abstractNum w:abstractNumId="20">
    <w:nsid w:val="7C3DBD3D"/>
    <w:multiLevelType w:val="hybridMultilevel"/>
    <w:lvl w:ilvl="0">
      <w:lvlJc w:val="left"/>
      <w:lvlText w:val="%1."/>
      <w:numFmt w:val="decimal"/>
      <w:start w:val="10"/>
    </w:lvl>
  </w:abstractNum>
  <w:abstractNum w:abstractNumId="21">
    <w:nsid w:val="737B8DDC"/>
    <w:multiLevelType w:val="hybridMultilevel"/>
    <w:lvl w:ilvl="0">
      <w:lvlJc w:val="left"/>
      <w:lvlText w:val="%1."/>
      <w:numFmt w:val="decimal"/>
      <w:start w:val="12"/>
    </w:lvl>
  </w:abstractNum>
  <w:abstractNum w:abstractNumId="22">
    <w:nsid w:val="6CEAF087"/>
    <w:multiLevelType w:val="hybridMultilevel"/>
    <w:lvl w:ilvl="0">
      <w:lvlJc w:val="left"/>
      <w:lvlText w:val="%1."/>
      <w:numFmt w:val="decimal"/>
      <w:start w:val="13"/>
    </w:lvl>
  </w:abstractNum>
  <w:abstractNum w:abstractNumId="23">
    <w:nsid w:val="22221A70"/>
    <w:multiLevelType w:val="hybridMultilevel"/>
    <w:lvl w:ilvl="0">
      <w:lvlJc w:val="left"/>
      <w:lvlText w:val="%1."/>
      <w:numFmt w:val="decimal"/>
      <w:start w:val="14"/>
    </w:lvl>
  </w:abstractNum>
  <w:abstractNum w:abstractNumId="24">
    <w:nsid w:val="4516DDE9"/>
    <w:multiLevelType w:val="hybridMultilevel"/>
    <w:lvl w:ilvl="0">
      <w:lvlJc w:val="left"/>
      <w:lvlText w:val="%1."/>
      <w:numFmt w:val="decimal"/>
      <w:start w:val="15"/>
    </w:lvl>
  </w:abstractNum>
  <w:abstractNum w:abstractNumId="25">
    <w:nsid w:val="3006C83E"/>
    <w:multiLevelType w:val="hybridMultilevel"/>
    <w:lvl w:ilvl="0">
      <w:lvlJc w:val="left"/>
      <w:lvlText w:val="%1."/>
      <w:numFmt w:val="decimal"/>
      <w:start w:val="16"/>
    </w:lvl>
  </w:abstractNum>
  <w:abstractNum w:abstractNumId="26">
    <w:nsid w:val="614FD4A1"/>
    <w:multiLevelType w:val="hybridMultilevel"/>
    <w:lvl w:ilvl="0">
      <w:lvlJc w:val="left"/>
      <w:lvlText w:val="%1."/>
      <w:numFmt w:val="decimal"/>
      <w:start w:val="17"/>
    </w:lvl>
  </w:abstractNum>
  <w:abstractNum w:abstractNumId="27">
    <w:nsid w:val="419AC241"/>
    <w:multiLevelType w:val="hybridMultilevel"/>
    <w:lvl w:ilvl="0">
      <w:lvlJc w:val="left"/>
      <w:lvlText w:val="%1."/>
      <w:numFmt w:val="decimal"/>
      <w:start w:val="18"/>
    </w:lvl>
  </w:abstractNum>
  <w:abstractNum w:abstractNumId="28">
    <w:nsid w:val="5577F8E1"/>
    <w:multiLevelType w:val="hybridMultilevel"/>
    <w:lvl w:ilvl="0">
      <w:lvlJc w:val="left"/>
      <w:lvlText w:val="(%1)"/>
      <w:numFmt w:val="decimal"/>
      <w:start w:val="100"/>
    </w:lvl>
  </w:abstractNum>
  <w:abstractNum w:abstractNumId="29">
    <w:nsid w:val="440BADFC"/>
    <w:multiLevelType w:val="hybridMultilevel"/>
    <w:lvl w:ilvl="0">
      <w:lvlJc w:val="left"/>
      <w:lvlText w:val="%1."/>
      <w:numFmt w:val="decimal"/>
      <w:start w:val="19"/>
    </w:lvl>
  </w:abstractNum>
  <w:abstractNum w:abstractNumId="30">
    <w:nsid w:val="5072367"/>
    <w:multiLevelType w:val="hybridMultilevel"/>
    <w:lvl w:ilvl="0">
      <w:lvlJc w:val="left"/>
      <w:lvlText w:val="%1."/>
      <w:numFmt w:val="decimal"/>
      <w:start w:val="20"/>
    </w:lvl>
  </w:abstractNum>
  <w:abstractNum w:abstractNumId="31">
    <w:nsid w:val="3804823E"/>
    <w:multiLevelType w:val="hybridMultilevel"/>
    <w:lvl w:ilvl="0">
      <w:lvlJc w:val="left"/>
      <w:lvlText w:val="%1."/>
      <w:numFmt w:val="decimal"/>
      <w:start w:val="2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22"/>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32"/>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2019-12-28T13:03:34Z</dcterms:created>
  <dcterms:modified xsi:type="dcterms:W3CDTF">2019-12-28T13:03:34Z</dcterms:modified>
</cp:coreProperties>
</file>