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4"/>
          <w:szCs w:val="24"/>
          <w:color w:val="auto"/>
        </w:rPr>
      </w:pPr>
    </w:p>
    <w:p>
      <w:pPr>
        <w:ind w:right="1740" w:firstLine="8"/>
        <w:spacing w:after="0" w:line="282"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81" w:lineRule="exact"/>
        <w:rPr>
          <w:sz w:val="24"/>
          <w:szCs w:val="24"/>
          <w:color w:val="auto"/>
        </w:rPr>
      </w:pPr>
    </w:p>
    <w:p>
      <w:pPr>
        <w:ind w:right="1740" w:firstLine="8"/>
        <w:spacing w:after="0" w:line="282" w:lineRule="auto"/>
        <w:tabs>
          <w:tab w:leader="none" w:pos="34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NI HOLDINGS,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rPr>
              <w:t>NORTH DAKOTA</w:t>
            </w: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90"/>
              </w:rPr>
              <w:t>(State or other jurisdiction of</w:t>
            </w:r>
          </w:p>
        </w:tc>
        <w:tc>
          <w:tcPr>
            <w:tcW w:w="35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3"/>
              </w:rPr>
              <w:t>Identification No.)</w:t>
            </w:r>
          </w:p>
        </w:tc>
      </w:tr>
      <w:tr>
        <w:trPr>
          <w:trHeight w:val="481"/>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90"/>
              </w:rPr>
              <w:t>1101 First Avenue North</w:t>
            </w:r>
          </w:p>
        </w:tc>
        <w:tc>
          <w:tcPr>
            <w:tcW w:w="3520" w:type="dxa"/>
            <w:vAlign w:val="bottom"/>
          </w:tcPr>
          <w:p>
            <w:pPr>
              <w:spacing w:after="0"/>
              <w:rPr>
                <w:sz w:val="24"/>
                <w:szCs w:val="24"/>
                <w:color w:val="auto"/>
              </w:rPr>
            </w:pPr>
          </w:p>
        </w:tc>
      </w:tr>
      <w:tr>
        <w:trPr>
          <w:trHeight w:val="234"/>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92"/>
              </w:rPr>
              <w:t>Fargo, North Dakota</w:t>
            </w:r>
          </w:p>
        </w:tc>
        <w:tc>
          <w:tcPr>
            <w:tcW w:w="3520" w:type="dxa"/>
            <w:vAlign w:val="bottom"/>
          </w:tcPr>
          <w:p>
            <w:pPr>
              <w:jc w:val="right"/>
              <w:ind w:right="2370"/>
              <w:spacing w:after="0"/>
              <w:rPr>
                <w:sz w:val="20"/>
                <w:szCs w:val="20"/>
                <w:color w:val="auto"/>
              </w:rPr>
            </w:pPr>
            <w:r>
              <w:rPr>
                <w:rFonts w:ascii="Arial" w:cs="Arial" w:eastAsia="Arial" w:hAnsi="Arial"/>
                <w:sz w:val="18"/>
                <w:szCs w:val="18"/>
                <w:b w:val="1"/>
                <w:bCs w:val="1"/>
                <w:color w:val="auto"/>
              </w:rPr>
              <w:t>58102</w:t>
            </w:r>
          </w:p>
        </w:tc>
      </w:tr>
      <w:tr>
        <w:trPr>
          <w:trHeight w:val="257"/>
        </w:trPr>
        <w:tc>
          <w:tcPr>
            <w:tcW w:w="7720" w:type="dxa"/>
            <w:vAlign w:val="bottom"/>
          </w:tcPr>
          <w:p>
            <w:pPr>
              <w:jc w:val="center"/>
              <w:ind w:right="2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5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r>
        <w:trPr>
          <w:trHeight w:val="427"/>
        </w:trPr>
        <w:tc>
          <w:tcPr>
            <w:tcW w:w="7720" w:type="dxa"/>
            <w:vAlign w:val="bottom"/>
          </w:tcPr>
          <w:p>
            <w:pPr>
              <w:jc w:val="right"/>
              <w:ind w:right="1450"/>
              <w:spacing w:after="0"/>
              <w:rPr>
                <w:sz w:val="20"/>
                <w:szCs w:val="20"/>
                <w:color w:val="auto"/>
              </w:rPr>
            </w:pPr>
            <w:r>
              <w:rPr>
                <w:rFonts w:ascii="Arial" w:cs="Arial" w:eastAsia="Arial" w:hAnsi="Arial"/>
                <w:sz w:val="18"/>
                <w:szCs w:val="18"/>
                <w:b w:val="1"/>
                <w:bCs w:val="1"/>
                <w:color w:val="auto"/>
              </w:rPr>
              <w:t>(701) 298-4200</w:t>
            </w:r>
          </w:p>
        </w:tc>
        <w:tc>
          <w:tcPr>
            <w:tcW w:w="3520" w:type="dxa"/>
            <w:vAlign w:val="bottom"/>
          </w:tcPr>
          <w:p>
            <w:pPr>
              <w:spacing w:after="0"/>
              <w:rPr>
                <w:sz w:val="24"/>
                <w:szCs w:val="24"/>
                <w:color w:val="auto"/>
              </w:rPr>
            </w:pPr>
          </w:p>
        </w:tc>
      </w:t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3520" w:type="dxa"/>
            <w:vAlign w:val="bottom"/>
          </w:tcPr>
          <w:p>
            <w:pPr>
              <w:spacing w:after="0"/>
              <w:rPr>
                <w:sz w:val="20"/>
                <w:szCs w:val="20"/>
                <w:color w:val="auto"/>
              </w:rPr>
            </w:pPr>
          </w:p>
        </w:tc>
      </w:tr>
      <w:tr>
        <w:trPr>
          <w:trHeight w:val="175"/>
        </w:trPr>
        <w:tc>
          <w:tcPr>
            <w:tcW w:w="772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77" w:lineRule="exact"/>
        <w:rPr>
          <w:sz w:val="24"/>
          <w:szCs w:val="24"/>
          <w:color w:val="auto"/>
        </w:rPr>
      </w:pPr>
    </w:p>
    <w:tbl>
      <w:tblPr>
        <w:tblLayout w:type="fixed"/>
        <w:tblInd w:w="520" w:type="dxa"/>
        <w:tblCellMar>
          <w:top w:w="0" w:type="dxa"/>
          <w:left w:w="0" w:type="dxa"/>
          <w:bottom w:w="0" w:type="dxa"/>
          <w:right w:w="0" w:type="dxa"/>
        </w:tblCellMar>
      </w:tblPr>
      <w:tr>
        <w:trPr>
          <w:trHeight w:val="221"/>
        </w:trPr>
        <w:tc>
          <w:tcPr>
            <w:tcW w:w="840" w:type="dxa"/>
            <w:vAlign w:val="bottom"/>
          </w:tcPr>
          <w:p>
            <w:pPr>
              <w:spacing w:after="0"/>
              <w:rPr>
                <w:sz w:val="19"/>
                <w:szCs w:val="19"/>
                <w:color w:val="auto"/>
              </w:rPr>
            </w:pPr>
          </w:p>
        </w:tc>
        <w:tc>
          <w:tcPr>
            <w:tcW w:w="322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86"/>
              </w:rPr>
              <w:t>Title of each class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54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8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70"/>
        </w:trPr>
        <w:tc>
          <w:tcPr>
            <w:tcW w:w="4060" w:type="dxa"/>
            <w:vAlign w:val="bottom"/>
            <w:gridSpan w:val="3"/>
          </w:tcPr>
          <w:p>
            <w:pPr>
              <w:jc w:val="center"/>
              <w:ind w:right="1040"/>
              <w:spacing w:after="0"/>
              <w:rPr>
                <w:sz w:val="20"/>
                <w:szCs w:val="20"/>
                <w:color w:val="auto"/>
              </w:rPr>
            </w:pPr>
            <w:r>
              <w:rPr>
                <w:rFonts w:ascii="Arial" w:cs="Arial" w:eastAsia="Arial" w:hAnsi="Arial"/>
                <w:sz w:val="18"/>
                <w:szCs w:val="18"/>
                <w:color w:val="auto"/>
                <w:w w:val="89"/>
              </w:rPr>
              <w:t>Common Stock, $0.01 par value per share</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200" w:type="dxa"/>
            <w:vAlign w:val="bottom"/>
          </w:tcPr>
          <w:p>
            <w:pPr>
              <w:spacing w:after="0"/>
              <w:rPr>
                <w:sz w:val="23"/>
                <w:szCs w:val="23"/>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0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89"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30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2120"/>
        <w:spacing w:after="0" w:line="301"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Registrant’s common stock outstanding on July 31, 2020 was 21,472,124.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494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5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954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FINANCIAL INFORMATION</w:t>
              </w:r>
            </w:hyperlink>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94"/>
        </w:trPr>
        <w:tc>
          <w:tcPr>
            <w:tcW w:w="95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 Financial Statements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Balance Sheets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Operations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Comprehensive Income</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Consolidated Statements of Changes in Shareholders’ Equity</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540" w:type="dxa"/>
            <w:vAlign w:val="bottom"/>
          </w:tcPr>
          <w:p>
            <w:pPr>
              <w:ind w:left="16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Unaudited Consolidated Statements of Cash Flows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9540" w:type="dxa"/>
            <w:vAlign w:val="bottom"/>
          </w:tcPr>
          <w:p>
            <w:pPr>
              <w:ind w:left="16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94"/>
        </w:trPr>
        <w:tc>
          <w:tcPr>
            <w:tcW w:w="95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 - Management's Discussion and Analysis of Financial Condition and Results of Operations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3. - Quantitative and Qualitative Disclosures about Market Risk</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9540" w:type="dxa"/>
            <w:vAlign w:val="bottom"/>
          </w:tcPr>
          <w:p>
            <w:pPr>
              <w:ind w:left="9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4. - Controls and Procedures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72">
              <w:r>
                <w:rPr>
                  <w:rFonts w:ascii="Arial" w:cs="Arial" w:eastAsia="Arial" w:hAnsi="Arial"/>
                  <w:sz w:val="18"/>
                  <w:szCs w:val="18"/>
                  <w:b w:val="1"/>
                  <w:bCs w:val="1"/>
                  <w:u w:val="single" w:color="auto"/>
                  <w:color w:val="0000EE"/>
                </w:rPr>
                <w:t>Part II.- OTHER INFORMATION</w:t>
              </w:r>
            </w:hyperlink>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94"/>
        </w:trPr>
        <w:tc>
          <w:tcPr>
            <w:tcW w:w="95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1. - Legal Proceedings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1A. - Risk Factors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2. - Unregistered Sales of Equity Securities and Use of Proceeds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3. - Defaults upon Senior Securities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4. - Mine Safety Disclosures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5. - Other Information</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540" w:type="dxa"/>
            <w:vAlign w:val="bottom"/>
          </w:tcPr>
          <w:p>
            <w:pPr>
              <w:ind w:left="9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6. - Exhibits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9540" w:type="dxa"/>
            <w:vAlign w:val="bottom"/>
          </w:tcPr>
          <w:p>
            <w:pPr>
              <w:ind w:left="90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Signatures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239" w:lineRule="exact"/>
        <w:rPr>
          <w:sz w:val="20"/>
          <w:szCs w:val="20"/>
          <w:color w:val="auto"/>
        </w:rPr>
      </w:pPr>
    </w:p>
    <w:p>
      <w:pPr>
        <w:ind w:left="660" w:hanging="328"/>
        <w:spacing w:after="0" w:line="284"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Group” refers to Nodak Mutual Group, Inc., which is the majority shareholder of NI Holdings;</w:t>
      </w:r>
    </w:p>
    <w:p>
      <w:pPr>
        <w:spacing w:after="0" w:line="215" w:lineRule="exact"/>
        <w:rPr>
          <w:rFonts w:ascii="Arial" w:cs="Arial" w:eastAsia="Arial" w:hAnsi="Arial"/>
          <w:sz w:val="22"/>
          <w:szCs w:val="22"/>
          <w:color w:val="auto"/>
        </w:rPr>
      </w:pPr>
    </w:p>
    <w:p>
      <w:pPr>
        <w:ind w:left="660" w:right="60" w:hanging="328"/>
        <w:spacing w:after="0" w:line="23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20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“Nodak Stock” refers to Nodak Insurance Company, the successor company to Nodak Mutual Insurance Company after the conversion;</w:t>
      </w:r>
    </w:p>
    <w:p>
      <w:pPr>
        <w:spacing w:after="0" w:line="201"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204"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Insurance” refers to Nodak Stock or Nodak Mutual interchangeably;</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13" w:lineRule="exact"/>
        <w:rPr>
          <w:rFonts w:ascii="Arial" w:cs="Arial" w:eastAsia="Arial" w:hAnsi="Arial"/>
          <w:sz w:val="19"/>
          <w:szCs w:val="19"/>
          <w:color w:val="auto"/>
        </w:rPr>
      </w:pPr>
    </w:p>
    <w:p>
      <w:pPr>
        <w:ind w:left="660" w:right="6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“Battle Creek” refers to Battle Creek Mutual Insurance Company. Battle Creek is not a subsidiary of Nodak Insurance, but all of its insurance policies are reinsured by Nodak Insurance through a 100% quota-share reinsurance agreement. Battle Creek is controlled by Nodak Insurance as a result of an affiliation agreement between Battle Creek and Nodak Insurance. Battle Creek is consolidated with Nodak Insurance for financial reporting purposes;</w:t>
      </w:r>
    </w:p>
    <w:p>
      <w:pPr>
        <w:spacing w:after="0" w:line="215" w:lineRule="exact"/>
        <w:rPr>
          <w:rFonts w:ascii="Arial" w:cs="Arial" w:eastAsia="Arial" w:hAnsi="Arial"/>
          <w:sz w:val="22"/>
          <w:szCs w:val="22"/>
          <w:color w:val="auto"/>
        </w:rPr>
      </w:pPr>
    </w:p>
    <w:p>
      <w:pPr>
        <w:ind w:left="660" w:right="340" w:hanging="328"/>
        <w:spacing w:after="0" w:line="285"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58"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215" w:lineRule="exact"/>
        <w:rPr>
          <w:rFonts w:ascii="Arial" w:cs="Arial" w:eastAsia="Arial" w:hAnsi="Arial"/>
          <w:sz w:val="22"/>
          <w:szCs w:val="22"/>
          <w:color w:val="auto"/>
        </w:rPr>
      </w:pPr>
    </w:p>
    <w:p>
      <w:pPr>
        <w:ind w:left="660" w:right="220" w:hanging="328"/>
        <w:spacing w:after="0" w:line="24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“Westminster” refers to Westminster American Insurance Company. On January 1, 2020, NI Holdings completed the acquisition of 100% of the common stock of Westminster from the private shareholder of Westminster. The financial results of Westminster have been included in the Consolidated Financial Statements herein since January 1, 2020. Westminster is a property and casualty insurance company specializing in commercial multi-peril insurance in the Mid-Atlantic region of the United States; and</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Agency” refers to Nodak Agency, Inc. Nodak Agency is a wholly-owned subsidiary of Nodak Insurance.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6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of goals, intentions, and expectations;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regarding prospects and business strategy; and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estimates of future costs, benefits, and results.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1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6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material changes to the federal crop insurance program;</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future economic conditions in the markets in which we compete that are less favorable than expected;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215" w:lineRule="exact"/>
        <w:rPr>
          <w:rFonts w:ascii="Arial" w:cs="Arial" w:eastAsia="Arial" w:hAnsi="Arial"/>
          <w:sz w:val="22"/>
          <w:szCs w:val="22"/>
          <w:color w:val="auto"/>
        </w:rPr>
      </w:pPr>
    </w:p>
    <w:p>
      <w:pPr>
        <w:ind w:left="980" w:right="54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successfully integrate acquired businesses;</w:t>
      </w:r>
    </w:p>
    <w:p>
      <w:pPr>
        <w:spacing w:after="0" w:line="215" w:lineRule="exact"/>
        <w:rPr>
          <w:rFonts w:ascii="Arial" w:cs="Arial" w:eastAsia="Arial" w:hAnsi="Arial"/>
          <w:sz w:val="22"/>
          <w:szCs w:val="22"/>
          <w:color w:val="auto"/>
        </w:rPr>
      </w:pPr>
    </w:p>
    <w:p>
      <w:pPr>
        <w:ind w:left="980" w:right="2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216" w:lineRule="exact"/>
        <w:rPr>
          <w:rFonts w:ascii="Arial" w:cs="Arial" w:eastAsia="Arial" w:hAnsi="Arial"/>
          <w:sz w:val="22"/>
          <w:szCs w:val="22"/>
          <w:color w:val="auto"/>
        </w:rPr>
      </w:pPr>
    </w:p>
    <w:p>
      <w:pPr>
        <w:ind w:left="980" w:right="12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impact of national or global events, including pandemics, military conflicts, and other wide-spread events;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estimates and adequacy of loss reserves and trends in loss and loss adjustment expenses;</w:t>
      </w:r>
    </w:p>
    <w:p>
      <w:pPr>
        <w:spacing w:after="0" w:line="190"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192" w:lineRule="exact"/>
        <w:rPr>
          <w:rFonts w:ascii="Arial" w:cs="Arial" w:eastAsia="Arial" w:hAnsi="Arial"/>
          <w:sz w:val="21"/>
          <w:szCs w:val="21"/>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inability to obtain regulatory approval of, or to implement, premium rate increases;</w:t>
      </w:r>
    </w:p>
    <w:p>
      <w:pPr>
        <w:spacing w:after="0" w:line="215" w:lineRule="exact"/>
        <w:rPr>
          <w:rFonts w:ascii="Arial" w:cs="Arial" w:eastAsia="Arial" w:hAnsi="Arial"/>
          <w:sz w:val="22"/>
          <w:szCs w:val="22"/>
          <w:color w:val="auto"/>
        </w:rPr>
      </w:pPr>
    </w:p>
    <w:p>
      <w:pPr>
        <w:ind w:left="980" w:right="22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203"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potential impact on our reported net income that could result from the adoption of future accounting standards issued by the Securities and Exchange Commission, the Financial Accounting Standards Board, or other standard-setting bodies;</w:t>
      </w:r>
    </w:p>
    <w:p>
      <w:pPr>
        <w:spacing w:after="0" w:line="194"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potential impact of fraud, operational errors, systems malfunctions, or cybersecurity incidents;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adverse litigation or arbitration results; and</w:t>
      </w:r>
    </w:p>
    <w:p>
      <w:pPr>
        <w:spacing w:after="0" w:line="215" w:lineRule="exact"/>
        <w:rPr>
          <w:rFonts w:ascii="Arial" w:cs="Arial" w:eastAsia="Arial" w:hAnsi="Arial"/>
          <w:sz w:val="22"/>
          <w:szCs w:val="22"/>
          <w:color w:val="auto"/>
        </w:rPr>
      </w:pPr>
    </w:p>
    <w:p>
      <w:pPr>
        <w:ind w:left="980" w:right="660" w:hanging="324"/>
        <w:spacing w:after="0" w:line="238"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7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7380" w:type="dxa"/>
            <w:vAlign w:val="bottom"/>
          </w:tcPr>
          <w:p>
            <w:pPr>
              <w:ind w:left="404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80" w:type="dxa"/>
            <w:vAlign w:val="bottom"/>
          </w:tcPr>
          <w:p>
            <w:pPr>
              <w:spacing w:after="0"/>
              <w:rPr>
                <w:sz w:val="20"/>
                <w:szCs w:val="20"/>
                <w:color w:val="auto"/>
              </w:rPr>
            </w:pPr>
            <w:r>
              <w:rPr>
                <w:rFonts w:ascii="Arial" w:cs="Arial" w:eastAsia="Arial" w:hAnsi="Arial"/>
                <w:sz w:val="18"/>
                <w:szCs w:val="18"/>
                <w:b w:val="1"/>
                <w:bCs w:val="1"/>
                <w:color w:val="auto"/>
              </w:rPr>
              <w:t>Item 1. - 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38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June 30, 2020</w:t>
            </w:r>
          </w:p>
        </w:tc>
        <w:tc>
          <w:tcPr>
            <w:tcW w:w="10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96"/>
        </w:trPr>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67,858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62,132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321,069</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Equity securities, at fair value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60,539</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59,932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cash and investments</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452,049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88,336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36,691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Reinsurance premiums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12,294</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116,014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137,212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36,155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198,356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issued: 23,000,000 shares; and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outstanding: 2020 – 21,631,224 shares, 2019 – 22,119,380 shares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without par value, authorized 5,000,000 shares,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shares issued or outstanding</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96,661</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95,961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employee stock ownership plan shares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233,498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218,480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net of income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Treasury stock, at cost, 2020 – 1,201,721 shares, 2019 – 713,565 shares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(18,517)</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(12,308)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324,723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309,803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624,434</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80" w:type="dxa"/>
            <w:vAlign w:val="bottom"/>
          </w:tcPr>
          <w:p>
            <w:pPr>
              <w:ind w:left="55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4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5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676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Unaudited Consolidated Statements of Operations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(dollar amounts in thousands, except per share amounts)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18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82,006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65,114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140,778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1,778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3,989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(loss) on investments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11,197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95,667</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141,853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52,364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82,786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14,829</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16,151</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24,216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15,568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71,989</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65,133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122,570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108,061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23,678</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3,515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19,283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18,767</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NI Holdings, Inc.</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18,733</w:t>
            </w: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6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2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0.68</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2"/>
        </w:trPr>
        <w:tc>
          <w:tcPr>
            <w:tcW w:w="252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00" w:type="dxa"/>
            <w:vAlign w:val="bottom"/>
            <w:gridSpan w:val="8"/>
          </w:tcPr>
          <w:p>
            <w:pPr>
              <w:spacing w:after="0"/>
              <w:rPr>
                <w:sz w:val="20"/>
                <w:szCs w:val="20"/>
                <w:color w:val="auto"/>
              </w:rPr>
            </w:pPr>
            <w:r>
              <w:rPr>
                <w:rFonts w:ascii="Arial" w:cs="Arial" w:eastAsia="Arial" w:hAnsi="Arial"/>
                <w:sz w:val="18"/>
                <w:szCs w:val="18"/>
                <w:b w:val="1"/>
                <w:bCs w:val="1"/>
                <w:color w:val="auto"/>
              </w:rPr>
              <w:t>Unaudited Consolidated Statements of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w w:val="96"/>
              </w:rPr>
              <w:t>(dollar amounts in 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gridSpan w:val="8"/>
          </w:tcPr>
          <w:p>
            <w:pPr>
              <w:ind w:left="660"/>
              <w:spacing w:after="0"/>
              <w:rPr>
                <w:sz w:val="20"/>
                <w:szCs w:val="20"/>
                <w:color w:val="auto"/>
              </w:rPr>
            </w:pPr>
            <w:r>
              <w:rPr>
                <w:rFonts w:ascii="Arial" w:cs="Arial" w:eastAsia="Arial" w:hAnsi="Arial"/>
                <w:sz w:val="18"/>
                <w:szCs w:val="18"/>
                <w:b w:val="1"/>
                <w:bCs w:val="1"/>
                <w:color w:val="auto"/>
              </w:rPr>
              <w:t>Three Months Ended June 30, 2020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11"/>
          </w:tcPr>
          <w:p>
            <w:pPr>
              <w:jc w:val="center"/>
              <w:ind w:right="360"/>
              <w:spacing w:after="0"/>
              <w:rPr>
                <w:sz w:val="20"/>
                <w:szCs w:val="20"/>
                <w:color w:val="auto"/>
              </w:rPr>
            </w:pPr>
            <w:r>
              <w:rPr>
                <w:rFonts w:ascii="Arial" w:cs="Arial" w:eastAsia="Arial" w:hAnsi="Arial"/>
                <w:sz w:val="18"/>
                <w:szCs w:val="18"/>
                <w:b w:val="1"/>
                <w:bCs w:val="1"/>
                <w:color w:val="auto"/>
                <w:w w:val="89"/>
              </w:rPr>
              <w:t>Six Months Ended June 30, 2020</w:t>
            </w: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 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Attributable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 Non-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Controlling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NI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Controlling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Interest</w:t>
            </w:r>
          </w:p>
        </w:tc>
        <w:tc>
          <w:tcPr>
            <w:tcW w:w="2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Holdings, Inc.</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Interest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3"/>
              </w:rPr>
              <w:t>18,733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w w:val="98"/>
              </w:rPr>
              <w:t>Holding gains on investments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11,463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18"/>
                <w:szCs w:val="18"/>
                <w:color w:val="auto"/>
              </w:rPr>
            </w:pPr>
          </w:p>
        </w:tc>
      </w:tr>
      <w:tr>
        <w:trPr>
          <w:trHeight w:val="202"/>
        </w:trPr>
        <w:tc>
          <w:tcPr>
            <w:tcW w:w="2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Reclassification adjustment for</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capital gain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net income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182"/>
        </w:trPr>
        <w:tc>
          <w:tcPr>
            <w:tcW w:w="2520" w:type="dxa"/>
            <w:vAlign w:val="bottom"/>
          </w:tcPr>
          <w:p>
            <w:pPr>
              <w:ind w:left="360"/>
              <w:spacing w:after="0" w:line="182" w:lineRule="exact"/>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520" w:type="dxa"/>
            <w:vAlign w:val="bottom"/>
          </w:tcPr>
          <w:p>
            <w:pPr>
              <w:ind w:left="540"/>
              <w:spacing w:after="0"/>
              <w:rPr>
                <w:sz w:val="20"/>
                <w:szCs w:val="20"/>
                <w:color w:val="auto"/>
              </w:rPr>
            </w:pPr>
            <w:r>
              <w:rPr>
                <w:rFonts w:ascii="Arial" w:cs="Arial" w:eastAsia="Arial" w:hAnsi="Arial"/>
                <w:sz w:val="18"/>
                <w:szCs w:val="18"/>
                <w:color w:val="auto"/>
              </w:rPr>
              <w:t>income, before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11,181</w:t>
            </w: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6,668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20"/>
                <w:szCs w:val="20"/>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expense related to</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items of other comprehensive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(1,421)</w:t>
            </w:r>
          </w:p>
        </w:tc>
      </w:tr>
      <w:tr>
        <w:trPr>
          <w:trHeight w:val="182"/>
        </w:trPr>
        <w:tc>
          <w:tcPr>
            <w:tcW w:w="2520" w:type="dxa"/>
            <w:vAlign w:val="bottom"/>
          </w:tcPr>
          <w:p>
            <w:pPr>
              <w:ind w:left="360"/>
              <w:spacing w:after="0" w:line="182" w:lineRule="exact"/>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520" w:type="dxa"/>
            <w:vAlign w:val="bottom"/>
          </w:tcPr>
          <w:p>
            <w:pPr>
              <w:ind w:left="540"/>
              <w:spacing w:after="0"/>
              <w:rPr>
                <w:sz w:val="20"/>
                <w:szCs w:val="20"/>
                <w:color w:val="auto"/>
              </w:rPr>
            </w:pPr>
            <w:r>
              <w:rPr>
                <w:rFonts w:ascii="Arial" w:cs="Arial" w:eastAsia="Arial" w:hAnsi="Arial"/>
                <w:sz w:val="18"/>
                <w:szCs w:val="18"/>
                <w:color w:val="auto"/>
              </w:rPr>
              <w:t>income, net of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8,833</w:t>
            </w: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5,268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0"/>
                <w:szCs w:val="20"/>
                <w:color w:val="auto"/>
              </w:rPr>
            </w:pPr>
          </w:p>
        </w:tc>
      </w:tr>
      <w:tr>
        <w:trPr>
          <w:trHeight w:val="196"/>
        </w:trPr>
        <w:tc>
          <w:tcPr>
            <w:tcW w:w="2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27,566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27,749</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20,414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143</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20,557</w:t>
            </w:r>
          </w:p>
        </w:tc>
        <w:tc>
          <w:tcPr>
            <w:tcW w:w="100" w:type="dxa"/>
            <w:vAlign w:val="bottom"/>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rPr>
              <w:t>Three Months Ended June 30, 2019</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89"/>
              </w:rPr>
              <w:t>Six Months Ended June 30, 2019</w:t>
            </w: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Attributable</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 Non-</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Attributable</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 Non-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to NI</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Controlling</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to NI</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Holdings, Inc.</w:t>
            </w: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Interest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Holdings, Inc.</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0"/>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w w:val="98"/>
              </w:rPr>
              <w:t>Holding gains on investments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3,830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7,858</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7,994</w:t>
            </w:r>
          </w:p>
        </w:tc>
      </w:tr>
      <w:tr>
        <w:trPr>
          <w:trHeight w:val="202"/>
        </w:trPr>
        <w:tc>
          <w:tcPr>
            <w:tcW w:w="2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Reclassification adjustment for</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capital (gain)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loss included in net income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182"/>
        </w:trPr>
        <w:tc>
          <w:tcPr>
            <w:tcW w:w="2520" w:type="dxa"/>
            <w:vAlign w:val="bottom"/>
          </w:tcPr>
          <w:p>
            <w:pPr>
              <w:ind w:left="360"/>
              <w:spacing w:after="0" w:line="182" w:lineRule="exact"/>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520" w:type="dxa"/>
            <w:vAlign w:val="bottom"/>
          </w:tcPr>
          <w:p>
            <w:pPr>
              <w:ind w:left="540"/>
              <w:spacing w:after="0"/>
              <w:rPr>
                <w:sz w:val="20"/>
                <w:szCs w:val="20"/>
                <w:color w:val="auto"/>
              </w:rPr>
            </w:pPr>
            <w:r>
              <w:rPr>
                <w:rFonts w:ascii="Arial" w:cs="Arial" w:eastAsia="Arial" w:hAnsi="Arial"/>
                <w:sz w:val="18"/>
                <w:szCs w:val="18"/>
                <w:color w:val="auto"/>
              </w:rPr>
              <w:t>income, before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8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3,834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7,892</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8,025</w:t>
            </w:r>
          </w:p>
        </w:tc>
      </w:tr>
      <w:tr>
        <w:trPr>
          <w:trHeight w:val="209"/>
        </w:trPr>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Income tax expense related 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w w:val="98"/>
              </w:rPr>
              <w:t>items of other comprehensive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(1,685)</w:t>
            </w:r>
          </w:p>
        </w:tc>
      </w:tr>
      <w:tr>
        <w:trPr>
          <w:trHeight w:val="182"/>
        </w:trPr>
        <w:tc>
          <w:tcPr>
            <w:tcW w:w="2520" w:type="dxa"/>
            <w:vAlign w:val="bottom"/>
            <w:tcBorders>
              <w:top w:val="single" w:sz="8" w:color="CCEEFF"/>
            </w:tcBorders>
            <w:shd w:val="clear" w:color="auto" w:fill="CCEEFF"/>
          </w:tcPr>
          <w:p>
            <w:pPr>
              <w:ind w:left="360"/>
              <w:spacing w:after="0" w:line="182" w:lineRule="exact"/>
              <w:rPr>
                <w:sz w:val="20"/>
                <w:szCs w:val="20"/>
                <w:color w:val="auto"/>
              </w:rPr>
            </w:pPr>
            <w:r>
              <w:rPr>
                <w:rFonts w:ascii="Arial" w:cs="Arial" w:eastAsia="Arial" w:hAnsi="Arial"/>
                <w:sz w:val="18"/>
                <w:szCs w:val="18"/>
                <w:color w:val="auto"/>
              </w:rPr>
              <w:t>Other comprehensive</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net of income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8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3,029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6,235</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r>
      <w:tr>
        <w:trPr>
          <w:trHeight w:val="210"/>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5,544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22,651</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jc w:val="center"/>
              <w:ind w:right="121"/>
              <w:spacing w:after="0" w:line="191" w:lineRule="exact"/>
              <w:rPr>
                <w:sz w:val="20"/>
                <w:szCs w:val="20"/>
                <w:color w:val="auto"/>
              </w:rPr>
            </w:pPr>
            <w:r>
              <w:rPr>
                <w:rFonts w:ascii="Arial" w:cs="Arial" w:eastAsia="Arial" w:hAnsi="Arial"/>
                <w:sz w:val="18"/>
                <w:szCs w:val="18"/>
                <w:b w:val="1"/>
                <w:bCs w:val="1"/>
                <w:color w:val="auto"/>
                <w:w w:val="91"/>
              </w:rPr>
              <w:t>Unearned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center"/>
              <w:ind w:right="121"/>
              <w:spacing w:after="0"/>
              <w:rPr>
                <w:sz w:val="20"/>
                <w:szCs w:val="20"/>
                <w:color w:val="auto"/>
              </w:rPr>
            </w:pPr>
            <w:r>
              <w:rPr>
                <w:rFonts w:ascii="Arial" w:cs="Arial" w:eastAsia="Arial" w:hAnsi="Arial"/>
                <w:sz w:val="18"/>
                <w:szCs w:val="18"/>
                <w:b w:val="1"/>
                <w:bCs w:val="1"/>
                <w:color w:val="auto"/>
                <w:w w:val="89"/>
              </w:rPr>
              <w:t>Employee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85"/>
              </w:rPr>
              <w:t>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center"/>
              <w:ind w:right="101"/>
              <w:spacing w:after="0"/>
              <w:rPr>
                <w:sz w:val="20"/>
                <w:szCs w:val="20"/>
                <w:color w:val="auto"/>
              </w:rPr>
            </w:pPr>
            <w:r>
              <w:rPr>
                <w:rFonts w:ascii="Arial" w:cs="Arial" w:eastAsia="Arial" w:hAnsi="Arial"/>
                <w:sz w:val="18"/>
                <w:szCs w:val="18"/>
                <w:b w:val="1"/>
                <w:bCs w:val="1"/>
                <w:color w:val="auto"/>
                <w:w w:val="92"/>
              </w:rPr>
              <w:t>Ownership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221"/>
              <w:spacing w:after="0"/>
              <w:rPr>
                <w:sz w:val="20"/>
                <w:szCs w:val="20"/>
                <w:color w:val="auto"/>
              </w:rPr>
            </w:pPr>
            <w:r>
              <w:rPr>
                <w:rFonts w:ascii="Arial" w:cs="Arial" w:eastAsia="Arial" w:hAnsi="Arial"/>
                <w:sz w:val="18"/>
                <w:szCs w:val="18"/>
                <w:b w:val="1"/>
                <w:bCs w:val="1"/>
                <w:color w:val="auto"/>
                <w:w w:val="89"/>
              </w:rPr>
              <w:t>Plan</w:t>
            </w:r>
          </w:p>
        </w:tc>
        <w:tc>
          <w:tcPr>
            <w:tcW w:w="2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Income, Net of</w:t>
            </w:r>
          </w:p>
        </w:tc>
        <w:tc>
          <w:tcPr>
            <w:tcW w:w="20" w:type="dxa"/>
            <w:vAlign w:val="bottom"/>
          </w:tcPr>
          <w:p>
            <w:pPr>
              <w:spacing w:after="0"/>
              <w:rPr>
                <w:sz w:val="18"/>
                <w:szCs w:val="18"/>
                <w:color w:val="auto"/>
              </w:rPr>
            </w:pPr>
          </w:p>
        </w:tc>
        <w:tc>
          <w:tcPr>
            <w:tcW w:w="940" w:type="dxa"/>
            <w:vAlign w:val="bottom"/>
            <w:gridSpan w:val="4"/>
          </w:tcPr>
          <w:p>
            <w:pPr>
              <w:jc w:val="center"/>
              <w:ind w:right="141"/>
              <w:spacing w:after="0"/>
              <w:rPr>
                <w:sz w:val="20"/>
                <w:szCs w:val="20"/>
                <w:color w:val="auto"/>
              </w:rPr>
            </w:pPr>
            <w:r>
              <w:rPr>
                <w:rFonts w:ascii="Arial" w:cs="Arial" w:eastAsia="Arial" w:hAnsi="Arial"/>
                <w:sz w:val="18"/>
                <w:szCs w:val="18"/>
                <w:b w:val="1"/>
                <w:bCs w:val="1"/>
                <w:color w:val="auto"/>
                <w:w w:val="89"/>
              </w:rPr>
              <w:t>Treasury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Shareholders’</w:t>
            </w:r>
          </w:p>
        </w:tc>
      </w:tr>
      <w:tr>
        <w:trPr>
          <w:trHeight w:val="234"/>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20"/>
                <w:szCs w:val="20"/>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7"/>
              </w:rPr>
              <w:t>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Interest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April 1, 2020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96,374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214,811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(13,459)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301,791</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18,733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18,767</w:t>
            </w: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w w:val="95"/>
              </w:rPr>
              <w:t>Other comprehensive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8,833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8,982</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(5,281)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464</w:t>
            </w: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Balance, June 30, 2020</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96,661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(1,671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233,498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(18,517</w:t>
            </w:r>
          </w:p>
        </w:tc>
        <w:tc>
          <w:tcPr>
            <w:tcW w:w="160" w:type="dxa"/>
            <w:vAlign w:val="bottom"/>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324,723</w:t>
            </w:r>
          </w:p>
        </w:tc>
        <w:tc>
          <w:tcPr>
            <w:tcW w:w="10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0"/>
        </w:trPr>
        <w:tc>
          <w:tcPr>
            <w:tcW w:w="2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4"/>
          </w:tcPr>
          <w:p>
            <w:pPr>
              <w:ind w:left="60"/>
              <w:spacing w:after="0"/>
              <w:rPr>
                <w:sz w:val="20"/>
                <w:szCs w:val="20"/>
                <w:color w:val="auto"/>
              </w:rPr>
            </w:pPr>
            <w:r>
              <w:rPr>
                <w:rFonts w:ascii="Arial" w:cs="Arial" w:eastAsia="Arial" w:hAnsi="Arial"/>
                <w:sz w:val="18"/>
                <w:szCs w:val="18"/>
                <w:b w:val="1"/>
                <w:bCs w:val="1"/>
                <w:color w:val="auto"/>
              </w:rPr>
              <w:t>Six Months Ended June 30,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1"/>
        </w:trPr>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center"/>
              <w:ind w:right="121"/>
              <w:spacing w:after="0" w:line="191" w:lineRule="exact"/>
              <w:rPr>
                <w:sz w:val="20"/>
                <w:szCs w:val="20"/>
                <w:color w:val="auto"/>
              </w:rPr>
            </w:pPr>
            <w:r>
              <w:rPr>
                <w:rFonts w:ascii="Arial" w:cs="Arial" w:eastAsia="Arial" w:hAnsi="Arial"/>
                <w:sz w:val="18"/>
                <w:szCs w:val="18"/>
                <w:b w:val="1"/>
                <w:bCs w:val="1"/>
                <w:color w:val="auto"/>
                <w:w w:val="91"/>
              </w:rPr>
              <w:t>Unearned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center"/>
              <w:ind w:right="121"/>
              <w:spacing w:after="0"/>
              <w:rPr>
                <w:sz w:val="20"/>
                <w:szCs w:val="20"/>
                <w:color w:val="auto"/>
              </w:rPr>
            </w:pPr>
            <w:r>
              <w:rPr>
                <w:rFonts w:ascii="Arial" w:cs="Arial" w:eastAsia="Arial" w:hAnsi="Arial"/>
                <w:sz w:val="18"/>
                <w:szCs w:val="18"/>
                <w:b w:val="1"/>
                <w:bCs w:val="1"/>
                <w:color w:val="auto"/>
                <w:w w:val="89"/>
              </w:rPr>
              <w:t>Employee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85"/>
              </w:rPr>
              <w:t>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Arial" w:cs="Arial" w:eastAsia="Arial" w:hAnsi="Arial"/>
                <w:sz w:val="18"/>
                <w:szCs w:val="18"/>
                <w:b w:val="1"/>
                <w:bCs w:val="1"/>
                <w:color w:val="auto"/>
              </w:rPr>
              <w:t>Ownership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Comprehensive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89"/>
              </w:rPr>
              <w:t>Plan</w:t>
            </w:r>
          </w:p>
        </w:tc>
        <w:tc>
          <w:tcPr>
            <w:tcW w:w="20" w:type="dxa"/>
            <w:vAlign w:val="bottom"/>
          </w:tcPr>
          <w:p>
            <w:pPr>
              <w:spacing w:after="0"/>
              <w:rPr>
                <w:sz w:val="18"/>
                <w:szCs w:val="18"/>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Income, Net of</w:t>
            </w:r>
          </w:p>
        </w:tc>
        <w:tc>
          <w:tcPr>
            <w:tcW w:w="20" w:type="dxa"/>
            <w:vAlign w:val="bottom"/>
          </w:tcPr>
          <w:p>
            <w:pPr>
              <w:spacing w:after="0"/>
              <w:rPr>
                <w:sz w:val="18"/>
                <w:szCs w:val="18"/>
                <w:color w:val="auto"/>
              </w:rPr>
            </w:pPr>
          </w:p>
        </w:tc>
        <w:tc>
          <w:tcPr>
            <w:tcW w:w="940" w:type="dxa"/>
            <w:vAlign w:val="bottom"/>
            <w:gridSpan w:val="4"/>
          </w:tcPr>
          <w:p>
            <w:pPr>
              <w:jc w:val="center"/>
              <w:ind w:right="161"/>
              <w:spacing w:after="0"/>
              <w:rPr>
                <w:sz w:val="20"/>
                <w:szCs w:val="20"/>
                <w:color w:val="auto"/>
              </w:rPr>
            </w:pPr>
            <w:r>
              <w:rPr>
                <w:rFonts w:ascii="Arial" w:cs="Arial" w:eastAsia="Arial" w:hAnsi="Arial"/>
                <w:sz w:val="18"/>
                <w:szCs w:val="18"/>
                <w:b w:val="1"/>
                <w:bCs w:val="1"/>
                <w:color w:val="auto"/>
                <w:w w:val="92"/>
              </w:rPr>
              <w:t>Treasury</w:t>
            </w:r>
          </w:p>
        </w:tc>
        <w:tc>
          <w:tcPr>
            <w:tcW w:w="128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1"/>
              </w:rPr>
              <w:t>Controlling</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6"/>
              </w:rPr>
              <w:t>Shareholders’</w:t>
            </w:r>
          </w:p>
        </w:tc>
      </w:tr>
      <w:tr>
        <w:trPr>
          <w:trHeight w:val="234"/>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20"/>
                <w:szCs w:val="20"/>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Interest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218,480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(12,308)</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309,803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w w:val="95"/>
              </w:rPr>
              <w:t>Other comprehensive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net of 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(6,783)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(6,783)</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Balance, June 30, 2020</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200" w:type="dxa"/>
            <w:vAlign w:val="bottom"/>
            <w:gridSpan w:val="2"/>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233,498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(18,517</w:t>
            </w:r>
          </w:p>
        </w:tc>
        <w:tc>
          <w:tcPr>
            <w:tcW w:w="180" w:type="dxa"/>
            <w:vAlign w:val="bottom"/>
            <w:gridSpan w:val="2"/>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324,723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121"/>
              <w:spacing w:after="0" w:line="191" w:lineRule="exact"/>
              <w:rPr>
                <w:sz w:val="20"/>
                <w:szCs w:val="20"/>
                <w:color w:val="auto"/>
              </w:rPr>
            </w:pPr>
            <w:r>
              <w:rPr>
                <w:rFonts w:ascii="Arial" w:cs="Arial" w:eastAsia="Arial" w:hAnsi="Arial"/>
                <w:sz w:val="18"/>
                <w:szCs w:val="18"/>
                <w:b w:val="1"/>
                <w:bCs w:val="1"/>
                <w:color w:val="auto"/>
                <w:w w:val="91"/>
              </w:rPr>
              <w:t>Unearned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9"/>
              </w:rPr>
              <w:t>Employee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Additional</w:t>
            </w:r>
          </w:p>
        </w:tc>
        <w:tc>
          <w:tcPr>
            <w:tcW w:w="96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85"/>
              </w:rPr>
              <w:t>Ownership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Comprehensive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9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18"/>
                <w:szCs w:val="18"/>
                <w:color w:val="auto"/>
              </w:rPr>
            </w:pPr>
          </w:p>
        </w:tc>
        <w:tc>
          <w:tcPr>
            <w:tcW w:w="8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4"/>
              </w:rPr>
              <w:t>Plan</w:t>
            </w:r>
          </w:p>
        </w:tc>
        <w:tc>
          <w:tcPr>
            <w:tcW w:w="1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Income, Net of</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Treasury</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Stock</w:t>
            </w:r>
          </w:p>
        </w:tc>
        <w:tc>
          <w:tcPr>
            <w:tcW w:w="80" w:type="dxa"/>
            <w:vAlign w:val="bottom"/>
          </w:tcPr>
          <w:p>
            <w:pPr>
              <w:spacing w:after="0"/>
              <w:rPr>
                <w:sz w:val="20"/>
                <w:szCs w:val="20"/>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20"/>
                <w:szCs w:val="20"/>
                <w:color w:val="auto"/>
              </w:rPr>
            </w:pPr>
          </w:p>
        </w:tc>
        <w:tc>
          <w:tcPr>
            <w:tcW w:w="86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Income Taxes</w:t>
            </w:r>
          </w:p>
        </w:tc>
        <w:tc>
          <w:tcPr>
            <w:tcW w:w="120" w:type="dxa"/>
            <w:vAlign w:val="bottom"/>
          </w:tcPr>
          <w:p>
            <w:pPr>
              <w:spacing w:after="0"/>
              <w:rPr>
                <w:sz w:val="20"/>
                <w:szCs w:val="20"/>
                <w:color w:val="auto"/>
              </w:rPr>
            </w:pPr>
          </w:p>
        </w:tc>
        <w:tc>
          <w:tcPr>
            <w:tcW w:w="94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April 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94,829</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4"/>
                <w:szCs w:val="4"/>
                <w:color w:val="auto"/>
                <w:w w:val="87"/>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205,853</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(10,332)</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of income 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vested award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8"/>
                <w:szCs w:val="18"/>
                <w:color w:val="auto"/>
              </w:rPr>
              <w:t>Balance,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95,121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4"/>
                <w:szCs w:val="4"/>
                <w:color w:val="auto"/>
                <w:w w:val="8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208,330</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(12,308</w:t>
            </w:r>
          </w:p>
        </w:tc>
        <w:tc>
          <w:tcPr>
            <w:tcW w:w="300" w:type="dxa"/>
            <w:vAlign w:val="bottom"/>
          </w:tcPr>
          <w:p>
            <w:pPr>
              <w:jc w:val="right"/>
              <w:ind w:right="22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jc w:val="right"/>
              <w:ind w:right="77"/>
              <w:spacing w:after="0"/>
              <w:rPr>
                <w:sz w:val="20"/>
                <w:szCs w:val="20"/>
                <w:color w:val="auto"/>
              </w:rPr>
            </w:pPr>
            <w:r>
              <w:rPr>
                <w:rFonts w:ascii="Arial" w:cs="Arial" w:eastAsia="Arial" w:hAnsi="Arial"/>
                <w:sz w:val="18"/>
                <w:szCs w:val="18"/>
                <w:b w:val="1"/>
                <w:bCs w:val="1"/>
                <w:color w:val="auto"/>
              </w:rPr>
              <w:t>Six Months Ended June 30, 2019</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center"/>
              <w:ind w:right="1"/>
              <w:spacing w:after="0" w:line="191" w:lineRule="exact"/>
              <w:rPr>
                <w:sz w:val="20"/>
                <w:szCs w:val="20"/>
                <w:color w:val="auto"/>
              </w:rPr>
            </w:pPr>
            <w:r>
              <w:rPr>
                <w:rFonts w:ascii="Arial" w:cs="Arial" w:eastAsia="Arial" w:hAnsi="Arial"/>
                <w:sz w:val="18"/>
                <w:szCs w:val="18"/>
                <w:b w:val="1"/>
                <w:bCs w:val="1"/>
                <w:color w:val="auto"/>
                <w:w w:val="91"/>
              </w:rPr>
              <w:t>Unearned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center"/>
              <w:ind w:right="1"/>
              <w:spacing w:after="0"/>
              <w:rPr>
                <w:sz w:val="20"/>
                <w:szCs w:val="20"/>
                <w:color w:val="auto"/>
              </w:rPr>
            </w:pPr>
            <w:r>
              <w:rPr>
                <w:rFonts w:ascii="Arial" w:cs="Arial" w:eastAsia="Arial" w:hAnsi="Arial"/>
                <w:sz w:val="18"/>
                <w:szCs w:val="18"/>
                <w:b w:val="1"/>
                <w:bCs w:val="1"/>
                <w:color w:val="auto"/>
                <w:w w:val="89"/>
              </w:rPr>
              <w:t>Employee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w:t>
            </w:r>
          </w:p>
        </w:tc>
        <w:tc>
          <w:tcPr>
            <w:tcW w:w="96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2"/>
              </w:rPr>
              <w:t>Ownership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86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9"/>
              </w:rPr>
              <w:t>Plan</w:t>
            </w:r>
          </w:p>
        </w:tc>
        <w:tc>
          <w:tcPr>
            <w:tcW w:w="10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Income, Net of</w:t>
            </w:r>
          </w:p>
        </w:tc>
        <w:tc>
          <w:tcPr>
            <w:tcW w:w="1060" w:type="dxa"/>
            <w:vAlign w:val="bottom"/>
            <w:gridSpan w:val="3"/>
          </w:tcPr>
          <w:p>
            <w:pPr>
              <w:jc w:val="right"/>
              <w:ind w:right="301"/>
              <w:spacing w:after="0"/>
              <w:rPr>
                <w:sz w:val="20"/>
                <w:szCs w:val="20"/>
                <w:color w:val="auto"/>
              </w:rPr>
            </w:pPr>
            <w:r>
              <w:rPr>
                <w:rFonts w:ascii="Arial" w:cs="Arial" w:eastAsia="Arial" w:hAnsi="Arial"/>
                <w:sz w:val="18"/>
                <w:szCs w:val="18"/>
                <w:b w:val="1"/>
                <w:bCs w:val="1"/>
                <w:color w:val="auto"/>
                <w:w w:val="92"/>
              </w:rPr>
              <w:t>Treasury</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86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Earnings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Income Taxes</w:t>
            </w:r>
          </w:p>
        </w:tc>
        <w:tc>
          <w:tcPr>
            <w:tcW w:w="120" w:type="dxa"/>
            <w:vAlign w:val="bottom"/>
          </w:tcPr>
          <w:p>
            <w:pPr>
              <w:spacing w:after="0"/>
              <w:rPr>
                <w:sz w:val="20"/>
                <w:szCs w:val="20"/>
                <w:color w:val="auto"/>
              </w:rPr>
            </w:pPr>
          </w:p>
        </w:tc>
        <w:tc>
          <w:tcPr>
            <w:tcW w:w="9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w w:val="93"/>
              </w:rPr>
              <w:t>Stock</w:t>
            </w:r>
          </w:p>
        </w:tc>
        <w:tc>
          <w:tcPr>
            <w:tcW w:w="12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82"/>
        </w:trPr>
        <w:tc>
          <w:tcPr>
            <w:tcW w:w="2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183,946</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(10,634)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275,753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change in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accounting for equity securities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8,184</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(8,184)</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16,251</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Other comprehensive income, net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6,235</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9"/>
              </w:rPr>
              <w:t>Issuance of vested award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4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95,121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5"/>
              </w:rPr>
              <w:t>208,330</w:t>
            </w:r>
          </w:p>
        </w:tc>
        <w:tc>
          <w:tcPr>
            <w:tcW w:w="2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4,427</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CCEEFF"/>
            </w:tcBorders>
            <w:gridSpan w:val="2"/>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(12,308)</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3,428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297,314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June 30, 2019</w:t>
            </w:r>
          </w:p>
        </w:tc>
        <w:tc>
          <w:tcPr>
            <w:tcW w:w="220" w:type="dxa"/>
            <w:vAlign w:val="bottom"/>
            <w:gridSpan w:val="2"/>
            <w:vMerge w:val="continue"/>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8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806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15,212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Net capital loss (gain) on investments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3,722</w:t>
            </w: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(benefit) expense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Depreciation of property and equipment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1,177</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policy acquisition costs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24,216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Deferral of policy acquisition costs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(33,021)</w:t>
            </w: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(29,228)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of premiums and discounts on investments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Loss on sale of property and equipment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Premiums and agents’ balances receivable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(43,138)</w:t>
            </w: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Reinsurance premiums receivable / payable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Reinsurance recoverables on losses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(4,203)</w:t>
            </w: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investment income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Receivable from Federal Crop Insurance Corporation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1,936</w:t>
            </w: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(13,499)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recoverable / payable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Unpaid losses and loss adjustment expenses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Unearned premiums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31,325</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flows from operating activities</w:t>
            </w:r>
          </w:p>
        </w:tc>
        <w:tc>
          <w:tcPr>
            <w:tcW w:w="3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21,803</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fixed income securities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45,539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Proceeds from sales of equity securities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9,429</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fixed income securities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(51,944)</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(40,168)</w:t>
            </w: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Purchases of equity securities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(11,207)</w:t>
            </w: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 net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2"/>
        </w:trPr>
        <w:tc>
          <w:tcPr>
            <w:tcW w:w="8060" w:type="dxa"/>
            <w:vAlign w:val="bottom"/>
          </w:tcPr>
          <w:p>
            <w:pPr>
              <w:ind w:left="180"/>
              <w:spacing w:after="0" w:line="201" w:lineRule="exact"/>
              <w:rPr>
                <w:sz w:val="20"/>
                <w:szCs w:val="20"/>
                <w:color w:val="auto"/>
              </w:rPr>
            </w:pPr>
            <w:r>
              <w:rPr>
                <w:rFonts w:ascii="Arial" w:cs="Arial" w:eastAsia="Arial" w:hAnsi="Arial"/>
                <w:sz w:val="18"/>
                <w:szCs w:val="18"/>
                <w:color w:val="auto"/>
                <w:w w:val="94"/>
              </w:rPr>
              <w:t>Acquisition of Westminster American Insurance Company (cash consideration paid net of cash and cash</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equivalents acquired)</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(703)</w:t>
            </w:r>
          </w:p>
        </w:tc>
        <w:tc>
          <w:tcPr>
            <w:tcW w:w="2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3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(9,263)</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(17,390)</w:t>
            </w:r>
          </w:p>
        </w:tc>
        <w:tc>
          <w:tcPr>
            <w:tcW w:w="12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treasury stock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(6,783)</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Issuance of restricted stock awards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5,726</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(8,376)</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62,132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67,858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60" w:type="dxa"/>
            <w:vAlign w:val="bottom"/>
          </w:tcPr>
          <w:p>
            <w:pPr>
              <w:spacing w:after="0" w:line="201" w:lineRule="exact"/>
              <w:rPr>
                <w:sz w:val="20"/>
                <w:szCs w:val="20"/>
                <w:color w:val="auto"/>
              </w:rPr>
            </w:pPr>
            <w:r>
              <w:rPr>
                <w:rFonts w:ascii="Arial" w:cs="Arial" w:eastAsia="Arial" w:hAnsi="Arial"/>
                <w:sz w:val="18"/>
                <w:szCs w:val="18"/>
                <w:color w:val="auto"/>
                <w:w w:val="96"/>
              </w:rPr>
              <w:t>Non-cash item: Present value of installment payable issued in connection with acquisition of Westminster</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18,787</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60" w:type="dxa"/>
            <w:vAlign w:val="bottom"/>
          </w:tcPr>
          <w:p>
            <w:pPr>
              <w:ind w:left="180"/>
              <w:spacing w:after="0"/>
              <w:rPr>
                <w:sz w:val="20"/>
                <w:szCs w:val="20"/>
                <w:color w:val="auto"/>
              </w:rPr>
            </w:pPr>
            <w:r>
              <w:rPr>
                <w:rFonts w:ascii="Arial" w:cs="Arial" w:eastAsia="Arial" w:hAnsi="Arial"/>
                <w:sz w:val="18"/>
                <w:szCs w:val="18"/>
                <w:color w:val="auto"/>
              </w:rPr>
              <w:t>American Insurance Company</w:t>
            </w:r>
          </w:p>
        </w:tc>
        <w:tc>
          <w:tcPr>
            <w:tcW w:w="58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0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0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Income taxes paid</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These consolidated financial statements of NI Holdings include the financial position and results of NI Holdings and seven other entities:</w:t>
      </w:r>
    </w:p>
    <w:p>
      <w:pPr>
        <w:spacing w:after="0" w:line="13" w:lineRule="exact"/>
        <w:rPr>
          <w:sz w:val="20"/>
          <w:szCs w:val="20"/>
          <w:color w:val="auto"/>
        </w:rPr>
      </w:pPr>
    </w:p>
    <w:p>
      <w:pPr>
        <w:ind w:left="1120" w:hanging="320"/>
        <w:spacing w:after="0"/>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Nodak Agency, Inc. (“Nodak Agency”);</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American West Insurance Company (“American West”);</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Primero Insurance Company (“Primero”);</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Battle Creek Mutual Insurance Company (“Battle Creek”, an affiliated company with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Direct Auto Insurance Company (“Direct Auto”);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Westminster American Insurance Company (“Westminster”).</w:t>
      </w:r>
    </w:p>
    <w:p>
      <w:pPr>
        <w:spacing w:after="0" w:line="17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21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6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1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Direct Auto, a wholly-owned subsidiary of NI Holdings, is a property and casualty company licensed in Illinois. Direct Auto began writing non-standard automobile coverage in 2007, and was acquired by NI Holdings on August 31, 2018 via a stock purchase agreement.</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a wholly-owned subsidiary of NI Holdings, is a property and casualty insurance company licensed in seventeen states and the District of Columbia. Westminster is headquartered in Owings Mills, Maryland and underwrites multi-peril commercial insurance in the states of Delaware, Georgia, Maryland, New Jersey, North Carolina, Pennsylvania, South Carolina, Virginia, West Virginia, and the District of Columbia. Westminster was acquired by NI Holdings on January 1, 2020 via a stock purchase agreement. The financial results of Westminster have been included in the Consolidated Financial Statements herein since January 1, 2020. See Note 4.</w:t>
      </w:r>
    </w:p>
    <w:p>
      <w:pPr>
        <w:spacing w:after="0" w:line="17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ectPr>
          <w:pgSz w:w="11900" w:h="16838" w:orient="portrait"/>
          <w:cols w:equalWidth="0" w:num="1">
            <w:col w:w="11220"/>
          </w:cols>
          <w:pgMar w:left="320" w:top="125" w:right="3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1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periods ended June 30, 2020 are not necessarily indicative of the results that may be expected for the year ended December 31, 2020.</w:t>
      </w:r>
    </w:p>
    <w:p>
      <w:pPr>
        <w:spacing w:after="0" w:line="148"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26" w:lineRule="exact"/>
        <w:rPr>
          <w:sz w:val="20"/>
          <w:szCs w:val="20"/>
          <w:color w:val="auto"/>
        </w:rPr>
      </w:pPr>
    </w:p>
    <w:p>
      <w:pPr>
        <w:ind w:left="660" w:right="7200" w:hanging="652"/>
        <w:spacing w:after="0" w:line="479"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u w:val="single" w:color="auto"/>
          <w:color w:val="auto"/>
        </w:rPr>
        <w:t>Use of Estimates:</w:t>
      </w:r>
    </w:p>
    <w:p>
      <w:pPr>
        <w:spacing w:after="0" w:line="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70" w:lineRule="exact"/>
        <w:rPr>
          <w:sz w:val="20"/>
          <w:szCs w:val="20"/>
          <w:color w:val="auto"/>
        </w:rPr>
      </w:pPr>
    </w:p>
    <w:p>
      <w:pPr>
        <w:ind w:right="460"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21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3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7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net investment income, bad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debt expense, and income taxes. Therefore, we consolidate the financial statements of Battle Creek, and Battle Creek’s policyholders’ interest in Battle Creek is reflected as a non-controlling interest in shareholders’ equity in our Consolidated Balance Sheet.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Unrealized gains and losses on fixed income securities, and on equity securities prior to January 1, 2019, net of income taxes, are reported in accumulated other comprehensive income. Effective January 1, 2019, in accordance with a change in accounting principle, changes in unrealized gains and losses on equity securities are reported as a component of net capital gain (loss) on investments in our operating results.</w:t>
      </w:r>
    </w:p>
    <w:p>
      <w:pPr>
        <w:spacing w:after="0" w:line="160"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(loss) on investments, along with the change in unrealized gains and losses on equity securities after January 1, 2019.</w:t>
      </w:r>
    </w:p>
    <w:p>
      <w:pPr>
        <w:spacing w:after="0" w:line="14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 (loss).</w:t>
      </w:r>
    </w:p>
    <w:p>
      <w:pPr>
        <w:spacing w:after="0" w:line="16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12" w:lineRule="exact"/>
        <w:rPr>
          <w:sz w:val="20"/>
          <w:szCs w:val="20"/>
          <w:color w:val="auto"/>
        </w:rPr>
      </w:pPr>
    </w:p>
    <w:p>
      <w:pPr>
        <w:ind w:left="660" w:right="160"/>
        <w:spacing w:after="0" w:line="311" w:lineRule="auto"/>
        <w:rPr>
          <w:sz w:val="20"/>
          <w:szCs w:val="20"/>
          <w:color w:val="auto"/>
        </w:rPr>
      </w:pPr>
      <w:r>
        <w:rPr>
          <w:rFonts w:ascii="Arial" w:cs="Arial" w:eastAsia="Arial" w:hAnsi="Arial"/>
          <w:sz w:val="16"/>
          <w:szCs w:val="16"/>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35" w:lineRule="exact"/>
        <w:rPr>
          <w:sz w:val="20"/>
          <w:szCs w:val="20"/>
          <w:color w:val="auto"/>
        </w:rPr>
      </w:pPr>
    </w:p>
    <w:p>
      <w:pPr>
        <w:jc w:val="both"/>
        <w:ind w:left="660" w:right="300"/>
        <w:spacing w:after="0" w:line="301" w:lineRule="auto"/>
        <w:rPr>
          <w:sz w:val="20"/>
          <w:szCs w:val="20"/>
          <w:color w:val="auto"/>
        </w:rPr>
      </w:pPr>
      <w:r>
        <w:rPr>
          <w:rFonts w:ascii="Arial" w:cs="Arial" w:eastAsia="Arial" w:hAnsi="Arial"/>
          <w:sz w:val="16"/>
          <w:szCs w:val="16"/>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p>
    <w:p>
      <w:pPr>
        <w:spacing w:after="0" w:line="21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All other invested assets have been assessed for impairment. The carrying value of these other invested assets was $2,583 at June 30, 2020 and $1,914 at December 31, 2019.</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 of Segment Information:</w:t>
      </w:r>
    </w:p>
    <w:p>
      <w:pPr>
        <w:spacing w:after="0" w:line="212"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Effective in the first quarter of 2020, the Company’s results are being reported in our Consolidated Financial Statements in the following five primary operating segments – private passenger auto insurance, non-standard auto insurance, home and farm insurance, crop insurance, and commercial insurance. A sixth “all other” segment captures all other insurance business, including our assumed reinsurance lines of business.</w:t>
      </w:r>
    </w:p>
    <w:p>
      <w:pPr>
        <w:spacing w:after="0" w:line="1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Commercial insurance was previously reported within the all other segment. All prior periods presented have been reclassified to conform to this presentation.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1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60"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period of risk for our crop insurance program, which comprise primarily spring-planted crops, typically runs from April1 (the approximate time when farmers can begin to work their fields) through December 15 (last date claims can be made for the most recent planting season). The crop insurance program provides indemnification for acreage that cannot be planted because of flood, drought, or other natural disaster (known as “prevented planting”). In cases where a valid prevented planting claim is made by an insured, the Company assumes that the risk period has ended as there will be no additional coverage under the policy, and the Company will immediately recognize the remaining unearned premium.</w:t>
      </w:r>
    </w:p>
    <w:p>
      <w:pPr>
        <w:spacing w:after="0" w:line="14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 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state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the estimated useful lives of the assets.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6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w:t>
      </w:r>
    </w:p>
    <w:p>
      <w:pPr>
        <w:sectPr>
          <w:pgSz w:w="11900" w:h="16838" w:orient="portrait"/>
          <w:cols w:equalWidth="0" w:num="1">
            <w:col w:w="11240"/>
          </w:cols>
          <w:pgMar w:left="320" w:top="125" w:right="33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w:t>
      </w:r>
    </w:p>
    <w:p>
      <w:pPr>
        <w:spacing w:after="0" w:line="11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1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With the exception of Battle Creek, which files a stand-alone federal income tax return, we currently file a consolidated federal income tax return which includes NI Holdings and its wholly-owned subsidiaries. Direct Auto and Westminster became part of the consolidated federal income tax return as of their acquisition dates.</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a separate financial entity. While state premium taxes are included as a part of amortization of deferred policy acquisition costs, state income taxes are combined with federal income taxes within the financial reporting category labeled income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tax-related interest and penalties, if any, as part of income tax expense in the year such amounts are determinable.</w:t>
      </w:r>
    </w:p>
    <w:p>
      <w:pPr>
        <w:spacing w:after="0" w:line="223"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4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6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11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Corporation (“SIPC”) up to $500. On occasion, balances for these accounts are maintained in excess of the SIPC insurance limit.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p>
    <w:p>
      <w:pPr>
        <w:spacing w:after="0" w:line="198"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color w:val="auto"/>
        </w:rPr>
        <w:t>Goodwill represents the excess of the purchase price over the underlying fair value of acquired entities. When completing acquisitions, we seek also to identify separately identifiable intangible assets that we have acquired. We assess goodwill and other intangibles with an indefinite useful life for impairment annually. We also assess goodwill and other intangibles for impairment upon the occurrence of certain events. In making our assessment, we consider a number of factors including operating results, business plans, economic projections, anticipated future cash flows, and current market data.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Inherent uncertainties exist with respect to these factors and to our judgment in applying them when we make our assessment. Impairment of goodwill and other intangibles could result from changes in economic and operating conditions in future periods. We did not record any impairments of goodwill or other intangibles during the three or six month periods ended June 30, 2020 and 2019.</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7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acquisition/valuation date.</w:t>
      </w:r>
    </w:p>
    <w:p>
      <w:pPr>
        <w:spacing w:after="0" w:line="14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Goodwill arising from the acquisition of Westminster in January 2020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commercial business product line of the Company. Other intangible assets arising from the acquisition of Westminster represent the estimated fair values of certain intangible assets, including state insurance licenses, the value of Westminster’s distribution network, the value of the Westminster trade name, and the VOBA. The state insurance license asset has an indefinite life, while the distribution networks asset, Westminster trade name, and VOBA assets will be amortized over twenty years, ten years, and twelve months, respectively, from the January 1, 2020 acquisition/valuation date.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Westminster American Insurance Company</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January 1, 2020, the Company completed the acquisition of 100% of the common stock of Westminster from the private shareholder of Westminster, and Westminster became a consolidated subsidiary of the Company. Westminster is a property and casualty insurance company specializing in multi-peril commercial insurance in nine states and the District of Columbia.</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Westminster remains headquartered in Owings Mills, Maryland, and the current president of Westminster continues to manage the Westminster insurance operations along with the staff and management team in place at the time of the acquisition. The results of Westminster are included as part of the Company’s commercial business segment following the closing date.</w:t>
      </w:r>
    </w:p>
    <w:p>
      <w:pPr>
        <w:spacing w:after="0" w:line="15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Westminster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During the three months ended June 30, 2020, the Company made minor adjustments to property and equipment, the value of business acquired intangible asset, and deferred income taxes.</w:t>
      </w:r>
    </w:p>
    <w:p>
      <w:pPr>
        <w:spacing w:after="0" w:line="16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acquired Westminster business contributed revenues of $7,462 and net loss of $525 to the Company for the three months ended June 30, 2020, and revenues of $13,791 and net loss of $683 for the six months ended June 30, 2020. The following unaudited pro forma summary presents consolidated information of the Company as if the business combination had occurred on January 1, 2019: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Pro forma</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4"/>
              </w:rPr>
              <w:t>Pro forma</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18"/>
                <w:szCs w:val="18"/>
                <w:color w:val="auto"/>
              </w:rPr>
            </w:pPr>
          </w:p>
        </w:tc>
        <w:tc>
          <w:tcPr>
            <w:tcW w:w="18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NI Holdings, Inc.</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did not reflect any material, nonrecurring pro forma adjustments directly attributable to the business combination in the above pro forma revenue and earnings.</w:t>
      </w:r>
    </w:p>
    <w:p>
      <w:pPr>
        <w:spacing w:after="0" w:line="157"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These pro forma amounts have been calculated after applying the Company’s accounting policies and adjusting the results of Westminster to reflect the deferral and amortization of policy acquisition costs and the additional amortization that would have been charged assuming the fair value adjustments to intangible assets had been applied from January 1, 2019, with the related income tax effects.</w:t>
      </w:r>
    </w:p>
    <w:p>
      <w:pPr>
        <w:spacing w:after="0" w:line="13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Company incurred acquisition-related costs of $828 during the six months ended June 30, 2020, and $83 during the third and fourth quarters of 2019, respectively. These expenses were reclassified to occur in first quarter 2019 in the pro forma amounts presented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paid $20,000 in cash consideration to the private shareholder of Westminster as of the closing date, and will pay an additional $20,000 in three equal annual installments. The acquisition of Westminster did not include any contingent consideration other than a provision regarding future changes to federal income tax rates. The following table summarizes the consideration transferred to acquire Westminster and the amounts of identified assets acquired and liabilities assumed at the acquisition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Present value of future cash consideration</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18"/>
                <w:szCs w:val="18"/>
                <w:color w:val="auto"/>
              </w:rPr>
            </w:pPr>
          </w:p>
        </w:tc>
      </w:tr>
      <w:tr>
        <w:trPr>
          <w:trHeight w:val="210"/>
        </w:trPr>
        <w:tc>
          <w:tcPr>
            <w:tcW w:w="9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consideration</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9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19,297</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Fixed income securities, at fair value</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 at fair value</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8,507</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recoverables on losses</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income tax recoverable</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State insurance licenses (included in goodwill and other intangibles)</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 (included in goodwill and other intangibles)</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Trade name (included in goodwill and other intangibles)</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4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(8,568)</w:t>
            </w: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4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(16,611)</w:t>
            </w: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4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(1,642)</w:t>
            </w: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4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(565)</w:t>
            </w: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r>
      <w:tr>
        <w:trPr>
          <w:trHeight w:val="249"/>
        </w:trPr>
        <w:tc>
          <w:tcPr>
            <w:tcW w:w="9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170"/>
        </w:trPr>
        <w:tc>
          <w:tcPr>
            <w:tcW w:w="9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fair value of the assets acquired includes premiums and agents’ balances receivable of $8,507 and reinsurance recoverables on losses of $763. These are the gross amounts due from policyholders and reinsurers, respectively, none of which are anticipated to be uncollectible. The Company did not acquire any other material class of receivable as a result of the acquisition of Westminster.</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fair values of the acquired distribution network, state insurance licenses, Westminster trade name, and VOBA intangible assets of $6,700, $1,800, $500, and $4,750, respectively, are provisional pending receipt of the final valuation for those assets. The state insurance license intangible has an indefinite life, while the other intangible assets will be amortized over useful lives of up to twenty years.</w:t>
      </w:r>
    </w:p>
    <w:p>
      <w:pPr>
        <w:spacing w:after="0" w:line="12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January 2019, the Company adopted amended guidance from the Financial Accounting Standards Board (“FASB”) that generally requires entities to measure equity securities at fair value and recognize changes in fair value in their results of operations. The FASB issued other impairment, disclosure, and presentation improvements related to financial instruments within the guidance. Effective January 1, 2019, we applied this guidance, which resulted in a cumulative-effect reclassification of after-tax unrealized net capital gains aggregating $8,184, from accumulated other comprehensive income to retained earnings. This reclassification had no</w:t>
      </w:r>
    </w:p>
    <w:p>
      <w:pPr>
        <w:sectPr>
          <w:pgSz w:w="11900" w:h="16838" w:orient="portrait"/>
          <w:cols w:equalWidth="0" w:num="1">
            <w:col w:w="11240"/>
          </w:cols>
          <w:pgMar w:left="320" w:top="125"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impact to the Company’s results of operations at the date of adoption. The after-tax change in accounting for equity securities did not affect the Company’s total shareholders’ equity; however, the unrealized net capital gains reclassified at the transition date to retained earnings will never be recognized in net income. Prior year financial statements were not restated. Going forward, the accounting used for equity securities will record the market fluctuations attributed to equity securities through our results of operations rather than as a component of other comprehensive income (loss), which will add a level of volatility to our net income.</w:t>
      </w:r>
    </w:p>
    <w:p>
      <w:pPr>
        <w:spacing w:after="0" w:line="17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December 2019, the Company adopted guidance from the FASB that establishes the manner in which an entity recognizes the amount of revenue to which it expects to be entitled for the transfer of promised goods or services to customers. While the guidance replaces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As a result, there was no impact to the Company’s financial position, results of operations, or cash flows.</w:t>
      </w:r>
    </w:p>
    <w:p>
      <w:pPr>
        <w:spacing w:after="0" w:line="14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December 2019, the Company adopted amended guidance from the FASB that addressed diversity in how certain cash receipts and cash payments are presented and classified in the Consolidated Statement of Cash Flows, and the presentation of restricted cash in the Consolidated Statement of Cash Flows. The amendments provided clarity on the treatment of eight specifically defined types of cash inflows and outflows, and requires entities to explain the changes during a reporting period in the total of cash, cash equivalents, and amounts generally described as restricted cash or restricted cash equivalents. There was no impact to the Company’s financial position,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1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 new guidance, which replaces the current lease guidance, is effective for annual and interim reporting periods beginning after December 15, 2019 for public business entities. For private companies and emerging growth companies, this guidance is effective for annual reporting periods beginning after December 15, 2021 and interim periods within fiscal years beginning after December 15, 2022. Early adoption is permitted for all entities. We do not expect the adoption of this new guidance to have a significant impact on our financial position, results of operations, or cash flows.In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filers with the Securities and Exchange Commission (“SEC”) excluding smaller reporting companies, and emerging growth companies that did not relinquish private company relief. For all other entities, this guidance is effective for annual reporting periods beginning after December 15, 2022 and interim periods within those fiscal years.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5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public business entities.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directly to retained earnings as of the beginning of the period of adoption. We are evaluating the requirements of this guidance and the potential impact to our financial position, results of operations, and cash flows.</w:t>
      </w:r>
    </w:p>
    <w:p>
      <w:pPr>
        <w:spacing w:after="0" w:line="15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August 2018, the FASB issued modified disclosure requirements relating to the fair value of assets and liabilities. The amended requirements are effective for fiscal years, and interim periods within those fiscal years, beginning after December 15, 2019. Early adoption is permitted. We do not expect these modified requirements will have a material impact on our financial statement disclosures.</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is effective for fiscal years beginning after December 15, 2020, including interim periods within those fiscal years, for public business entities. For private companies and emerging growth companies, this amended guidance is effective for fiscal years beginning after December 15, 2021, and interim periods within fiscal years beginning after December 15, 2022. Early adoption is permitted, including adoption in an interim period. We are evaluating the impact this new guidance will have on our financial position, results of operations, and cash flows.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estimated fair value of investment securities as of June 30, 2020 and December 31, 2019,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10"/>
          </w:tcPr>
          <w:p>
            <w:pPr>
              <w:jc w:val="right"/>
              <w:ind w:right="941"/>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61"/>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261"/>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16,203</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17,357</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65,212</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122,663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7,835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129,750</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45,520</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24,634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26,199</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37,031</w:t>
            </w:r>
          </w:p>
        </w:tc>
        <w:tc>
          <w:tcPr>
            <w:tcW w:w="100" w:type="dxa"/>
            <w:vAlign w:val="bottom"/>
            <w:shd w:val="clear" w:color="auto" w:fill="CCEEFF"/>
          </w:tcPr>
          <w:p>
            <w:pPr>
              <w:spacing w:after="0"/>
              <w:rPr>
                <w:sz w:val="18"/>
                <w:szCs w:val="18"/>
                <w:color w:val="auto"/>
              </w:rPr>
            </w:pPr>
          </w:p>
        </w:tc>
      </w:tr>
      <w:tr>
        <w:trPr>
          <w:trHeight w:val="209"/>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307,062</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321,069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4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7,763</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13,531</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9,515</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7,159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0"/>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20,414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4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350,812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35,772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381,608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0"/>
        </w:trPr>
        <w:tc>
          <w:tcPr>
            <w:tcW w:w="4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right"/>
              <w:ind w:right="781"/>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421"/>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4"/>
          </w:tcPr>
          <w:p>
            <w:pPr>
              <w:jc w:val="center"/>
              <w:ind w:right="301"/>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17,078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17,546</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55,232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56,652</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109,457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113,213</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51,486</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26,450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27,057</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29,991</w:t>
            </w:r>
          </w:p>
        </w:tc>
        <w:tc>
          <w:tcPr>
            <w:tcW w:w="100" w:type="dxa"/>
            <w:vAlign w:val="bottom"/>
            <w:shd w:val="clear" w:color="auto" w:fill="CCEEFF"/>
          </w:tcPr>
          <w:p>
            <w:pPr>
              <w:spacing w:after="0"/>
              <w:rPr>
                <w:sz w:val="18"/>
                <w:szCs w:val="18"/>
                <w:color w:val="auto"/>
              </w:rPr>
            </w:pPr>
          </w:p>
        </w:tc>
      </w:tr>
      <w:tr>
        <w:trPr>
          <w:trHeight w:val="210"/>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288,704</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4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9,612</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7,483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9,299</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6,022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18"/>
                <w:szCs w:val="18"/>
                <w:color w:val="auto"/>
              </w:rPr>
            </w:pPr>
          </w:p>
        </w:tc>
      </w:tr>
      <w:tr>
        <w:trPr>
          <w:trHeight w:val="210"/>
        </w:trPr>
        <w:tc>
          <w:tcPr>
            <w:tcW w:w="4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54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9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326,740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00" w:type="dxa"/>
            <w:vAlign w:val="bottom"/>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355,877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5"/>
          </w:tcPr>
          <w:p>
            <w:pPr>
              <w:ind w:left="980"/>
              <w:spacing w:after="0"/>
              <w:rPr>
                <w:sz w:val="20"/>
                <w:szCs w:val="20"/>
                <w:color w:val="auto"/>
              </w:rPr>
            </w:pPr>
            <w:r>
              <w:rPr>
                <w:rFonts w:ascii="Arial" w:cs="Arial" w:eastAsia="Arial" w:hAnsi="Arial"/>
                <w:sz w:val="18"/>
                <w:szCs w:val="18"/>
                <w:b w:val="1"/>
                <w:bCs w:val="1"/>
                <w:color w:val="auto"/>
              </w:rPr>
              <w:t>June 30, 2020</w:t>
            </w:r>
          </w:p>
        </w:tc>
      </w:tr>
      <w:tr>
        <w:trPr>
          <w:trHeight w:val="209"/>
        </w:trPr>
        <w:tc>
          <w:tcPr>
            <w:tcW w:w="7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Due to mature:</w:t>
            </w: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18,686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18,907</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89,699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94,348</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57,575</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62,056</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35,686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37,008</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Mortgage / asset-backed securities</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105,416</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108,750</w:t>
            </w:r>
          </w:p>
        </w:tc>
      </w:tr>
      <w:tr>
        <w:trPr>
          <w:trHeight w:val="210"/>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income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307,062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 2019</w:t>
            </w:r>
          </w:p>
        </w:tc>
      </w:tr>
      <w:tr>
        <w:trPr>
          <w:trHeight w:val="210"/>
        </w:trPr>
        <w:tc>
          <w:tcPr>
            <w:tcW w:w="7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Due to mature:</w:t>
            </w: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19,567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19,663</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84,937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87,134</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55,927</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58,466</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21,336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22,148</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Mortgage / asset-backed securities</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106,937</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108,534</w:t>
            </w:r>
          </w:p>
        </w:tc>
      </w:tr>
      <w:tr>
        <w:trPr>
          <w:trHeight w:val="210"/>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income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288,704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Fixed income securities with a fair value of $5,975 at June 30, 2020 and $5,585 at December 31, 2019, were deposited with various state regulatory agencies as required by law. The Company has not pledged any assets to secure any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81"/>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10,867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1,529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30,563</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34,824</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4,369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13,322</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8"/>
                <w:szCs w:val="18"/>
                <w:b w:val="1"/>
                <w:bCs w:val="1"/>
                <w:color w:val="auto"/>
                <w:w w:val="99"/>
              </w:rPr>
              <w:t>December 31, 2019</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gridSpan w:val="2"/>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0"/>
              </w:rPr>
              <w:t>Losses</w:t>
            </w: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8,018</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16,197</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09"/>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26,841</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11,572</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gridSpan w:val="2"/>
          </w:tcPr>
          <w:p>
            <w:pPr>
              <w:spacing w:after="0"/>
              <w:rPr>
                <w:sz w:val="18"/>
                <w:szCs w:val="18"/>
                <w:color w:val="auto"/>
              </w:rPr>
            </w:pPr>
          </w:p>
        </w:tc>
      </w:tr>
      <w:tr>
        <w:trPr>
          <w:trHeight w:val="196"/>
        </w:trPr>
        <w:tc>
          <w:tcPr>
            <w:tcW w:w="3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10"/>
        </w:trPr>
        <w:tc>
          <w:tcPr>
            <w:tcW w:w="39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31,644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(968</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12,382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44,026</w:t>
            </w:r>
          </w:p>
        </w:tc>
        <w:tc>
          <w:tcPr>
            <w:tcW w:w="2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5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record any impairments during the three or six month periods ended June 30, 2020 and 2019.</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2020, we held 93 fixed income securities with unrealized losses. As of December 31, 2019, we held 88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consisted of the following:</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1714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7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31750</wp:posOffset>
            </wp:positionV>
            <wp:extent cx="16973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15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43" w:lineRule="exact"/>
        <w:rPr>
          <w:sz w:val="20"/>
          <w:szCs w:val="20"/>
          <w:color w:val="auto"/>
        </w:rPr>
      </w:pPr>
    </w:p>
    <w:p>
      <w:pPr>
        <w:sectPr>
          <w:pgSz w:w="11900" w:h="16838" w:orient="portrait"/>
          <w:cols w:equalWidth="0" w:num="2">
            <w:col w:w="8040" w:space="680"/>
            <w:col w:w="25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60" w:type="dxa"/>
            <w:vAlign w:val="bottom"/>
            <w:shd w:val="clear" w:color="auto" w:fill="CCEEFF"/>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income securities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2,281</w:t>
            </w: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1,995</w:t>
            </w:r>
          </w:p>
        </w:tc>
        <w:tc>
          <w:tcPr>
            <w:tcW w:w="2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1"/>
              <w:spacing w:after="0" w:line="189" w:lineRule="exact"/>
              <w:rPr>
                <w:sz w:val="20"/>
                <w:szCs w:val="20"/>
                <w:color w:val="auto"/>
              </w:rPr>
            </w:pPr>
            <w:r>
              <w:rPr>
                <w:rFonts w:ascii="Arial" w:cs="Arial" w:eastAsia="Arial" w:hAnsi="Arial"/>
                <w:sz w:val="18"/>
                <w:szCs w:val="18"/>
                <w:color w:val="auto"/>
              </w:rPr>
              <w:t>4,590</w:t>
            </w:r>
          </w:p>
        </w:tc>
        <w:tc>
          <w:tcPr>
            <w:tcW w:w="2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6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gross investment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1,522</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280" w:type="dxa"/>
            <w:vAlign w:val="bottom"/>
            <w:vMerge w:val="restart"/>
          </w:tcPr>
          <w:p>
            <w:pPr>
              <w:ind w:left="500"/>
              <w:spacing w:after="0"/>
              <w:rPr>
                <w:sz w:val="20"/>
                <w:szCs w:val="20"/>
                <w:color w:val="auto"/>
              </w:rPr>
            </w:pPr>
            <w:r>
              <w:rPr>
                <w:rFonts w:ascii="Arial" w:cs="Arial" w:eastAsia="Arial" w:hAnsi="Arial"/>
                <w:sz w:val="18"/>
                <w:szCs w:val="18"/>
                <w:color w:val="auto"/>
                <w:w w:val="93"/>
              </w:rPr>
              <w:t>Net capital gain (loss) on investments consisted of the following:</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10"/>
        </w:trPr>
        <w:tc>
          <w:tcPr>
            <w:tcW w:w="160" w:type="dxa"/>
            <w:vAlign w:val="bottom"/>
            <w:tcBorders>
              <w:bottom w:val="single" w:sz="8" w:color="CCEEFF"/>
            </w:tcBorders>
          </w:tcPr>
          <w:p>
            <w:pPr>
              <w:spacing w:after="0"/>
              <w:rPr>
                <w:sz w:val="18"/>
                <w:szCs w:val="18"/>
                <w:color w:val="auto"/>
              </w:rPr>
            </w:pPr>
          </w:p>
        </w:tc>
        <w:tc>
          <w:tcPr>
            <w:tcW w:w="52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realized gains: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477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gross realized gains</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92"/>
              </w:rPr>
              <w:t>Gross realized losses, excluding other-than-temporary impairment 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(1,019)</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82"/>
        </w:trPr>
        <w:tc>
          <w:tcPr>
            <w:tcW w:w="160" w:type="dxa"/>
            <w:vAlign w:val="bottom"/>
            <w:tcBorders>
              <w:top w:val="single" w:sz="8" w:color="CCEEFF"/>
            </w:tcBorders>
            <w:shd w:val="clear" w:color="auto" w:fill="CCEEFF"/>
          </w:tcPr>
          <w:p>
            <w:pPr>
              <w:spacing w:after="0"/>
              <w:rPr>
                <w:sz w:val="15"/>
                <w:szCs w:val="15"/>
                <w:color w:val="auto"/>
              </w:rPr>
            </w:pPr>
          </w:p>
        </w:tc>
        <w:tc>
          <w:tcPr>
            <w:tcW w:w="5280" w:type="dxa"/>
            <w:vAlign w:val="bottom"/>
            <w:tcBorders>
              <w:top w:val="single" w:sz="8" w:color="CCEEFF"/>
            </w:tcBorders>
            <w:shd w:val="clear" w:color="auto" w:fill="CCEEFF"/>
          </w:tcPr>
          <w:p>
            <w:pPr>
              <w:ind w:left="200"/>
              <w:spacing w:after="0" w:line="182" w:lineRule="exact"/>
              <w:rPr>
                <w:sz w:val="20"/>
                <w:szCs w:val="20"/>
                <w:color w:val="auto"/>
              </w:rPr>
            </w:pPr>
            <w:r>
              <w:rPr>
                <w:rFonts w:ascii="Arial" w:cs="Arial" w:eastAsia="Arial" w:hAnsi="Arial"/>
                <w:sz w:val="18"/>
                <w:szCs w:val="18"/>
                <w:color w:val="auto"/>
              </w:rPr>
              <w:t>Total gross realized losses, excluding other-than-temporary</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5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impairment losses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(1,342)</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realized gain (loss) on investments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unrealized gain (loss) on equity securities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(5,107)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Net capital gain (loss) on investments</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7.</w:t>
            </w:r>
          </w:p>
        </w:tc>
        <w:tc>
          <w:tcPr>
            <w:tcW w:w="52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Fair Value Measurements</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0" w:type="dxa"/>
            <w:vAlign w:val="bottom"/>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June 30, 2020 and December 31, 2019 were fixed income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98"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June 30, 2020 or December 31, 2019.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b w:val="1"/>
                <w:bCs w:val="1"/>
                <w:color w:val="auto"/>
                <w:w w:val="88"/>
              </w:rPr>
              <w:t>June 30, 2020</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Level III</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17,357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65,212</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129,750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129,750</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45,520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45,520</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26,199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26,199</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37,031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37,031</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321,069</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321,069</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4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6,237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13,531</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13,531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6,676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14,175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60,539</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4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67,858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67,858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4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b w:val="1"/>
                <w:bCs w:val="1"/>
                <w:color w:val="auto"/>
                <w:w w:val="90"/>
              </w:rPr>
              <w:t>December 31, 2019</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Level III</w:t>
            </w:r>
          </w:p>
        </w:tc>
        <w:tc>
          <w:tcPr>
            <w:tcW w:w="120" w:type="dxa"/>
            <w:vAlign w:val="bottom"/>
            <w:gridSpan w:val="2"/>
          </w:tcPr>
          <w:p>
            <w:pPr>
              <w:spacing w:after="0"/>
              <w:rPr>
                <w:sz w:val="18"/>
                <w:szCs w:val="18"/>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17,546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56,652</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113,213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113,213</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51,486</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27,057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27,057</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29,991</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gridSpan w:val="2"/>
          </w:tcPr>
          <w:p>
            <w:pPr>
              <w:spacing w:after="0"/>
              <w:rPr>
                <w:sz w:val="18"/>
                <w:szCs w:val="18"/>
                <w:color w:val="auto"/>
              </w:rPr>
            </w:pPr>
          </w:p>
        </w:tc>
      </w:tr>
      <w:tr>
        <w:trPr>
          <w:trHeight w:val="196"/>
        </w:trPr>
        <w:tc>
          <w:tcPr>
            <w:tcW w:w="4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6,996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12,567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5,929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11,863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4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418,009</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120" w:type="dxa"/>
            <w:vAlign w:val="bottom"/>
            <w:gridSpan w:val="2"/>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June 30, 2020 or December 31, 2019.</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16"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3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6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As a group, during the six month period ended June 30, 2020, the Company retained the first $10,000 of weather-related losses from catastrophic events and had reinsurance under various reinsurance agreements up to $97,000 in excess of its $10,000 retained risk. During the year ended December 31, 2019, the Company retained the first $10,000 of weather-related losses from catastrophic events and had reinsurance under various reinsurance agreements up to $78,600 in excess of its $10,000 retained risk.</w:t>
      </w:r>
    </w:p>
    <w:p>
      <w:pPr>
        <w:spacing w:after="0" w:line="1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Three Months Ended June 30,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9"/>
          </w:tcPr>
          <w:p>
            <w:pPr>
              <w:ind w:left="420"/>
              <w:spacing w:after="0"/>
              <w:rPr>
                <w:sz w:val="20"/>
                <w:szCs w:val="20"/>
                <w:color w:val="auto"/>
              </w:rPr>
            </w:pPr>
            <w:r>
              <w:rPr>
                <w:rFonts w:ascii="Arial" w:cs="Arial" w:eastAsia="Arial" w:hAnsi="Arial"/>
                <w:sz w:val="18"/>
                <w:szCs w:val="18"/>
                <w:b w:val="1"/>
                <w:bCs w:val="1"/>
                <w:color w:val="auto"/>
              </w:rPr>
              <w:t>Six Months Ended June 30, 2020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3"/>
              </w:rPr>
              <w:t>Premiums Written</w:t>
            </w: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3"/>
              </w:rPr>
              <w:t>Premiums Written</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Premiums Earned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2,702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2,683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4,302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4,283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premiums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112,730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82,006</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172,132</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140,778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w w:val="94"/>
              </w:rPr>
              <w:t>Percentage of assumed earned premium to direct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180"/>
              <w:spacing w:after="0"/>
              <w:rPr>
                <w:sz w:val="20"/>
                <w:szCs w:val="20"/>
                <w:color w:val="auto"/>
              </w:rPr>
            </w:pPr>
            <w:r>
              <w:rPr>
                <w:rFonts w:ascii="Arial" w:cs="Arial" w:eastAsia="Arial" w:hAnsi="Arial"/>
                <w:sz w:val="18"/>
                <w:szCs w:val="18"/>
                <w:color w:val="auto"/>
              </w:rPr>
              <w:t>earned premium</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Three Months Ended June 30, 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9"/>
          </w:tcPr>
          <w:p>
            <w:pPr>
              <w:ind w:left="440"/>
              <w:spacing w:after="0"/>
              <w:rPr>
                <w:sz w:val="20"/>
                <w:szCs w:val="20"/>
                <w:color w:val="auto"/>
              </w:rPr>
            </w:pPr>
            <w:r>
              <w:rPr>
                <w:rFonts w:ascii="Arial" w:cs="Arial" w:eastAsia="Arial" w:hAnsi="Arial"/>
                <w:sz w:val="18"/>
                <w:szCs w:val="18"/>
                <w:b w:val="1"/>
                <w:bCs w:val="1"/>
                <w:color w:val="auto"/>
              </w:rPr>
              <w:t>Six Months Ended June 30, 2019</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3"/>
              </w:rPr>
              <w:t>Premiums Written</w:t>
            </w: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2"/>
              </w:rPr>
              <w:t>Premiums Earned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3"/>
              </w:rPr>
              <w:t>Premiums Written</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2"/>
              </w:rPr>
              <w:t>Premiums Earned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69,499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158,896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121,752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Assumed premium</w:t>
            </w:r>
          </w:p>
        </w:tc>
        <w:tc>
          <w:tcPr>
            <w:tcW w:w="10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3,003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4,032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3,999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premiums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98,888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65,114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152,797</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115,620</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w w:val="94"/>
              </w:rPr>
              <w:t>Percentage of assumed earned premium to direct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180"/>
              <w:spacing w:after="0"/>
              <w:rPr>
                <w:sz w:val="20"/>
                <w:szCs w:val="20"/>
                <w:color w:val="auto"/>
              </w:rPr>
            </w:pPr>
            <w:r>
              <w:rPr>
                <w:rFonts w:ascii="Arial" w:cs="Arial" w:eastAsia="Arial" w:hAnsi="Arial"/>
                <w:sz w:val="18"/>
                <w:szCs w:val="18"/>
                <w:color w:val="auto"/>
              </w:rPr>
              <w:t>earned premium</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89"/>
              </w:rPr>
              <w:t>25</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5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5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5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losses and loss adjustment expenses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Pr>
          <w:p>
            <w:pPr>
              <w:spacing w:after="0"/>
              <w:rPr>
                <w:sz w:val="20"/>
                <w:szCs w:val="20"/>
                <w:color w:val="auto"/>
              </w:rPr>
            </w:pPr>
          </w:p>
        </w:tc>
        <w:tc>
          <w:tcPr>
            <w:tcW w:w="260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09"/>
        </w:trPr>
        <w:tc>
          <w:tcPr>
            <w:tcW w:w="55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Assumed losses and loss adjustment expenses</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794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(2,789)</w:t>
            </w:r>
          </w:p>
        </w:tc>
      </w:tr>
      <w:tr>
        <w:trPr>
          <w:trHeight w:val="209"/>
        </w:trPr>
        <w:tc>
          <w:tcPr>
            <w:tcW w:w="5520" w:type="dxa"/>
            <w:vAlign w:val="bottom"/>
          </w:tcPr>
          <w:p>
            <w:pPr>
              <w:ind w:left="180"/>
              <w:spacing w:after="0"/>
              <w:rPr>
                <w:sz w:val="20"/>
                <w:szCs w:val="20"/>
                <w:color w:val="auto"/>
              </w:rPr>
            </w:pPr>
            <w:r>
              <w:rPr>
                <w:rFonts w:ascii="Arial" w:cs="Arial" w:eastAsia="Arial" w:hAnsi="Arial"/>
                <w:sz w:val="18"/>
                <w:szCs w:val="18"/>
                <w:color w:val="auto"/>
              </w:rPr>
              <w:t>Net losses and loss adjustment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52,364</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82,786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100% of our ceded reinsurance was cancelled as of June 30, 2020 or December 31, 2019, no ceded commissions would need to be returned to the reinsurers. Reinsurance contracts are typically effective from January 1 through December 31 each year.</w:t>
      </w:r>
    </w:p>
    <w:p>
      <w:pPr>
        <w:spacing w:after="0" w:line="11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with regards to our deferred policy acquisition costs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Pr>
          <w:p>
            <w:pPr>
              <w:spacing w:after="0"/>
              <w:rPr>
                <w:sz w:val="20"/>
                <w:szCs w:val="20"/>
                <w:color w:val="auto"/>
              </w:rPr>
            </w:pPr>
          </w:p>
        </w:tc>
        <w:tc>
          <w:tcPr>
            <w:tcW w:w="260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55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3"/>
              </w:rPr>
              <w:t>15,399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19,869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18,081</w:t>
            </w:r>
          </w:p>
        </w:tc>
        <w:tc>
          <w:tcPr>
            <w:tcW w:w="18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33,021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29,228</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(14,829)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(24,216)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(25,373)</w:t>
            </w:r>
          </w:p>
        </w:tc>
      </w:tr>
      <w:tr>
        <w:trPr>
          <w:trHeight w:val="209"/>
        </w:trPr>
        <w:tc>
          <w:tcPr>
            <w:tcW w:w="552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24,204</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3"/>
              </w:rPr>
              <w:t>24,204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in the liability for unpaid losses and loss adjustment expenses is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10"/>
        </w:trPr>
        <w:tc>
          <w:tcPr>
            <w:tcW w:w="8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Liability for unpaid losses and loss adjustment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93,250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87,121</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balance at beginning of period</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8,568</w:t>
            </w:r>
          </w:p>
        </w:tc>
        <w:tc>
          <w:tcPr>
            <w:tcW w:w="3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incurred</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85,318</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82,097</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(2,532)</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(7,670)</w:t>
            </w:r>
          </w:p>
        </w:tc>
      </w:tr>
      <w:tr>
        <w:trPr>
          <w:trHeight w:val="209"/>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incurred</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82,786</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74,427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Paid related to:</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40,362</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18"/>
                <w:szCs w:val="18"/>
                <w:color w:val="auto"/>
              </w:rPr>
            </w:pPr>
          </w:p>
        </w:tc>
      </w:tr>
      <w:tr>
        <w:trPr>
          <w:trHeight w:val="209"/>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paid</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Liability for unpaid losses and loss adjustment expenses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116,014</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98,809</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Net 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107,003</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95,443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During the six months ended June 30, 2020, the Company’s reported losses and LAE included $2,532 of net favorable development on prior accident years, compared to $7,670 of net favorable development on prior accident years during the six months ended June 30, 2019. Increases and decreases are generally the result of ongoing analysis of loss development trends. As</w:t>
      </w:r>
    </w:p>
    <w:p>
      <w:pPr>
        <w:sectPr>
          <w:pgSz w:w="11900" w:h="16838" w:orient="portrait"/>
          <w:cols w:equalWidth="0" w:num="1">
            <w:col w:w="11240"/>
          </w:cols>
          <w:pgMar w:left="320" w:top="125"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additional information becomes known regarding individual claims, original estimates are increased or decreased accordingly. The net favorable development reported for the six months ended June 30, 2020 was primarily attributable to our Direct Auto non-standard auto business and North Dakota personal lines of business, partially offset by unfavorable development from our 2019 multi-peril crop business.</w:t>
      </w:r>
    </w:p>
    <w:p>
      <w:pPr>
        <w:spacing w:after="0" w:line="12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December 31, 2019</w:t>
            </w: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rPr>
              <w:t>Estimated Useful Life</w:t>
            </w: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15,235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12,733</w:t>
            </w:r>
          </w:p>
        </w:tc>
        <w:tc>
          <w:tcPr>
            <w:tcW w:w="2260" w:type="dxa"/>
            <w:vAlign w:val="bottom"/>
          </w:tcPr>
          <w:p>
            <w:pPr>
              <w:jc w:val="right"/>
              <w:spacing w:after="0"/>
              <w:rPr>
                <w:sz w:val="20"/>
                <w:szCs w:val="20"/>
                <w:color w:val="auto"/>
              </w:rPr>
            </w:pPr>
            <w:r>
              <w:rPr>
                <w:rFonts w:ascii="Arial" w:cs="Arial" w:eastAsia="Arial" w:hAnsi="Arial"/>
                <w:sz w:val="18"/>
                <w:szCs w:val="18"/>
                <w:color w:val="auto"/>
              </w:rPr>
              <w:t>10 - 31 years</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Electronic data processing equipment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years</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2,796</w:t>
            </w:r>
          </w:p>
        </w:tc>
        <w:tc>
          <w:tcPr>
            <w:tcW w:w="22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Automobiles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r>
      <w:tr>
        <w:trPr>
          <w:trHeight w:val="209"/>
        </w:trPr>
        <w:tc>
          <w:tcPr>
            <w:tcW w:w="4220" w:type="dxa"/>
            <w:vAlign w:val="bottom"/>
          </w:tcPr>
          <w:p>
            <w:pPr>
              <w:ind w:left="360"/>
              <w:spacing w:after="0"/>
              <w:rPr>
                <w:sz w:val="20"/>
                <w:szCs w:val="20"/>
                <w:color w:val="auto"/>
              </w:rPr>
            </w:pPr>
            <w:r>
              <w:rPr>
                <w:rFonts w:ascii="Arial" w:cs="Arial" w:eastAsia="Arial" w:hAnsi="Arial"/>
                <w:sz w:val="18"/>
                <w:szCs w:val="18"/>
                <w:color w:val="auto"/>
              </w:rPr>
              <w:t>Gross cost</w:t>
            </w:r>
          </w:p>
        </w:tc>
        <w:tc>
          <w:tcPr>
            <w:tcW w:w="1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17,930</w:t>
            </w: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(10,535)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(10,236)</w:t>
            </w:r>
          </w:p>
        </w:tc>
        <w:tc>
          <w:tcPr>
            <w:tcW w:w="2260" w:type="dxa"/>
            <w:vAlign w:val="bottom"/>
          </w:tcPr>
          <w:p>
            <w:pPr>
              <w:spacing w:after="0"/>
              <w:rPr>
                <w:sz w:val="18"/>
                <w:szCs w:val="18"/>
                <w:color w:val="auto"/>
              </w:rPr>
            </w:pPr>
          </w:p>
        </w:tc>
      </w:tr>
      <w:tr>
        <w:trPr>
          <w:trHeight w:val="210"/>
        </w:trPr>
        <w:tc>
          <w:tcPr>
            <w:tcW w:w="4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Depreciation expense was $178 and $103 for the three months ended June 30, 2020 and 2019, respectively, and $365 and $245 for the six months ended June 30, 2020 and 2019, respectively.</w:t>
      </w:r>
    </w:p>
    <w:p>
      <w:pPr>
        <w:spacing w:after="0" w:line="112" w:lineRule="exact"/>
        <w:rPr>
          <w:sz w:val="20"/>
          <w:szCs w:val="20"/>
          <w:color w:val="auto"/>
        </w:rPr>
      </w:pPr>
    </w:p>
    <w:p>
      <w:pPr>
        <w:ind w:left="660" w:right="8140" w:hanging="652"/>
        <w:spacing w:after="0" w:line="479"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Intangibles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carrying amount of the Company’s goodwill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Commercial from acquisition of Westminster</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amount of the Company’s other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June 30, 2020</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Amortization</w:t>
            </w:r>
          </w:p>
        </w:tc>
        <w:tc>
          <w:tcPr>
            <w:tcW w:w="30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280" w:type="dxa"/>
            <w:vAlign w:val="bottom"/>
            <w:gridSpan w:val="3"/>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Value of business acquired</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3,473</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subject to amortization</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36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960" w:type="dxa"/>
            <w:vAlign w:val="bottom"/>
            <w:vMerge w:val="restart"/>
          </w:tcPr>
          <w:p>
            <w:pPr>
              <w:jc w:val="right"/>
              <w:ind w:right="8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EEEEEE"/>
            </w:tcBorders>
          </w:tcPr>
          <w:p>
            <w:pPr>
              <w:spacing w:after="0"/>
              <w:rPr>
                <w:sz w:val="18"/>
                <w:szCs w:val="18"/>
                <w:color w:val="auto"/>
              </w:rPr>
            </w:pPr>
          </w:p>
        </w:tc>
        <w:tc>
          <w:tcPr>
            <w:tcW w:w="19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09"/>
        </w:trPr>
        <w:tc>
          <w:tcPr>
            <w:tcW w:w="686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79"/>
              </w:rPr>
              <w:t>268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Not subject to amortization – state insurance license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0"/>
        </w:trPr>
        <w:tc>
          <w:tcPr>
            <w:tcW w:w="6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368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Amortization expense was $1,829 and $452 for the three months ended June 30, 2020 and 2019, respectively, and $3,711 and $1,587 for the six months ended June 30, 2020 and 2019, respectively.</w:t>
      </w:r>
    </w:p>
    <w:p>
      <w:pPr>
        <w:spacing w:after="0" w:line="11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$393 and $396 during the three months ended June 30, 2020 and 2019, respectively, and $729 and $720 during the six months ended June 30, 2020 and 2019, respectively. Royalty amounts payable of $157 and $115 were accrued as a liability to the NDFB at June 30, 2020 and December 31, 2019, respectively.</w:t>
      </w:r>
    </w:p>
    <w:p>
      <w:pPr>
        <w:spacing w:after="0" w:line="174"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2019 exceeded the amount of statutory capital and surplus necessary to satisfy regulatory requirements, including the RBC requirements, by a significant margin.</w:t>
      </w:r>
    </w:p>
    <w:p>
      <w:pPr>
        <w:spacing w:after="0" w:line="1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amount available for payment of dividends from Nodak Insurance to NI Holdings during 2020 without the prior approval of the North Dakota Insurance Department is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six months ended June 30, 2020 or the year ended December 31, 2019.</w:t>
      </w:r>
    </w:p>
    <w:p>
      <w:pPr>
        <w:spacing w:after="0" w:line="16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2020 without the prior approval of the Illinois Department of Insurance is $6,881 based upon the statutory net income of Direct Auto for the year ended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six months ended June 30, 2020 or the year ended December 31, 2019.</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2020 without the prior approval of the Maryland Insurance Administration is $636 based upon the statutory net investment income of Westminster for the year ended December 31, 2019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six months ended June 30, 2020.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impact of including Battle Creek in our Consolidated Balance Sheets prior to intercompany eliminations: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June 30,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December 31, 2019</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Cash and cash equivalents (overdraft)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4,126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(716)</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18"/>
                <w:szCs w:val="18"/>
                <w:color w:val="auto"/>
              </w:rPr>
            </w:pPr>
          </w:p>
        </w:tc>
      </w:tr>
      <w:tr>
        <w:trPr>
          <w:trHeight w:val="256"/>
        </w:trPr>
        <w:tc>
          <w:tcPr>
            <w:tcW w:w="55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(1)</w:t>
            </w:r>
          </w:p>
        </w:tc>
        <w:tc>
          <w:tcPr>
            <w:tcW w:w="2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27,861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26,330</w:t>
            </w:r>
          </w:p>
        </w:tc>
        <w:tc>
          <w:tcPr>
            <w:tcW w:w="100" w:type="dxa"/>
            <w:vAlign w:val="bottom"/>
            <w:shd w:val="clear" w:color="auto" w:fill="CCEEFF"/>
          </w:tcPr>
          <w:p>
            <w:pPr>
              <w:spacing w:after="0"/>
              <w:rPr>
                <w:sz w:val="22"/>
                <w:szCs w:val="22"/>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 net</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4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42,325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170"/>
        </w:trPr>
        <w:tc>
          <w:tcPr>
            <w:tcW w:w="55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Liabilities: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10,622</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16,859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18"/>
                <w:szCs w:val="18"/>
                <w:color w:val="auto"/>
              </w:rPr>
            </w:pPr>
          </w:p>
        </w:tc>
      </w:tr>
      <w:tr>
        <w:trPr>
          <w:trHeight w:val="257"/>
        </w:trPr>
        <w:tc>
          <w:tcPr>
            <w:tcW w:w="55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2"/>
                <w:szCs w:val="22"/>
                <w:color w:val="auto"/>
              </w:rPr>
            </w:pPr>
          </w:p>
        </w:tc>
      </w:tr>
      <w:tr>
        <w:trPr>
          <w:trHeight w:val="257"/>
        </w:trPr>
        <w:tc>
          <w:tcPr>
            <w:tcW w:w="556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Reinsurance premiums payable </w:t>
            </w:r>
            <w:r>
              <w:rPr>
                <w:rFonts w:ascii="Arial" w:cs="Arial" w:eastAsia="Arial" w:hAnsi="Arial"/>
                <w:sz w:val="29"/>
                <w:szCs w:val="29"/>
                <w:color w:val="auto"/>
                <w:vertAlign w:val="superscript"/>
              </w:rPr>
              <w:t>(1)</w:t>
            </w:r>
          </w:p>
        </w:tc>
        <w:tc>
          <w:tcPr>
            <w:tcW w:w="2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1,949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2"/>
                <w:szCs w:val="22"/>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8"/>
                <w:szCs w:val="18"/>
                <w:color w:val="auto"/>
              </w:rPr>
            </w:pPr>
          </w:p>
        </w:tc>
      </w:tr>
      <w:tr>
        <w:trPr>
          <w:trHeight w:val="21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38,683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5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Equity:</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18"/>
                <w:szCs w:val="18"/>
                <w:color w:val="auto"/>
              </w:rPr>
            </w:pPr>
          </w:p>
        </w:tc>
      </w:tr>
      <w:tr>
        <w:trPr>
          <w:trHeight w:val="210"/>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2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5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42,325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35,845</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920" w:hanging="345"/>
        <w:spacing w:after="0"/>
        <w:tabs>
          <w:tab w:leader="none" w:pos="920" w:val="left"/>
        </w:tabs>
        <w:numPr>
          <w:ilvl w:val="0"/>
          <w:numId w:val="19"/>
        </w:numPr>
        <w:rPr>
          <w:rFonts w:ascii="Arial" w:cs="Arial" w:eastAsia="Arial" w:hAnsi="Arial"/>
          <w:sz w:val="18"/>
          <w:szCs w:val="18"/>
          <w:color w:val="auto"/>
          <w:vertAlign w:val="superscript"/>
        </w:rPr>
      </w:pPr>
      <w:r>
        <w:rPr>
          <w:rFonts w:ascii="Arial" w:cs="Arial" w:eastAsia="Arial" w:hAnsi="Arial"/>
          <w:sz w:val="18"/>
          <w:szCs w:val="18"/>
          <w:color w:val="auto"/>
        </w:rPr>
        <w:t>Amount eliminated in consolidation.</w:t>
      </w:r>
    </w:p>
    <w:p>
      <w:pPr>
        <w:spacing w:after="0" w:line="21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$43 and $46, respectively, during the three months ended June 30, 2020 and 2019, respectively.</w:t>
      </w:r>
    </w:p>
    <w:p>
      <w:pPr>
        <w:spacing w:after="0" w:line="14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$85 and $77, respectively, during the six months ended June 30, 2020 and 2019,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statutory-basis expenses reported, after intercompany eliminations, during the three or six months ended June 30, 2020 and 2019.</w:t>
      </w:r>
    </w:p>
    <w:p>
      <w:pPr>
        <w:spacing w:after="0" w:line="19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16"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Company sponsors a money purchase plan that covers all Nodak Insurance eligible employees. Plan costs are funded annually as they are earned. The Company reported expenses related to the money purchase plan totaling $202 and $199 during the three months ended June 30, 2020 and 2019, respectively, and $403 and $398 during the six months ended June 30, 2020 and 2019, respectively.</w:t>
      </w:r>
    </w:p>
    <w:p>
      <w:pPr>
        <w:spacing w:after="0" w:line="13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Company also sponsors a 401(k) plan with an automatic contribution to all eligible employees and a matching contribution for eligible employees of 50% up to 3% of eligible compensation. Primero, Direct Auto, and Westminster also sponsor 401(k) plans. The Company reported expenses related to the 401(k) plan totaling $162 and $139 during the three months ended June 30, 2020 and 2019, respectively, and $325 and $278 during the six months ended June 30, 2020 and 2019, respectively. All fees associated with all plans are deducted from the eligible employee accounts.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1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Board of Directors has authorized a non-qualified deferred compensation plan covering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$14 and $14 during the three months ended June 30, 2020 and 2019, respectively, and $28 and $27 during the six months ended June 30, 2020 and 2019,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21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solely in common stock of the Company.</w:t>
      </w:r>
    </w:p>
    <w:p>
      <w:pPr>
        <w:sectPr>
          <w:pgSz w:w="11900" w:h="16838" w:orient="portrait"/>
          <w:cols w:equalWidth="0" w:num="1">
            <w:col w:w="11240"/>
          </w:cols>
          <w:pgMar w:left="320" w:top="125" w:right="339" w:bottom="561"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561"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5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3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Direct Auto, and Westminster do not participate in the ESOP. American West and Battle Creek have no employees.</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7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3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recognized compensation expense of $83 and $103 during the three months ended June 30, 2020 and 2019, respectively, related to the ESOP, and $172 and $197 during the six months ended June 30, 2020 and 2019,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June 30, 2020 and December 31, 2019, the Company had released and allocated 72,945 ESOP shares to participants, with a remainder of</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167,055 ESOP shares in suspense at June 30, 2020 and December 31, 2019. Using the Company’s quarter-end market price of $14.77 per share, the fair value of the unearned ESOP shares was $2,467 at June 30, 2020.</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16"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Nodak Insurance has a $5,000 line of credit with Wells Fargo Bank, N.A., of which there were no outstanding amounts during the six months ended June 30, 2020, or the year ended December 31, 2019. This line of credit is scheduled to expire on October 31, 2020.</w:t>
      </w:r>
    </w:p>
    <w:p>
      <w:pPr>
        <w:spacing w:after="0" w:line="8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At June 30, 2020 and December 31, 2019, we had no unrecognized tax benefits, no accrued interest and penalties, and no significant uncertain tax positions. No interest and penalties were recognized during the three or six month periods ended June 30, 2020 or 2019.</w:t>
      </w:r>
    </w:p>
    <w:p>
      <w:pPr>
        <w:spacing w:after="0" w:line="11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June 30, 2020 and December 31, 2019, the Company, other than Battle Creek and Westminster, had no income tax related carryovers for net operating losses, alternative minimum tax credits, or capital losses.</w:t>
      </w:r>
    </w:p>
    <w:p>
      <w:pPr>
        <w:spacing w:after="0" w:line="15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Battle Creek, which files its income tax returns on a stand-alone basis, had $4,652 of net operating loss carryover at December 31, 2019. The net operating loss carryforward expires beginning in 2021 through 2030.</w:t>
      </w:r>
    </w:p>
    <w:p>
      <w:pPr>
        <w:spacing w:after="0" w:line="15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$874 of net operating loss carryover at December 31, 2019. This net operating loss carryforward expires in 2023.</w:t>
      </w:r>
    </w:p>
    <w:p>
      <w:pPr>
        <w:spacing w:after="0" w:line="11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2029. Our Nodak Insurance subsidiary leases a facility in Fargo, North Dakota under a non-cancellable operating lease expiring in 2024. There were expenses of $94 and $76 related to these leases during the three months ended June 30, 2020 and 2019, respectively, and expenses of $183 and $151 related to these leases during the six months ended June 30, 2020 and 2019,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have minimum future commitments under non-cancellable leases as follows:</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Estimated Future</w:t>
            </w:r>
          </w:p>
        </w:tc>
      </w:tr>
      <w:tr>
        <w:trPr>
          <w:trHeight w:val="216"/>
        </w:trPr>
        <w:tc>
          <w:tcPr>
            <w:tcW w:w="3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Minimum</w:t>
            </w: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1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Commitments</w:t>
            </w:r>
          </w:p>
        </w:tc>
      </w:tr>
      <w:tr>
        <w:trPr>
          <w:trHeight w:val="210"/>
        </w:trPr>
        <w:tc>
          <w:tcPr>
            <w:tcW w:w="3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2021</w:t>
            </w:r>
          </w:p>
        </w:tc>
        <w:tc>
          <w:tcPr>
            <w:tcW w:w="21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2023</w:t>
            </w:r>
          </w:p>
        </w:tc>
        <w:tc>
          <w:tcPr>
            <w:tcW w:w="21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2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10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1,353</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sub-lease portions of our home office building under non-cancellable operating leases.</w:t>
      </w:r>
    </w:p>
    <w:p>
      <w:pPr>
        <w:spacing w:after="0" w:line="16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14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June 30, 2020 or December 31, 2019.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number of common stock shares outstanding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80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beginning of period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22,119,380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22,192,894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Treasury shares repurchased through stock repurchase authorization</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(519,598)</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(116,034)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treasury shares for vesting of restricted stock units</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31,442</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18,205</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21,631,224</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22,095,065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three months ended June 30, 2020, we completed the repurchase of 117,542 shares of our common stock for $1,787 under this new authorization.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w:t>
      </w:r>
    </w:p>
    <w:p>
      <w:pPr>
        <w:spacing w:after="0" w:line="16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1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6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total aggregate number of shares of common stock that awards may be issued under all awards made under the Plan shall not exceed 1,000,000 shares of common stock,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125"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outstanding and unearned restricted stock units is presented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8"/>
          </w:tcPr>
          <w:p>
            <w:pPr>
              <w:spacing w:after="0"/>
              <w:rPr>
                <w:sz w:val="20"/>
                <w:szCs w:val="20"/>
                <w:color w:val="auto"/>
              </w:rPr>
            </w:pPr>
            <w:r>
              <w:rPr>
                <w:rFonts w:ascii="Arial" w:cs="Arial" w:eastAsia="Arial" w:hAnsi="Arial"/>
                <w:sz w:val="18"/>
                <w:szCs w:val="18"/>
                <w:b w:val="1"/>
                <w:bCs w:val="1"/>
                <w:color w:val="auto"/>
                <w:w w:val="97"/>
              </w:rPr>
              <w:t>Weighted-Average</w:t>
            </w:r>
          </w:p>
        </w:tc>
      </w:tr>
      <w:tr>
        <w:trPr>
          <w:trHeight w:val="216"/>
        </w:trPr>
        <w:tc>
          <w:tcPr>
            <w:tcW w:w="5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5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5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RSUs</w:t>
            </w:r>
          </w:p>
        </w:tc>
        <w:tc>
          <w:tcPr>
            <w:tcW w:w="100" w:type="dxa"/>
            <w:vAlign w:val="bottom"/>
          </w:tcPr>
          <w:p>
            <w:pPr>
              <w:spacing w:after="0"/>
              <w:rPr>
                <w:sz w:val="20"/>
                <w:szCs w:val="20"/>
                <w:color w:val="auto"/>
              </w:rPr>
            </w:pPr>
          </w:p>
        </w:tc>
        <w:tc>
          <w:tcPr>
            <w:tcW w:w="146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and unearned at January 1, 2019</w:t>
            </w:r>
          </w:p>
        </w:tc>
        <w:tc>
          <w:tcPr>
            <w:tcW w:w="1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73,880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RSUs granted during 2019</w:t>
            </w: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57,100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15.81</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RSUs earned during 2019</w:t>
            </w: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(34,440)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16.24</w:t>
            </w:r>
          </w:p>
        </w:tc>
        <w:tc>
          <w:tcPr>
            <w:tcW w:w="60" w:type="dxa"/>
            <w:vAlign w:val="bottom"/>
            <w:shd w:val="clear" w:color="auto" w:fill="CCEEFF"/>
          </w:tcPr>
          <w:p>
            <w:pPr>
              <w:spacing w:after="0"/>
              <w:rPr>
                <w:sz w:val="18"/>
                <w:szCs w:val="18"/>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Units outstanding and unearned at December 31, 2019</w:t>
            </w:r>
          </w:p>
        </w:tc>
        <w:tc>
          <w:tcPr>
            <w:tcW w:w="14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96,540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196"/>
        </w:trPr>
        <w:tc>
          <w:tcPr>
            <w:tcW w:w="5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RSUs granted during 2020</w:t>
            </w: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66,000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14.27</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RSUs earned during 2020</w:t>
            </w: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(46,760)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w:t>
            </w:r>
          </w:p>
        </w:tc>
        <w:tc>
          <w:tcPr>
            <w:tcW w:w="60" w:type="dxa"/>
            <w:vAlign w:val="bottom"/>
            <w:shd w:val="clear" w:color="auto" w:fill="CCEEFF"/>
          </w:tcPr>
          <w:p>
            <w:pPr>
              <w:spacing w:after="0"/>
              <w:rPr>
                <w:sz w:val="18"/>
                <w:szCs w:val="18"/>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color w:val="auto"/>
              </w:rPr>
              <w:t>Units outstanding and unearned at June 30, 2020</w:t>
            </w:r>
          </w:p>
        </w:tc>
        <w:tc>
          <w:tcPr>
            <w:tcW w:w="1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115,780</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99"/>
        </w:trPr>
        <w:tc>
          <w:tcPr>
            <w:tcW w:w="7440" w:type="dxa"/>
            <w:vAlign w:val="bottom"/>
            <w:gridSpan w:val="3"/>
          </w:tcPr>
          <w:p>
            <w:pPr>
              <w:ind w:left="660"/>
              <w:spacing w:after="0"/>
              <w:rPr>
                <w:sz w:val="20"/>
                <w:szCs w:val="20"/>
                <w:color w:val="auto"/>
              </w:rPr>
            </w:pPr>
            <w:r>
              <w:rPr>
                <w:rFonts w:ascii="Arial" w:cs="Arial" w:eastAsia="Arial" w:hAnsi="Arial"/>
                <w:sz w:val="18"/>
                <w:szCs w:val="18"/>
                <w:color w:val="auto"/>
                <w:w w:val="97"/>
              </w:rPr>
              <w:t>The following table shows the impact of RSU activity to the Company’s financial results: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5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Three Months Ended June</w:t>
            </w:r>
          </w:p>
        </w:tc>
        <w:tc>
          <w:tcPr>
            <w:tcW w:w="220" w:type="dxa"/>
            <w:vAlign w:val="bottom"/>
          </w:tcPr>
          <w:p>
            <w:pPr>
              <w:spacing w:after="0"/>
              <w:rPr>
                <w:sz w:val="24"/>
                <w:szCs w:val="24"/>
                <w:color w:val="auto"/>
              </w:rPr>
            </w:pPr>
          </w:p>
        </w:tc>
        <w:tc>
          <w:tcPr>
            <w:tcW w:w="206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90"/>
              </w:rPr>
              <w:t>Six Months Ended June</w:t>
            </w:r>
          </w:p>
        </w:tc>
      </w:tr>
      <w:tr>
        <w:trPr>
          <w:trHeight w:val="234"/>
        </w:trPr>
        <w:tc>
          <w:tcPr>
            <w:tcW w:w="5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8"/>
                <w:szCs w:val="18"/>
                <w:b w:val="1"/>
                <w:bCs w:val="1"/>
                <w:color w:val="auto"/>
              </w:rPr>
              <w:t>30,</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30,</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3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Income tax benefit</w:t>
            </w: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5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 compensation expense, net of income taxes</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 June 30, 2020, there was $1,104 of unrecognized compensation cost related to outstanding RSUs. That cost is expected to be recognized over a weighted-average period of 2.04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9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6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16"/>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3"/>
              </w:rPr>
              <w:t>NI Holdings, Inc.</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23"/>
        </w:trPr>
        <w:tc>
          <w:tcPr>
            <w:tcW w:w="8220" w:type="dxa"/>
            <w:vAlign w:val="bottom"/>
          </w:tcPr>
          <w:p>
            <w:pPr>
              <w:ind w:left="660"/>
              <w:spacing w:after="0"/>
              <w:rPr>
                <w:sz w:val="20"/>
                <w:szCs w:val="20"/>
                <w:color w:val="auto"/>
              </w:rPr>
            </w:pPr>
            <w:r>
              <w:rPr>
                <w:rFonts w:ascii="Arial" w:cs="Arial" w:eastAsia="Arial" w:hAnsi="Arial"/>
                <w:sz w:val="18"/>
                <w:szCs w:val="18"/>
                <w:color w:val="auto"/>
              </w:rPr>
              <w:t>A summary of the Company’s outstanding performance share units is presented below:</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6"/>
        </w:trPr>
        <w:tc>
          <w:tcPr>
            <w:tcW w:w="8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7"/>
              </w:rPr>
              <w:t>Weighted-Average</w:t>
            </w:r>
          </w:p>
        </w:tc>
      </w:tr>
      <w:tr>
        <w:trPr>
          <w:trHeight w:val="216"/>
        </w:trPr>
        <w:tc>
          <w:tcPr>
            <w:tcW w:w="8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8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8220" w:type="dxa"/>
            <w:vAlign w:val="bottom"/>
          </w:tcPr>
          <w:p>
            <w:pPr>
              <w:spacing w:after="0"/>
              <w:rPr>
                <w:sz w:val="20"/>
                <w:szCs w:val="20"/>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b w:val="1"/>
                <w:bCs w:val="1"/>
                <w:color w:val="auto"/>
              </w:rPr>
              <w:t>PSUs</w:t>
            </w:r>
          </w:p>
        </w:tc>
        <w:tc>
          <w:tcPr>
            <w:tcW w:w="18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January 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PSUs granted during 2019 (at target)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62,400</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8"/>
                <w:szCs w:val="18"/>
                <w:color w:val="auto"/>
              </w:rPr>
            </w:pPr>
          </w:p>
        </w:tc>
      </w:tr>
      <w:tr>
        <w:trPr>
          <w:trHeight w:val="209"/>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December 31,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8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PSUs granted during 2020 (at target)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r>
      <w:tr>
        <w:trPr>
          <w:trHeight w:val="249"/>
        </w:trPr>
        <w:tc>
          <w:tcPr>
            <w:tcW w:w="8220" w:type="dxa"/>
            <w:vAlign w:val="bottom"/>
          </w:tcPr>
          <w:p>
            <w:pPr>
              <w:spacing w:after="0"/>
              <w:rPr>
                <w:sz w:val="20"/>
                <w:szCs w:val="20"/>
                <w:color w:val="auto"/>
              </w:rPr>
            </w:pPr>
            <w:r>
              <w:rPr>
                <w:rFonts w:ascii="Arial" w:cs="Arial" w:eastAsia="Arial" w:hAnsi="Arial"/>
                <w:sz w:val="18"/>
                <w:szCs w:val="18"/>
                <w:color w:val="auto"/>
              </w:rPr>
              <w:t>Units outstanding at June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174,600</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impact of PSU activity to the Company’s financial results:</w:t>
      </w:r>
    </w:p>
    <w:p>
      <w:pPr>
        <w:sectPr>
          <w:pgSz w:w="11900" w:h="16838" w:orient="portrait"/>
          <w:cols w:equalWidth="0" w:num="1">
            <w:col w:w="11240"/>
          </w:cols>
          <w:pgMar w:left="320" w:top="125" w:right="339" w:bottom="1440" w:gutter="0" w:footer="0" w:header="0"/>
        </w:sectPr>
      </w:pPr>
    </w:p>
    <w:p>
      <w:pPr>
        <w:spacing w:after="0" w:line="181"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1714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7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31750</wp:posOffset>
            </wp:positionV>
            <wp:extent cx="16973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15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43" w:lineRule="exact"/>
        <w:rPr>
          <w:sz w:val="20"/>
          <w:szCs w:val="20"/>
          <w:color w:val="auto"/>
        </w:rPr>
      </w:pPr>
    </w:p>
    <w:p>
      <w:pPr>
        <w:sectPr>
          <w:pgSz w:w="11900" w:h="16838" w:orient="portrait"/>
          <w:cols w:equalWidth="0" w:num="2">
            <w:col w:w="8040" w:space="680"/>
            <w:col w:w="25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PSU compensation expense</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271</w:t>
            </w:r>
          </w:p>
        </w:tc>
        <w:tc>
          <w:tcPr>
            <w:tcW w:w="520" w:type="dxa"/>
            <w:vAlign w:val="bottom"/>
            <w:shd w:val="clear" w:color="auto" w:fill="CCEEFF"/>
          </w:tcPr>
          <w:p>
            <w:pPr>
              <w:jc w:val="right"/>
              <w:ind w:right="33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175</w:t>
            </w:r>
          </w:p>
        </w:tc>
        <w:tc>
          <w:tcPr>
            <w:tcW w:w="580" w:type="dxa"/>
            <w:vAlign w:val="bottom"/>
            <w:gridSpan w:val="2"/>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564</w:t>
            </w:r>
          </w:p>
        </w:tc>
        <w:tc>
          <w:tcPr>
            <w:tcW w:w="540" w:type="dxa"/>
            <w:vAlign w:val="bottom"/>
            <w:shd w:val="clear" w:color="auto" w:fill="CCEEFF"/>
          </w:tcPr>
          <w:p>
            <w:pPr>
              <w:jc w:val="right"/>
              <w:ind w:right="3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472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5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09"/>
        </w:trPr>
        <w:tc>
          <w:tcPr>
            <w:tcW w:w="4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PSU compensation expense, net of income taxes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2020, there was $1,562 of unrecognized compensation cost related to outstanding PSUs. That cost is expected to be recognized over a weighted-average period of 1.89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21,886,930 and 22,217,799 during the three months ended June 30, 2020 and 2019, respectively, and 22,052,501 and 22,223,185 during the six months ended June 30, 2020 and 2019, respectively.</w:t>
      </w:r>
    </w:p>
    <w:p>
      <w:pPr>
        <w:spacing w:after="0" w:line="17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14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60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NI Holdings, Inc.</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18,733</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Denominator:</w:t>
            </w: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21,886,930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22,217,799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22,052,501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22,223,185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Basic earnings per common share</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00" w:type="dxa"/>
            <w:vAlign w:val="bottom"/>
          </w:tcPr>
          <w:p>
            <w:pPr>
              <w:ind w:left="360"/>
              <w:spacing w:after="0"/>
              <w:rPr>
                <w:sz w:val="20"/>
                <w:szCs w:val="20"/>
                <w:color w:val="auto"/>
              </w:rPr>
            </w:pPr>
            <w:r>
              <w:rPr>
                <w:rFonts w:ascii="Arial" w:cs="Arial" w:eastAsia="Arial" w:hAnsi="Arial"/>
                <w:sz w:val="18"/>
                <w:szCs w:val="18"/>
                <w:color w:val="auto"/>
              </w:rPr>
              <w:t>Net income attributable to NI Holdings, Inc.</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18,733</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2,478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15,146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16,251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Denominator:</w:t>
            </w: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Number of shares used in basic computation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21,886,930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22,217,799</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22,052,501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22,223,185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effect of dilutive securities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540"/>
              <w:spacing w:after="0"/>
              <w:rPr>
                <w:sz w:val="20"/>
                <w:szCs w:val="20"/>
                <w:color w:val="auto"/>
              </w:rPr>
            </w:pPr>
            <w:r>
              <w:rPr>
                <w:rFonts w:ascii="Arial" w:cs="Arial" w:eastAsia="Arial" w:hAnsi="Arial"/>
                <w:sz w:val="18"/>
                <w:szCs w:val="18"/>
                <w:color w:val="auto"/>
              </w:rPr>
              <w:t>Add: RSUs and PSUs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138,293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80,362</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129,772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Number of shares used in diluted computation</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22,025,223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22,298,161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22,182,273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22,288,524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180"/>
              <w:spacing w:after="0"/>
              <w:rPr>
                <w:sz w:val="20"/>
                <w:szCs w:val="20"/>
                <w:color w:val="auto"/>
              </w:rPr>
            </w:pPr>
            <w:r>
              <w:rPr>
                <w:rFonts w:ascii="Arial" w:cs="Arial" w:eastAsia="Arial" w:hAnsi="Arial"/>
                <w:sz w:val="18"/>
                <w:szCs w:val="18"/>
                <w:color w:val="auto"/>
              </w:rPr>
              <w:t>Diluted earnings per common share</w:t>
            </w:r>
          </w:p>
        </w:tc>
        <w:tc>
          <w:tcPr>
            <w:tcW w:w="7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0.68</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800" w:type="dxa"/>
            <w:vAlign w:val="bottom"/>
          </w:tcPr>
          <w:p>
            <w:pPr>
              <w:spacing w:after="0"/>
              <w:rPr>
                <w:sz w:val="24"/>
                <w:szCs w:val="24"/>
                <w:color w:val="auto"/>
              </w:rPr>
            </w:pPr>
          </w:p>
        </w:tc>
        <w:tc>
          <w:tcPr>
            <w:tcW w:w="920" w:type="dxa"/>
            <w:vAlign w:val="bottom"/>
            <w:gridSpan w:val="2"/>
          </w:tcPr>
          <w:p>
            <w:pPr>
              <w:ind w:left="740"/>
              <w:spacing w:after="0"/>
              <w:rPr>
                <w:sz w:val="20"/>
                <w:szCs w:val="20"/>
                <w:color w:val="auto"/>
              </w:rPr>
            </w:pPr>
            <w:r>
              <w:rPr>
                <w:rFonts w:ascii="Arial" w:cs="Arial" w:eastAsia="Arial" w:hAnsi="Arial"/>
                <w:sz w:val="18"/>
                <w:szCs w:val="18"/>
                <w:color w:val="auto"/>
                <w:w w:val="79"/>
              </w:rPr>
              <w:t>35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00" w:type="dxa"/>
            <w:vAlign w:val="bottom"/>
            <w:tcBorders>
              <w:bottom w:val="single" w:sz="8" w:color="EEEEEE"/>
            </w:tcBorders>
          </w:tcPr>
          <w:p>
            <w:pPr>
              <w:spacing w:after="0"/>
              <w:rPr>
                <w:sz w:val="17"/>
                <w:szCs w:val="17"/>
                <w:color w:val="auto"/>
              </w:rPr>
            </w:pPr>
          </w:p>
        </w:tc>
        <w:tc>
          <w:tcPr>
            <w:tcW w:w="7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1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lines of business. We operate only in the United States, and no single customer or agent provides 10 percent or more of our revenues. The following tables provide available information of these segments for the three and six month periods ended June 30, 2020 and 2019. For presentation in these tables, “LAE” refers to loss adjustment expenses.</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The non-GAAP ratios may not be comparable to similarly-named measures reported by other companies.</w:t>
      </w:r>
    </w:p>
    <w:p>
      <w:pPr>
        <w:spacing w:after="0" w:line="14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10"/>
          </w:tcPr>
          <w:p>
            <w:pPr>
              <w:ind w:left="200"/>
              <w:spacing w:after="0"/>
              <w:rPr>
                <w:sz w:val="20"/>
                <w:szCs w:val="20"/>
                <w:color w:val="auto"/>
              </w:rPr>
            </w:pPr>
            <w:r>
              <w:rPr>
                <w:rFonts w:ascii="Arial" w:cs="Arial" w:eastAsia="Arial" w:hAnsi="Arial"/>
                <w:sz w:val="18"/>
                <w:szCs w:val="18"/>
                <w:b w:val="1"/>
                <w:bCs w:val="1"/>
                <w:color w:val="auto"/>
              </w:rPr>
              <w:t>Three Months Ended June 30, 2020</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Crop</w:t>
            </w:r>
          </w:p>
        </w:tc>
        <w:tc>
          <w:tcPr>
            <w:tcW w:w="6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1,935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20,247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10,994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2"/>
              </w:rPr>
              <w:t>Underwriting and general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Underwriting gain (loss)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line="196" w:lineRule="exact"/>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capital gain on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attributable to non-</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180"/>
              <w:spacing w:after="0" w:line="182" w:lineRule="exact"/>
              <w:rPr>
                <w:sz w:val="20"/>
                <w:szCs w:val="20"/>
                <w:color w:val="auto"/>
              </w:rPr>
            </w:pPr>
            <w:r>
              <w:rPr>
                <w:rFonts w:ascii="Arial" w:cs="Arial" w:eastAsia="Arial" w:hAnsi="Arial"/>
                <w:sz w:val="18"/>
                <w:szCs w:val="18"/>
                <w:color w:val="auto"/>
              </w:rPr>
              <w:t>Net income attributable to NI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18,733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360"/>
              <w:spacing w:after="0"/>
              <w:rPr>
                <w:sz w:val="20"/>
                <w:szCs w:val="20"/>
                <w:color w:val="auto"/>
              </w:rPr>
            </w:pPr>
            <w:r>
              <w:rPr>
                <w:rFonts w:ascii="Arial" w:cs="Arial" w:eastAsia="Arial" w:hAnsi="Arial"/>
                <w:sz w:val="18"/>
                <w:szCs w:val="18"/>
                <w:color w:val="auto"/>
              </w:rPr>
              <w:t>Holdings, Inc.</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Balances at June 30, 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10,293</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37,864</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12,294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17,317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42,636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19,714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24,465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7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8"/>
                <w:szCs w:val="18"/>
                <w:b w:val="1"/>
                <w:bCs w:val="1"/>
                <w:color w:val="auto"/>
                <w:w w:val="96"/>
              </w:rPr>
              <w:t>Three Months Ended June 30, 2019</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14,501</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9,555</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2"/>
              </w:rPr>
              <w:t>Underwriting and general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Underwriting gain (loss)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capital gain on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40" w:type="dxa"/>
            <w:vAlign w:val="bottom"/>
          </w:tcPr>
          <w:p>
            <w:pPr>
              <w:spacing w:after="0" w:line="182" w:lineRule="exact"/>
              <w:rPr>
                <w:sz w:val="20"/>
                <w:szCs w:val="20"/>
                <w:color w:val="auto"/>
              </w:rPr>
            </w:pPr>
            <w:r>
              <w:rPr>
                <w:rFonts w:ascii="Arial" w:cs="Arial" w:eastAsia="Arial" w:hAnsi="Arial"/>
                <w:sz w:val="18"/>
                <w:szCs w:val="18"/>
                <w:color w:val="auto"/>
              </w:rPr>
              <w:t>Net income attributable to NI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80"/>
              <w:spacing w:after="0"/>
              <w:rPr>
                <w:sz w:val="20"/>
                <w:szCs w:val="20"/>
                <w:color w:val="auto"/>
              </w:rPr>
            </w:pPr>
            <w:r>
              <w:rPr>
                <w:rFonts w:ascii="Arial" w:cs="Arial" w:eastAsia="Arial" w:hAnsi="Arial"/>
                <w:sz w:val="18"/>
                <w:szCs w:val="18"/>
                <w:color w:val="auto"/>
              </w:rPr>
              <w:t>Holdings, Inc.</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Balances at June 30, 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Premiums and agents’ balances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72,903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w w:val="94"/>
              </w:rPr>
              <w:t>Deferred policy acquisition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6,056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794</w:t>
            </w:r>
          </w:p>
        </w:tc>
        <w:tc>
          <w:tcPr>
            <w:tcW w:w="3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180"/>
              <w:spacing w:after="0" w:line="201" w:lineRule="exact"/>
              <w:rPr>
                <w:sz w:val="20"/>
                <w:szCs w:val="20"/>
                <w:color w:val="auto"/>
              </w:rPr>
            </w:pPr>
            <w:r>
              <w:rPr>
                <w:rFonts w:ascii="Arial" w:cs="Arial" w:eastAsia="Arial" w:hAnsi="Arial"/>
                <w:sz w:val="18"/>
                <w:szCs w:val="18"/>
                <w:color w:val="auto"/>
              </w:rPr>
              <w:t>Receivable from Federal Crop</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60"/>
              <w:spacing w:after="0"/>
              <w:rPr>
                <w:sz w:val="20"/>
                <w:szCs w:val="20"/>
                <w:color w:val="auto"/>
              </w:rPr>
            </w:pPr>
            <w:r>
              <w:rPr>
                <w:rFonts w:ascii="Arial" w:cs="Arial" w:eastAsia="Arial" w:hAnsi="Arial"/>
                <w:sz w:val="18"/>
                <w:szCs w:val="18"/>
                <w:color w:val="auto"/>
              </w:rPr>
              <w:t>Insurance Corporation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29,668</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29,668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41,191</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28,233</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2,788</w:t>
            </w: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121,944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6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3"/>
              </w:rPr>
              <w:t>NI Holdings,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6"/>
          </w:tcPr>
          <w:p>
            <w:pPr>
              <w:jc w:val="center"/>
              <w:ind w:left="35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6"/>
          </w:tcPr>
          <w:p>
            <w:pPr>
              <w:jc w:val="center"/>
              <w:ind w:left="35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0"/>
          </w:tcPr>
          <w:p>
            <w:pPr>
              <w:jc w:val="right"/>
              <w:ind w:right="640"/>
              <w:spacing w:after="0"/>
              <w:rPr>
                <w:sz w:val="20"/>
                <w:szCs w:val="20"/>
                <w:color w:val="auto"/>
              </w:rPr>
            </w:pPr>
            <w:r>
              <w:rPr>
                <w:rFonts w:ascii="Arial" w:cs="Arial" w:eastAsia="Arial" w:hAnsi="Arial"/>
                <w:sz w:val="18"/>
                <w:szCs w:val="18"/>
                <w:b w:val="1"/>
                <w:bCs w:val="1"/>
                <w:color w:val="auto"/>
              </w:rPr>
              <w:t>Six Months Ended June 30, 2020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Home and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Crop</w:t>
            </w:r>
          </w:p>
        </w:tc>
        <w:tc>
          <w:tcPr>
            <w:tcW w:w="6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1,935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18,748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23,058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16,913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(7,961)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2"/>
              </w:rPr>
              <w:t>Underwriting and general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Underwriting gain (loss)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line="196" w:lineRule="exact"/>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3,989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capital loss on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attributable to non-</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180"/>
              <w:spacing w:after="0" w:line="182" w:lineRule="exact"/>
              <w:rPr>
                <w:sz w:val="20"/>
                <w:szCs w:val="20"/>
                <w:color w:val="auto"/>
              </w:rPr>
            </w:pPr>
            <w:r>
              <w:rPr>
                <w:rFonts w:ascii="Arial" w:cs="Arial" w:eastAsia="Arial" w:hAnsi="Arial"/>
                <w:sz w:val="18"/>
                <w:szCs w:val="18"/>
                <w:color w:val="auto"/>
              </w:rPr>
              <w:t>Net income attributable to NI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360"/>
              <w:spacing w:after="0"/>
              <w:rPr>
                <w:sz w:val="20"/>
                <w:szCs w:val="20"/>
                <w:color w:val="auto"/>
              </w:rPr>
            </w:pPr>
            <w:r>
              <w:rPr>
                <w:rFonts w:ascii="Arial" w:cs="Arial" w:eastAsia="Arial" w:hAnsi="Arial"/>
                <w:sz w:val="18"/>
                <w:szCs w:val="18"/>
                <w:color w:val="auto"/>
              </w:rPr>
              <w:t>Holdings, Inc.</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270"/>
              <w:spacing w:after="0"/>
              <w:rPr>
                <w:sz w:val="20"/>
                <w:szCs w:val="20"/>
                <w:color w:val="auto"/>
              </w:rPr>
            </w:pPr>
            <w:r>
              <w:rPr>
                <w:rFonts w:ascii="Arial" w:cs="Arial" w:eastAsia="Arial" w:hAnsi="Arial"/>
                <w:sz w:val="18"/>
                <w:szCs w:val="18"/>
                <w:color w:val="auto"/>
                <w:w w:val="89"/>
              </w:rPr>
              <w:t>39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7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jc w:val="center"/>
              <w:ind w:left="650"/>
              <w:spacing w:after="0"/>
              <w:rPr>
                <w:sz w:val="20"/>
                <w:szCs w:val="20"/>
                <w:color w:val="auto"/>
              </w:rPr>
            </w:pPr>
            <w:r>
              <w:rPr>
                <w:rFonts w:ascii="Arial" w:cs="Arial" w:eastAsia="Arial" w:hAnsi="Arial"/>
                <w:sz w:val="18"/>
                <w:szCs w:val="18"/>
                <w:b w:val="1"/>
                <w:bCs w:val="1"/>
                <w:color w:val="auto"/>
                <w:w w:val="93"/>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gridSpan w:val="13"/>
          </w:tcPr>
          <w:p>
            <w:pPr>
              <w:jc w:val="center"/>
              <w:ind w:left="51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13"/>
          </w:tcPr>
          <w:p>
            <w:pPr>
              <w:jc w:val="center"/>
              <w:ind w:left="510"/>
              <w:spacing w:after="0"/>
              <w:rPr>
                <w:sz w:val="20"/>
                <w:szCs w:val="20"/>
                <w:color w:val="auto"/>
              </w:rPr>
            </w:pPr>
            <w:r>
              <w:rPr>
                <w:rFonts w:ascii="Arial" w:cs="Arial" w:eastAsia="Arial" w:hAnsi="Arial"/>
                <w:sz w:val="18"/>
                <w:szCs w:val="18"/>
                <w:b w:val="1"/>
                <w:bCs w:val="1"/>
                <w:color w:val="auto"/>
                <w:w w:val="88"/>
              </w:rPr>
              <w:t>(dollar amounts in thousands, except per share amounts)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b w:val="1"/>
                <w:bCs w:val="1"/>
                <w:color w:val="auto"/>
              </w:rPr>
              <w:t>Six Months Ended June 30, 2019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Private</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Passenger</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Standard</w:t>
            </w: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All Other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121,752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32,778</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29,862</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Direct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22,180</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18,976</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22,757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9,069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Ceded losses and LAE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(1,288)</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losses and LAE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74,427</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2"/>
              </w:rPr>
              <w:t>Underwriting and general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Underwriting gain</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Fee and other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capital gain on investments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40" w:type="dxa"/>
            <w:vAlign w:val="bottom"/>
          </w:tcPr>
          <w:p>
            <w:pPr>
              <w:spacing w:after="0" w:line="182" w:lineRule="exact"/>
              <w:rPr>
                <w:sz w:val="20"/>
                <w:szCs w:val="20"/>
                <w:color w:val="auto"/>
              </w:rPr>
            </w:pPr>
            <w:r>
              <w:rPr>
                <w:rFonts w:ascii="Arial" w:cs="Arial" w:eastAsia="Arial" w:hAnsi="Arial"/>
                <w:sz w:val="18"/>
                <w:szCs w:val="18"/>
                <w:color w:val="auto"/>
              </w:rPr>
              <w:t>Net income attributable to NI</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80"/>
              <w:spacing w:after="0"/>
              <w:rPr>
                <w:sz w:val="20"/>
                <w:szCs w:val="20"/>
                <w:color w:val="auto"/>
              </w:rPr>
            </w:pPr>
            <w:r>
              <w:rPr>
                <w:rFonts w:ascii="Arial" w:cs="Arial" w:eastAsia="Arial" w:hAnsi="Arial"/>
                <w:sz w:val="18"/>
                <w:szCs w:val="18"/>
                <w:color w:val="auto"/>
              </w:rPr>
              <w:t>Holdings, Inc.</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Non-GAAP Ratios: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LAE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Expense ratio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ratio</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89"/>
              </w:rPr>
              <w:t>40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7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capital gain (loss) on investments, other income excluding non-standard auto insurance fees, and income taxes within the Consolidated Statement of Operations. For the Consolidated Balance Sheet, those items include cash and investments, property and equipment, other assets, accrued expenses, income taxes recoverable or payable, and shareholders’ equity.</w:t>
      </w:r>
    </w:p>
    <w:p>
      <w:pPr>
        <w:spacing w:after="0" w:line="11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rFonts w:ascii="Arial" w:cs="Arial" w:eastAsia="Arial" w:hAnsi="Arial"/>
          <w:sz w:val="18"/>
          <w:szCs w:val="18"/>
          <w:b w:val="1"/>
          <w:bCs w:val="1"/>
          <w:color w:val="auto"/>
        </w:rPr>
      </w:pPr>
    </w:p>
    <w:p>
      <w:pPr>
        <w:ind w:left="660" w:right="580"/>
        <w:spacing w:after="0" w:line="485" w:lineRule="auto"/>
        <w:rPr>
          <w:rFonts w:ascii="Arial" w:cs="Arial" w:eastAsia="Arial" w:hAnsi="Arial"/>
          <w:sz w:val="18"/>
          <w:szCs w:val="18"/>
          <w:b w:val="1"/>
          <w:bCs w:val="1"/>
          <w:color w:val="auto"/>
        </w:rPr>
      </w:pPr>
      <w:r>
        <w:rPr>
          <w:rFonts w:ascii="Arial" w:cs="Arial" w:eastAsia="Arial" w:hAnsi="Arial"/>
          <w:sz w:val="18"/>
          <w:szCs w:val="18"/>
          <w:color w:val="auto"/>
        </w:rPr>
        <w:t xml:space="preserve">We have evaluated subsequent events through August 5, 2020, the date these consolidated financial statements were available for issuance. </w:t>
      </w:r>
      <w:r>
        <w:rPr>
          <w:rFonts w:ascii="Arial" w:cs="Arial" w:eastAsia="Arial" w:hAnsi="Arial"/>
          <w:sz w:val="18"/>
          <w:szCs w:val="18"/>
          <w:i w:val="1"/>
          <w:iCs w:val="1"/>
          <w:color w:val="auto"/>
        </w:rPr>
        <w:t>COVID-19 Pandemic</w:t>
      </w:r>
    </w:p>
    <w:p>
      <w:pPr>
        <w:ind w:right="100" w:firstLine="648"/>
        <w:spacing w:after="0" w:line="293" w:lineRule="auto"/>
        <w:rPr>
          <w:sz w:val="20"/>
          <w:szCs w:val="20"/>
          <w:color w:val="auto"/>
        </w:rPr>
      </w:pPr>
      <w:r>
        <w:rPr>
          <w:rFonts w:ascii="Arial" w:cs="Arial" w:eastAsia="Arial" w:hAnsi="Arial"/>
          <w:sz w:val="16"/>
          <w:szCs w:val="16"/>
          <w:color w:val="auto"/>
        </w:rPr>
        <w:t>Beginning in March 2020, the global pandemic associated with novel coronavirus COVID-19 (“COVID-19”) and related economic conditions began to impact the Company’s results. For the six month period ended June 30, 2020, the Company’s underwriting results were impacted by reduced net premiums earned in our non-standard auto segment. The Company also incurred net unrealized investment losses driven by the impact of changes in fair value on the Company’s equity investments, attributable to the recent disruption in global financial markets. The actual long-term impact of the pandemic on the property and casualty industry is highly uncertain and will not be known for some time. In the short-term, we expect decreased economic activity to pressure overall top-line growth while negatively impacting investment results, dependent on the extent and duration of the economic contraction.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seven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ind w:left="1120" w:hanging="320"/>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Nodak Agency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American West – a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Primero – an indirect, wholly-owned subsidiary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Battle Creek – an affiliated company of Nodak Insurance;</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Direct Auto – a wholly-owned subsidiary of NI Holdings;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Westminster – a wholly-owned subsidiary of NI Holdings.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Battle Creek is managed by Nodak Insurance, and Nodak Insurance reinsures 100% of the risk on all insurance policies issued by Battle Creek.</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is an inactive shell corporation.</w:t>
      </w:r>
    </w:p>
    <w:p>
      <w:pPr>
        <w:spacing w:after="0" w:line="19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On August 31, 2018, NI Holdings completed the acquisition of 100% of the common stock of Direct Auto Insurance Company (“Direct Auto”) from private shareholders and Direct Auto became a consolidated subsidiary of the Company. The results of Direct Auto are included as part of the Company’s non-standard auto business segment following the closing date.</w:t>
      </w:r>
    </w:p>
    <w:p>
      <w:pPr>
        <w:spacing w:after="0" w:line="170" w:lineRule="exact"/>
        <w:rPr>
          <w:sz w:val="20"/>
          <w:szCs w:val="20"/>
          <w:color w:val="auto"/>
        </w:rPr>
      </w:pPr>
    </w:p>
    <w:p>
      <w:pPr>
        <w:jc w:val="both"/>
        <w:ind w:right="640" w:firstLine="648"/>
        <w:spacing w:after="0" w:line="263" w:lineRule="auto"/>
        <w:rPr>
          <w:sz w:val="20"/>
          <w:szCs w:val="20"/>
          <w:color w:val="auto"/>
        </w:rPr>
      </w:pPr>
      <w:r>
        <w:rPr>
          <w:rFonts w:ascii="Arial" w:cs="Arial" w:eastAsia="Arial" w:hAnsi="Arial"/>
          <w:sz w:val="18"/>
          <w:szCs w:val="18"/>
          <w:color w:val="auto"/>
        </w:rPr>
        <w:t>On January 1, 2020, NI Holdings completed the acquisition of 100% of the common stock of Westminster from the private shareholder of Westminster and Westminster became a consolidated subsidiary of the Company. The results of Westminster are included as part of the Company’s commercial business segment following the closing date.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nonstandard auto insurance coverage in Arizona, Nevada, North Dakota, and South Dakota. Direct Auto offers nonstandard auto insurance coverage in Illinois. Westminster offers commercial multi-peril insurance in the Mid-Atlantic region of the United States.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insurance subsidiaries of NI Holdings are rated “A” by A.M. Best, which is the third highest out of a possible 15 ratings.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chart of the corporate structure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40" w:type="dxa"/>
            <w:vAlign w:val="bottom"/>
            <w:tcBorders>
              <w:top w:val="single" w:sz="8" w:color="auto"/>
              <w:left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jc w:val="center"/>
              <w:ind w:right="1380"/>
              <w:spacing w:after="0"/>
              <w:rPr>
                <w:sz w:val="20"/>
                <w:szCs w:val="20"/>
                <w:color w:val="auto"/>
              </w:rPr>
            </w:pPr>
            <w:r>
              <w:rPr>
                <w:rFonts w:ascii="Arial" w:cs="Arial" w:eastAsia="Arial" w:hAnsi="Arial"/>
                <w:sz w:val="18"/>
                <w:szCs w:val="18"/>
                <w:b w:val="1"/>
                <w:bCs w:val="1"/>
                <w:color w:val="auto"/>
              </w:rPr>
              <w:t>NI HOLDINGS, INC.</w:t>
            </w:r>
          </w:p>
        </w:tc>
        <w:tc>
          <w:tcPr>
            <w:tcW w:w="25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Borders>
              <w:lef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rPr>
              <w:t>ORGANIZATIONAL CHART</w:t>
            </w: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80" w:type="dxa"/>
            <w:vAlign w:val="bottom"/>
            <w:tcBorders>
              <w:bottom w:val="single" w:sz="8" w:color="auto"/>
            </w:tcBorders>
            <w:gridSpan w:val="5"/>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Borders>
              <w:lef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3"/>
              </w:rPr>
              <w:t>Nodak Mutual Group, Inc.</w:t>
            </w: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40" w:type="dxa"/>
            <w:vAlign w:val="bottom"/>
            <w:tcBorders>
              <w:lef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4"/>
              </w:rPr>
              <w:t>≥ 55%</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Borders>
              <w:bottom w:val="single" w:sz="8" w:color="auto"/>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2"/>
              </w:rPr>
              <w:t>ownership</w:t>
            </w:r>
          </w:p>
        </w:tc>
        <w:tc>
          <w:tcPr>
            <w:tcW w:w="1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0" w:type="dxa"/>
            <w:vAlign w:val="bottom"/>
            <w:tcBorders>
              <w:lef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5"/>
              </w:rPr>
              <w:t>NI Holdings, Inc.</w:t>
            </w: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tcBorders>
          </w:tcPr>
          <w:p>
            <w:pPr>
              <w:spacing w:after="0"/>
              <w:rPr>
                <w:sz w:val="16"/>
                <w:szCs w:val="16"/>
                <w:color w:val="auto"/>
              </w:rPr>
            </w:pPr>
          </w:p>
        </w:tc>
        <w:tc>
          <w:tcPr>
            <w:tcW w:w="2020" w:type="dxa"/>
            <w:vAlign w:val="bottom"/>
            <w:vMerge w:val="continue"/>
          </w:tcPr>
          <w:p>
            <w:pPr>
              <w:spacing w:after="0"/>
              <w:rPr>
                <w:sz w:val="16"/>
                <w:szCs w:val="16"/>
                <w:color w:val="auto"/>
              </w:rPr>
            </w:pPr>
          </w:p>
        </w:tc>
        <w:tc>
          <w:tcPr>
            <w:tcW w:w="50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100%</w:t>
            </w:r>
          </w:p>
        </w:tc>
        <w:tc>
          <w:tcPr>
            <w:tcW w:w="4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740" w:type="dxa"/>
            <w:vAlign w:val="bottom"/>
            <w:tcBorders>
              <w:left w:val="single" w:sz="8" w:color="auto"/>
            </w:tcBorders>
            <w:gridSpan w:val="2"/>
          </w:tcPr>
          <w:p>
            <w:pPr>
              <w:spacing w:after="0"/>
              <w:rPr>
                <w:sz w:val="20"/>
                <w:szCs w:val="20"/>
                <w:color w:val="auto"/>
              </w:rPr>
            </w:pPr>
          </w:p>
        </w:tc>
        <w:tc>
          <w:tcPr>
            <w:tcW w:w="24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2"/>
              </w:rPr>
              <w:t>ownership</w:t>
            </w: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right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Direct Auto Insurance</w:t>
            </w:r>
          </w:p>
        </w:tc>
        <w:tc>
          <w:tcPr>
            <w:tcW w:w="240" w:type="dxa"/>
            <w:vAlign w:val="bottom"/>
            <w:tcBorders>
              <w:right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000" w:type="dxa"/>
            <w:vAlign w:val="bottom"/>
            <w:tcBorders>
              <w:top w:val="single" w:sz="8" w:color="auto"/>
              <w:right w:val="single" w:sz="8" w:color="auto"/>
            </w:tcBorders>
            <w:gridSpan w:val="2"/>
          </w:tcPr>
          <w:p>
            <w:pPr>
              <w:jc w:val="center"/>
              <w:ind w:right="40"/>
              <w:spacing w:after="0" w:line="195" w:lineRule="exact"/>
              <w:rPr>
                <w:sz w:val="20"/>
                <w:szCs w:val="20"/>
                <w:color w:val="auto"/>
              </w:rPr>
            </w:pPr>
            <w:r>
              <w:rPr>
                <w:rFonts w:ascii="Arial" w:cs="Arial" w:eastAsia="Arial" w:hAnsi="Arial"/>
                <w:sz w:val="18"/>
                <w:szCs w:val="18"/>
                <w:color w:val="auto"/>
                <w:w w:val="90"/>
              </w:rPr>
              <w:t>Westminster American Insurance</w:t>
            </w: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Company</w:t>
            </w:r>
          </w:p>
        </w:tc>
        <w:tc>
          <w:tcPr>
            <w:tcW w:w="240" w:type="dxa"/>
            <w:vAlign w:val="bottom"/>
            <w:tcBorders>
              <w:right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0"/>
              </w:rPr>
              <w:t>Nodak Insurance Company</w:t>
            </w:r>
          </w:p>
        </w:tc>
        <w:tc>
          <w:tcPr>
            <w:tcW w:w="220" w:type="dxa"/>
            <w:vAlign w:val="bottom"/>
            <w:tcBorders>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Company</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 w:type="dxa"/>
            <w:vAlign w:val="bottom"/>
            <w:tcBorders>
              <w:lef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40" w:type="dxa"/>
            <w:vAlign w:val="bottom"/>
            <w:tcBorders>
              <w:left w:val="single" w:sz="8" w:color="auto"/>
            </w:tcBorders>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740" w:type="dxa"/>
            <w:vAlign w:val="bottom"/>
            <w:tcBorders>
              <w:left w:val="single" w:sz="8" w:color="auto"/>
            </w:tcBorders>
            <w:gridSpan w:val="2"/>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660" w:type="dxa"/>
            <w:vAlign w:val="bottom"/>
            <w:gridSpan w:val="2"/>
          </w:tcPr>
          <w:p>
            <w:pPr>
              <w:spacing w:after="0"/>
              <w:rPr>
                <w:sz w:val="20"/>
                <w:szCs w:val="20"/>
                <w:color w:val="auto"/>
              </w:rPr>
            </w:pPr>
          </w:p>
        </w:tc>
        <w:tc>
          <w:tcPr>
            <w:tcW w:w="17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Affiliation</w:t>
            </w:r>
          </w:p>
        </w:tc>
        <w:tc>
          <w:tcPr>
            <w:tcW w:w="660" w:type="dxa"/>
            <w:vAlign w:val="bottom"/>
            <w:gridSpan w:val="2"/>
          </w:tcPr>
          <w:p>
            <w:pPr>
              <w:spacing w:after="0"/>
              <w:rPr>
                <w:sz w:val="20"/>
                <w:szCs w:val="20"/>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4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right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Nodak Agency, Inc.</w:t>
            </w:r>
          </w:p>
        </w:tc>
        <w:tc>
          <w:tcPr>
            <w:tcW w:w="240" w:type="dxa"/>
            <w:vAlign w:val="bottom"/>
            <w:tcBorders>
              <w:right w:val="single" w:sz="8" w:color="auto"/>
            </w:tcBorders>
          </w:tcPr>
          <w:p>
            <w:pPr>
              <w:spacing w:after="0"/>
              <w:rPr>
                <w:sz w:val="16"/>
                <w:szCs w:val="16"/>
                <w:color w:val="auto"/>
              </w:rPr>
            </w:pPr>
          </w:p>
        </w:tc>
        <w:tc>
          <w:tcPr>
            <w:tcW w:w="2240" w:type="dxa"/>
            <w:vAlign w:val="bottom"/>
            <w:tcBorders>
              <w:top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American West Insurance</w:t>
            </w:r>
          </w:p>
        </w:tc>
        <w:tc>
          <w:tcPr>
            <w:tcW w:w="22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2"/>
          </w:tcPr>
          <w:p>
            <w:pPr>
              <w:ind w:left="360"/>
              <w:spacing w:after="0" w:line="195" w:lineRule="exact"/>
              <w:rPr>
                <w:sz w:val="20"/>
                <w:szCs w:val="20"/>
                <w:color w:val="auto"/>
              </w:rPr>
            </w:pPr>
            <w:r>
              <w:rPr>
                <w:rFonts w:ascii="Arial" w:cs="Arial" w:eastAsia="Arial" w:hAnsi="Arial"/>
                <w:sz w:val="18"/>
                <w:szCs w:val="18"/>
                <w:color w:val="auto"/>
              </w:rPr>
              <w:t>Battle Creek Mutual</w:t>
            </w:r>
          </w:p>
        </w:tc>
        <w:tc>
          <w:tcPr>
            <w:tcW w:w="220" w:type="dxa"/>
            <w:vAlign w:val="bottom"/>
            <w:tcBorders>
              <w:right w:val="single" w:sz="8" w:color="auto"/>
            </w:tcBorders>
          </w:tcPr>
          <w:p>
            <w:pPr>
              <w:spacing w:after="0"/>
              <w:rPr>
                <w:sz w:val="16"/>
                <w:szCs w:val="16"/>
                <w:color w:val="auto"/>
              </w:rPr>
            </w:pPr>
          </w:p>
        </w:tc>
        <w:tc>
          <w:tcPr>
            <w:tcW w:w="300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2"/>
              </w:rPr>
              <w:t>Tri-State, Ltd</w:t>
            </w: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auto"/>
              <w:right w:val="single" w:sz="8" w:color="auto"/>
            </w:tcBorders>
          </w:tcPr>
          <w:p>
            <w:pPr>
              <w:spacing w:after="0"/>
              <w:rPr>
                <w:sz w:val="10"/>
                <w:szCs w:val="10"/>
                <w:color w:val="auto"/>
              </w:rPr>
            </w:pPr>
          </w:p>
        </w:tc>
        <w:tc>
          <w:tcPr>
            <w:tcW w:w="2520" w:type="dxa"/>
            <w:vAlign w:val="bottom"/>
            <w:tcBorders>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22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8"/>
                <w:szCs w:val="18"/>
                <w:color w:val="auto"/>
              </w:rPr>
              <w:t>Insurance Company</w:t>
            </w:r>
          </w:p>
        </w:tc>
        <w:tc>
          <w:tcPr>
            <w:tcW w:w="22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gridSpan w:val="2"/>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 w:type="dxa"/>
            <w:vAlign w:val="bottom"/>
            <w:tcBorders>
              <w:left w:val="single" w:sz="8" w:color="auto"/>
              <w:right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240" w:type="dxa"/>
            <w:vAlign w:val="bottom"/>
            <w:tcBorders>
              <w:bottom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220" w:type="dxa"/>
            <w:vAlign w:val="bottom"/>
            <w:tcBorders>
              <w:bottom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140" w:type="dxa"/>
            <w:vAlign w:val="bottom"/>
            <w:tcBorders>
              <w:lef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440" w:type="dxa"/>
            <w:vAlign w:val="bottom"/>
            <w:tcBorders>
              <w:bottom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0" w:type="dxa"/>
            <w:vAlign w:val="bottom"/>
            <w:tcBorders>
              <w:lef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Primero Insurance Company</w:t>
            </w: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 w:type="dxa"/>
            <w:vAlign w:val="bottom"/>
            <w:tcBorders>
              <w:left w:val="single" w:sz="8" w:color="auto"/>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 following tables provide selected amounts from the Company’s Unaudited Consolidated Statements of Operations and Unaudited Consolidated Balance Sheets. Additional information can be found later in this section.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37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1080" w:type="dxa"/>
            <w:vAlign w:val="bottom"/>
            <w:tcBorders>
              <w:top w:val="single" w:sz="8" w:color="auto"/>
            </w:tcBorders>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112,759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103,243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premiums earned</w:t>
            </w:r>
          </w:p>
        </w:tc>
        <w:tc>
          <w:tcPr>
            <w:tcW w:w="10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82,006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65,114</w:t>
            </w: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140,778</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115,620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non-controlling interest</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2,515</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15,212</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16,311</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6"/>
              </w:rPr>
              <w:t>624,434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0"/>
                <w:szCs w:val="20"/>
                <w:color w:val="auto"/>
              </w:rPr>
            </w:pPr>
          </w:p>
        </w:tc>
        <w:tc>
          <w:tcPr>
            <w:tcW w:w="1680" w:type="dxa"/>
            <w:vAlign w:val="bottom"/>
            <w:gridSpan w:val="2"/>
          </w:tcPr>
          <w:p>
            <w:pPr>
              <w:ind w:left="880"/>
              <w:spacing w:after="0"/>
              <w:rPr>
                <w:sz w:val="20"/>
                <w:szCs w:val="20"/>
                <w:color w:val="auto"/>
              </w:rPr>
            </w:pPr>
            <w:r>
              <w:rPr>
                <w:rFonts w:ascii="Arial" w:cs="Arial" w:eastAsia="Arial" w:hAnsi="Arial"/>
                <w:sz w:val="18"/>
                <w:szCs w:val="18"/>
                <w:color w:val="auto"/>
              </w:rPr>
              <w:t>324,723</w:t>
            </w:r>
          </w:p>
        </w:tc>
        <w:tc>
          <w:tcPr>
            <w:tcW w:w="1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309,803</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216"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global pandemic associated with the novel coronavirus COVID-19 continued to impact the Company’s results of operations during the quarter. Decreased economic activity restricted top-line growth, and while our investment portfolio performance improved, the volatile financial markets continued to have a negative impact on overall returns. These top-line growth impacts were partially offset by reduced loss frequency in our private passenger and non-standard auto segments, due to decreased overall miles driven during the quarter.</w:t>
      </w:r>
    </w:p>
    <w:p>
      <w:pPr>
        <w:spacing w:after="0" w:line="14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actual long-term impact of the pandemic on the property and casualty industry continues to be highly uncertain and will not be fully known for some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monitor the marketplace both on a regional and line of business basis. The private passenger market place would best be described as stable with ample capacity to grow business with a challenging pricing environment. Rates for private passenger are competitive across the upper Midwest. The non-standard auto market is competitive with companies seeking to grow this line, but, similar to the private passenger auto line, pricing is difficult and results challenging. In the property lines of business, companies are increasing prices in the loss prone areas and holding prices steady in non-loss states.</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Unlike our other insurance segments, crop insurance premiums written each year fluctuate primarily based on prevailing commodity prices for the type of crops insured, as the aggregate number of acres insured generally remains consistent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its revenue primarily from net premiums earned, net investment income, and net capital gain (loss) on investments.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9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other than some of our auto lines and the non-standard auto policies, typically have a term of twelve months. For example, for an annual policy that is written on July 1, 2019, one-half of the premiums would be earned in 2019 and the other half would be earned in 2020.</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Due to the nature of the crop planting and harvesting cycle and the deadlines for filing and processing claims under the federal crop insurance program, insurance premiums for crop insurance are recognized and earned during the period of risk, which usually begins in spring and ends with harvest in the fall. In the case of prevented planting claims, the period of risk is shortened to the date a valid prevented planting claim is filed, as the Company believes the period of risk has ended.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19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NI Holdings invests its surplus and the funds supporting its insurance liabilities (including unearned premiums and unpaid losses and loss adjustment expenses) in cash, cash equivalents, equity securities, and fixed income securities. Investment income includes interest and dividends earned on invested assets, and is reported net of investment-related expenses.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w:t>
      </w:r>
    </w:p>
    <w:p>
      <w:pPr>
        <w:spacing w:after="0" w:line="1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Beginning in 2019, in accordance with a change in accounting principle, changes in unrealized gains and losses on the Company’s investments in equity securities are included in net income as part of net capital gains and losses on investments. These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gains and losses may be significant given the size of the equity securities holdings and the inherent volatility in equity securities prices. Prior to 2019, the changes in unrealized gains and losses pertaining to such investments were recorded in other comprehensive income. The changes in unrealized gains and losses on fixed income securities continue to be recorded in other comprehensive income, net of income taxes. The new accounting treatment has no effect on total shareholders’ equity.</w:t>
      </w:r>
    </w:p>
    <w:p>
      <w:pPr>
        <w:spacing w:after="0" w:line="173"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NI Holdings’ portfolio of investments is managed by Conning, Inc., Disciplined Growth Investors, CIBC Personal Wealth Management, and Morgan Stanley Wealth Management. These investment managers have discretion to buy and sell securities in accordance with the investment policy approved by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21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NI Holdings’ expenses consist primarily of losses and loss adjustment expenses (“LAE”), amortization of deferred policy acquisition costs, other underwriting and general expenses, and income taxes.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21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and return on average equity.</w:t>
      </w:r>
    </w:p>
    <w:p>
      <w:pPr>
        <w:spacing w:after="0" w:line="16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21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21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9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period, net income (loss) is divided by the average of the beginning and ending equity attributable to NI Holdings for that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Consolidated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21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(loss adjustment expenses, or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6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4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losses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7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5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adjusters. These estimates have proven to be reasonably accurate indicators of the Company’s anticipated losses for this line of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accrues its ultimate liability for unpaid losses and LAE by using the following actuarial methodologies:</w:t>
      </w:r>
    </w:p>
    <w:p>
      <w:pPr>
        <w:spacing w:after="0" w:line="19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60"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Development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 utilizes ratios of cumulative</w:t>
      </w:r>
      <w:r>
        <w:rPr>
          <w:rFonts w:ascii="Arial" w:cs="Arial" w:eastAsia="Arial" w:hAnsi="Arial"/>
          <w:sz w:val="17"/>
          <w:szCs w:val="17"/>
          <w:b w:val="1"/>
          <w:bCs w:val="1"/>
          <w:color w:val="auto"/>
        </w:rPr>
        <w:t xml:space="preserve"> </w:t>
      </w:r>
      <w:r>
        <w:rPr>
          <w:rFonts w:ascii="Arial" w:cs="Arial" w:eastAsia="Arial" w:hAnsi="Arial"/>
          <w:sz w:val="17"/>
          <w:szCs w:val="17"/>
          <w:color w:val="auto"/>
        </w:rPr>
        <w:t>paid or case incurred losses or LAE at each age of development as a percent of the preceding development age. Selected ratios are then multiplied together to produce a set of loss development factors which when applied to the most current data value, by accident year, develop the estimated ultimate losses or LAE. Ultimate losses or LAE are then selected for each accident year from the various methods employed.</w:t>
      </w:r>
    </w:p>
    <w:p>
      <w:pPr>
        <w:spacing w:after="0" w:line="15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This method utilizes the ratio of paid allocated loss adjustment expense (“ALAE”) to paid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and is 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5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 of nonstandard auto insurance, and legislative changes, among others. The impact of many of these items on ultimate costs for claims and claim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6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w:t>
      </w:r>
    </w:p>
    <w:p>
      <w:pPr>
        <w:sectPr>
          <w:pgSz w:w="11900" w:h="16838" w:orient="portrait"/>
          <w:cols w:equalWidth="0" w:num="1">
            <w:col w:w="11220"/>
          </w:cols>
          <w:pgMar w:left="320" w:top="125" w:right="359" w:bottom="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factors that have or can have an impact on the Company’s case and IBNR reserves include but are not limited to those described below.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21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21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During 2018, the state of Nevada mandated the incorporation of higher minimum liabilities for nonstandard auto insurance policies written in the state. Similar mandates have become effective in July 2020 in the state of Arizona. While it is certain that these actions increase the average claim cost experienced in the state, the actual amount is subject to judgement until further claim experience is obtained.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198"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Actuarial Loss Reserves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4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108,583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IBNR reserves</w:t>
            </w:r>
          </w:p>
        </w:tc>
        <w:tc>
          <w:tcPr>
            <w:tcW w:w="2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7,431</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3,040</w:t>
            </w:r>
          </w:p>
        </w:tc>
      </w:tr>
      <w:tr>
        <w:trPr>
          <w:trHeight w:val="210"/>
        </w:trPr>
        <w:tc>
          <w:tcPr>
            <w:tcW w:w="4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9,011</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4,045</w:t>
            </w:r>
          </w:p>
        </w:tc>
      </w:tr>
      <w:tr>
        <w:trPr>
          <w:trHeight w:val="209"/>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89,205</w:t>
            </w: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unpaid losses and LAE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Case Reserves</w:t>
            </w: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IBNR Reserves</w:t>
            </w: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Reserves</w:t>
            </w:r>
          </w:p>
        </w:tc>
        <w:tc>
          <w:tcPr>
            <w:tcW w:w="120" w:type="dxa"/>
            <w:vAlign w:val="bottom"/>
          </w:tcPr>
          <w:p>
            <w:pPr>
              <w:spacing w:after="0"/>
              <w:rPr>
                <w:sz w:val="18"/>
                <w:szCs w:val="18"/>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4"/>
              </w:rPr>
              <w:t>5,756</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Non-standard auto</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54,618</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(11,788)</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42,830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7,910</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3,307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Crop</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19,347</w:t>
            </w: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20,159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9,093</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4,617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4,001</w:t>
            </w:r>
          </w:p>
        </w:tc>
        <w:tc>
          <w:tcPr>
            <w:tcW w:w="120" w:type="dxa"/>
            <w:vAlign w:val="bottom"/>
          </w:tcPr>
          <w:p>
            <w:pPr>
              <w:spacing w:after="0"/>
              <w:rPr>
                <w:sz w:val="18"/>
                <w:szCs w:val="18"/>
                <w:color w:val="auto"/>
              </w:rPr>
            </w:pPr>
          </w:p>
        </w:tc>
        <w:tc>
          <w:tcPr>
            <w:tcW w:w="1660" w:type="dxa"/>
            <w:vAlign w:val="bottom"/>
            <w:gridSpan w:val="2"/>
          </w:tcPr>
          <w:p>
            <w:pPr>
              <w:ind w:left="920"/>
              <w:spacing w:after="0"/>
              <w:rPr>
                <w:sz w:val="20"/>
                <w:szCs w:val="20"/>
                <w:color w:val="auto"/>
              </w:rPr>
            </w:pPr>
            <w:r>
              <w:rPr>
                <w:rFonts w:ascii="Arial" w:cs="Arial" w:eastAsia="Arial" w:hAnsi="Arial"/>
                <w:sz w:val="18"/>
                <w:szCs w:val="18"/>
                <w:color w:val="auto"/>
              </w:rPr>
              <w:t>4,727</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8,728</w:t>
            </w:r>
          </w:p>
        </w:tc>
      </w:tr>
      <w:tr>
        <w:trPr>
          <w:trHeight w:val="210"/>
        </w:trPr>
        <w:tc>
          <w:tcPr>
            <w:tcW w:w="6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4"/>
              </w:rPr>
              <w:t>7,431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7,833</w:t>
            </w:r>
          </w:p>
        </w:tc>
        <w:tc>
          <w:tcPr>
            <w:tcW w:w="120" w:type="dxa"/>
            <w:vAlign w:val="bottom"/>
          </w:tcPr>
          <w:p>
            <w:pPr>
              <w:spacing w:after="0"/>
              <w:rPr>
                <w:sz w:val="18"/>
                <w:szCs w:val="18"/>
                <w:color w:val="auto"/>
              </w:rPr>
            </w:pPr>
          </w:p>
        </w:tc>
        <w:tc>
          <w:tcPr>
            <w:tcW w:w="1660" w:type="dxa"/>
            <w:vAlign w:val="bottom"/>
            <w:gridSpan w:val="2"/>
          </w:tcPr>
          <w:p>
            <w:pPr>
              <w:ind w:left="920"/>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9,011</w:t>
            </w:r>
          </w:p>
        </w:tc>
      </w:tr>
      <w:tr>
        <w:trPr>
          <w:trHeight w:val="209"/>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100,750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4"/>
              </w:rPr>
              <w:t>6,253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7"/>
              </w:rPr>
              <w:t>December 31, 2019</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Case Reserves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IBNR Reserves</w:t>
            </w: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Total Reserves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Non-standard auto</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55,623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(11,645)</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Crop</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8,411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 other</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4,232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1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20" w:type="dxa"/>
            <w:vAlign w:val="bottom"/>
            <w:vMerge w:val="restart"/>
          </w:tcPr>
          <w:p>
            <w:pPr>
              <w:jc w:val="right"/>
              <w:ind w:right="27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1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160" w:type="dxa"/>
            <w:vAlign w:val="bottom"/>
            <w:tcBorders>
              <w:bottom w:val="single" w:sz="8" w:color="EEEEEE"/>
            </w:tcBorders>
          </w:tcPr>
          <w:p>
            <w:pPr>
              <w:spacing w:after="0"/>
              <w:rPr>
                <w:sz w:val="17"/>
                <w:szCs w:val="17"/>
                <w:color w:val="auto"/>
              </w:rPr>
            </w:pPr>
          </w:p>
        </w:tc>
        <w:tc>
          <w:tcPr>
            <w:tcW w:w="19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34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32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3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212"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9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June 30, 2020, the impact of a 1% change in our estimate for unpaid losses and LAE, net of reinsurance recoverables, on our net income, after federal income taxes of 21%, would be approximately $845.</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Inflation is not explicitly selected in the loss reserve analysis. However, historical inflation is embedded in the estimated loss development factors. The following table displays the impact on net income after federal income taxes of 21%, resulting from various changes from the inflation factor implicitly embedded in the estimated payment pattern as of December 31, 2019, which is deemed consistent with June 30, 2020, excluding the addition of the Westminster liability for unpaid losses and LAE.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33"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2700" w:type="dxa"/>
            <w:vAlign w:val="bottom"/>
            <w:gridSpan w:val="2"/>
          </w:tcPr>
          <w:p>
            <w:pPr>
              <w:ind w:left="520"/>
              <w:spacing w:after="0"/>
              <w:rPr>
                <w:sz w:val="20"/>
                <w:szCs w:val="20"/>
                <w:color w:val="auto"/>
              </w:rPr>
            </w:pPr>
            <w:r>
              <w:rPr>
                <w:rFonts w:ascii="Arial" w:cs="Arial" w:eastAsia="Arial" w:hAnsi="Arial"/>
                <w:sz w:val="18"/>
                <w:szCs w:val="18"/>
                <w:b w:val="1"/>
                <w:bCs w:val="1"/>
                <w:color w:val="auto"/>
              </w:rPr>
              <w:t>Change in Inflation</w:t>
            </w:r>
          </w:p>
        </w:tc>
        <w:tc>
          <w:tcPr>
            <w:tcW w:w="180" w:type="dxa"/>
            <w:vAlign w:val="bottom"/>
          </w:tcPr>
          <w:p>
            <w:pPr>
              <w:spacing w:after="0"/>
              <w:rPr>
                <w:sz w:val="20"/>
                <w:szCs w:val="20"/>
                <w:color w:val="auto"/>
              </w:rPr>
            </w:pPr>
          </w:p>
        </w:tc>
        <w:tc>
          <w:tcPr>
            <w:tcW w:w="27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Impact on After-Tax Earnings</w:t>
            </w:r>
          </w:p>
        </w:tc>
      </w:tr>
      <w:tr>
        <w:trPr>
          <w:trHeight w:val="210"/>
        </w:trPr>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7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(1,103)</w:t>
            </w:r>
          </w:p>
        </w:tc>
      </w:tr>
      <w:tr>
        <w:trPr>
          <w:trHeight w:val="216"/>
        </w:trPr>
        <w:tc>
          <w:tcPr>
            <w:tcW w:w="25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jc w:val="right"/>
              <w:ind w:right="490"/>
              <w:spacing w:after="0"/>
              <w:rPr>
                <w:sz w:val="20"/>
                <w:szCs w:val="20"/>
                <w:color w:val="auto"/>
              </w:rPr>
            </w:pPr>
            <w:r>
              <w:rPr>
                <w:rFonts w:ascii="Arial" w:cs="Arial" w:eastAsia="Arial" w:hAnsi="Arial"/>
                <w:sz w:val="18"/>
                <w:szCs w:val="18"/>
                <w:color w:val="auto"/>
              </w:rPr>
              <w:t>1,128</w:t>
            </w:r>
          </w:p>
        </w:tc>
      </w:tr>
      <w:tr>
        <w:trPr>
          <w:trHeight w:val="216"/>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3,463</w:t>
            </w:r>
          </w:p>
        </w:tc>
      </w:tr>
      <w:tr>
        <w:trPr>
          <w:trHeight w:val="230"/>
        </w:trPr>
        <w:tc>
          <w:tcPr>
            <w:tcW w:w="25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tcPr>
          <w:p>
            <w:pPr>
              <w:jc w:val="right"/>
              <w:ind w:right="490"/>
              <w:spacing w:after="0"/>
              <w:rPr>
                <w:sz w:val="20"/>
                <w:szCs w:val="20"/>
                <w:color w:val="auto"/>
              </w:rPr>
            </w:pPr>
            <w:r>
              <w:rPr>
                <w:rFonts w:ascii="Arial" w:cs="Arial" w:eastAsia="Arial" w:hAnsi="Arial"/>
                <w:sz w:val="18"/>
                <w:szCs w:val="18"/>
                <w:color w:val="auto"/>
              </w:rPr>
              <w:t>5,910</w:t>
            </w:r>
          </w:p>
        </w:tc>
      </w:tr>
    </w:tbl>
    <w:p>
      <w:pPr>
        <w:spacing w:after="0" w:line="17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21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federal income taxes of 21% that results from various changes to the level of case reserves as of December 31, 2019, which is deemed consistent with June 30, 2020, excluding the addition of the Westminster liability for unpaid losses and LAE. This variance in future IBNR emergence could occur in one year or over multiple years, depending when the change is recognized.</w:t>
      </w:r>
    </w:p>
    <w:p>
      <w:pPr>
        <w:spacing w:after="0" w:line="117"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28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 in Case Reserves</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Impact on After-Tax Earnings</w:t>
            </w:r>
          </w:p>
        </w:tc>
      </w:tr>
      <w:tr>
        <w:trPr>
          <w:trHeight w:val="210"/>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r>
      <w:tr>
        <w:trPr>
          <w:trHeight w:val="216"/>
        </w:trPr>
        <w:tc>
          <w:tcPr>
            <w:tcW w:w="2820" w:type="dxa"/>
            <w:vAlign w:val="bottom"/>
          </w:tcPr>
          <w:p>
            <w:pPr>
              <w:jc w:val="center"/>
              <w:spacing w:after="0"/>
              <w:rPr>
                <w:sz w:val="20"/>
                <w:szCs w:val="20"/>
                <w:color w:val="auto"/>
              </w:rPr>
            </w:pPr>
            <w:r>
              <w:rPr>
                <w:rFonts w:ascii="Arial" w:cs="Arial" w:eastAsia="Arial" w:hAnsi="Arial"/>
                <w:sz w:val="18"/>
                <w:szCs w:val="18"/>
                <w:color w:val="auto"/>
                <w:w w:val="93"/>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3,563</w:t>
            </w:r>
          </w:p>
        </w:tc>
      </w:tr>
      <w:tr>
        <w:trPr>
          <w:trHeight w:val="216"/>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1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16"/>
        </w:trPr>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r>
      <w:tr>
        <w:trPr>
          <w:trHeight w:val="230"/>
        </w:trPr>
        <w:tc>
          <w:tcPr>
            <w:tcW w:w="2820" w:type="dxa"/>
            <w:vAlign w:val="bottom"/>
          </w:tcPr>
          <w:p>
            <w:pPr>
              <w:jc w:val="center"/>
              <w:spacing w:after="0"/>
              <w:rPr>
                <w:sz w:val="20"/>
                <w:szCs w:val="20"/>
                <w:color w:val="auto"/>
              </w:rPr>
            </w:pPr>
            <w:r>
              <w:rPr>
                <w:rFonts w:ascii="Arial" w:cs="Arial" w:eastAsia="Arial" w:hAnsi="Arial"/>
                <w:sz w:val="18"/>
                <w:szCs w:val="18"/>
                <w:color w:val="auto"/>
                <w:w w:val="90"/>
              </w:rPr>
              <w:t>+10%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(7,127)</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shareholders’ equity as a component of other comprehensive income (loss) and, accordingly, have no effect on net income (loss). Effective January 1, 2019, changes in unrealized investment gains or losses on equity securities will be recorded in net income (loss), rather than as a component of other comprehensive income (loss). Investment income is recognized when earned, and realized capital gains and losses on investments are recognized when investments are sold, or an other-than-temporary impairment is recognized.</w:t>
      </w:r>
    </w:p>
    <w:p>
      <w:pPr>
        <w:spacing w:after="0" w:line="15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NI Holdings evaluates securities for other-than-temporary impairment (“OTTI”) at least on a quarterly basis. For periods subsequent to December 31, 2018, this evaluation includes only fixed income securities. Prior to January 1, 2019, this evaluation included both fixed income and equity securities. NI Holdings assesses whether OTTI is present when the fair value of a security is less than its amortized cost. OTTI is considered to have occurred with respect to fixed income securities if (1) an entity intends to sell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six months ended June 30, 2020, NI Holdings’ investment portfolio experienced an increase in net unrealized gains of $1,659.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June 30, 2020</w:t>
            </w:r>
          </w:p>
        </w:tc>
        <w:tc>
          <w:tcPr>
            <w:tcW w:w="1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Change</w:t>
            </w: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Gross unrealized gains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7,595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7,763</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losses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w:t>
            </w:r>
          </w:p>
        </w:tc>
      </w:tr>
      <w:tr>
        <w:trPr>
          <w:trHeight w:val="209"/>
        </w:trPr>
        <w:tc>
          <w:tcPr>
            <w:tcW w:w="6540" w:type="dxa"/>
            <w:vAlign w:val="bottom"/>
          </w:tcPr>
          <w:p>
            <w:pPr>
              <w:ind w:left="360"/>
              <w:spacing w:after="0"/>
              <w:rPr>
                <w:sz w:val="20"/>
                <w:szCs w:val="20"/>
                <w:color w:val="auto"/>
              </w:rPr>
            </w:pPr>
            <w:r>
              <w:rPr>
                <w:rFonts w:ascii="Arial" w:cs="Arial" w:eastAsia="Arial" w:hAnsi="Arial"/>
                <w:sz w:val="18"/>
                <w:szCs w:val="18"/>
                <w:color w:val="auto"/>
              </w:rPr>
              <w:t>Net fixed income unrealized gains</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gains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20,414</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(2,464)</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Gross unrealized losses</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(2,643)</w:t>
            </w:r>
          </w:p>
        </w:tc>
      </w:tr>
      <w:tr>
        <w:trPr>
          <w:trHeight w:val="210"/>
        </w:trPr>
        <w:tc>
          <w:tcPr>
            <w:tcW w:w="6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equity unrealized gains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fixed income portion of the portfolio experienced an increase in net unrealized gains of $6,766 during the six months ended June 30, 2020. This increase is driven primarily by the U.S. Federal Reserve’s implementation of the unprecedented efforts it announced in March to support the economy, including buying large quantities of investment grade corporate bonds and corporate bond ETFs, along with U.S. Treasuries. The net increase is reflected directly in shareholders’ equity as a component of accumulated other comprehensive income.</w:t>
      </w:r>
    </w:p>
    <w:p>
      <w:pPr>
        <w:spacing w:after="0" w:line="16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equity portion of the portfolio experienced decreases in unrealized gains and increases in unrealized losses, which are attributed to the unfavorable conditions in the stock market during the six months ended June 30, 2020, brought about by the COVID-19 pandemic and a significant drop in oil prices. The net decrease of $5,107 is included in net capital gains (losses) on investments on the Company’s Consolidated Statements of Operations for the six months ended June 30, 2020. The Company did benefit from improved market conditions during the three months ended June 30, 2020, as the change in equity securities resulted in a gain of $10,827 during this time frame.</w:t>
      </w:r>
    </w:p>
    <w:p>
      <w:pPr>
        <w:spacing w:after="0" w:line="16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security (if any), and the outlook for the issuer according to independent analysts. The Company’s fixed income portfolio is managed by Conning Asset Management, which specializes in managing insurance company investment portfolios and participates in this evaluation.</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For the six months ended June 30, 2020, NI Holdings did not recognize any other-than-temporary impairments of its investment securities. For the year ended December 31, 2019, NI Holdings did not recognize any other-than-temporary impairments of its investment securities.</w:t>
      </w:r>
    </w:p>
    <w:p>
      <w:pPr>
        <w:spacing w:after="0" w:line="11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more information on the Company’s investments, see Note 6 to the Unaudited Consolidated Financial Statements, included elsewhere in this Form 10-Q.</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76" w:lineRule="exact"/>
        <w:rPr>
          <w:sz w:val="20"/>
          <w:szCs w:val="20"/>
          <w:color w:val="auto"/>
        </w:rPr>
      </w:pPr>
    </w:p>
    <w:p>
      <w:pPr>
        <w:ind w:left="2140" w:right="340" w:hanging="1511"/>
        <w:spacing w:after="0" w:line="277" w:lineRule="auto"/>
        <w:tabs>
          <w:tab w:leader="none" w:pos="212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70" w:lineRule="exact"/>
        <w:rPr>
          <w:sz w:val="20"/>
          <w:szCs w:val="20"/>
          <w:color w:val="auto"/>
        </w:rPr>
      </w:pPr>
    </w:p>
    <w:p>
      <w:pPr>
        <w:ind w:left="2160" w:right="40" w:hanging="1511"/>
        <w:spacing w:after="0" w:line="275" w:lineRule="auto"/>
        <w:tabs>
          <w:tab w:leader="none" w:pos="21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76" w:lineRule="exact"/>
        <w:rPr>
          <w:sz w:val="20"/>
          <w:szCs w:val="20"/>
          <w:color w:val="auto"/>
        </w:rPr>
      </w:pPr>
    </w:p>
    <w:p>
      <w:pPr>
        <w:ind w:left="2140" w:right="340" w:hanging="1511"/>
        <w:spacing w:after="0" w:line="277" w:lineRule="auto"/>
        <w:tabs>
          <w:tab w:leader="none" w:pos="212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5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4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 at June 30, 2020 or December 31, 2019.</w:t>
      </w:r>
    </w:p>
    <w:p>
      <w:pPr>
        <w:spacing w:after="0" w:line="17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5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4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six month period ended June 30, 2020 or the year ended December 31, 2019. The classification within the fair value hierarchy is then confirmed based on the final conclusions from the pricing review.</w:t>
      </w:r>
    </w:p>
    <w:p>
      <w:pPr>
        <w:spacing w:after="0" w:line="16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Unaudited Consolidated Financial Statements, included elsewhere in this Form 10-Q.</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As in the case of previous acquisitions, no deferred policy acquisition costs (“DAC”) were recorded in the acquisition of Westminster in accordance with purchase accounting guidance. Rather, a separate intangible asset representing the value of business acquired (“VOBA”) was valued at $4,750 and established at the closing date. This VOBA intangible asset will be amortized into expense as the acquired unearned premiums are reported into income, in the same way as DAC. Policy acquisition costs relating to new business written by Westminster were deferred following the closing date. The release of the VOBA asset and the establishment of new DAC generally offset each other over the twelve months following the acquisition of Westminster.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2020 and December 31, 2019, DAC, the VOBA intangible asset, and the related liability for unearned premiums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June 30, 2020</w:t>
            </w: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Value of business acquired intangible asset</w:t>
            </w: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unearned premiums</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137,212</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89,276</w:t>
            </w:r>
          </w:p>
        </w:tc>
      </w:tr>
    </w:tbl>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method followed in computing DAC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DAC. If the estimation of net realizable value indicates that DAC are not recoverable, they would be written off or a premium deficiency reserve would be established.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NI Holdings had gross deferred income tax assets of $8,336 at June 30, 2020 and $6,294 at December 31, 2019,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$594 was maintained at June 30, 2020 and December 31, 2019.</w:t>
      </w:r>
    </w:p>
    <w:p>
      <w:pPr>
        <w:spacing w:after="0" w:line="16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NI Holdings had gross deferred income tax liabilities of $14,423 at June 30, 2020 and $10,290 at December 31, 2019, arising primarily from DAC, net unrealized capital gains on investments, and intangible assets.</w:t>
      </w:r>
    </w:p>
    <w:p>
      <w:pPr>
        <w:spacing w:after="0" w:line="157"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4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June 30, 2020, NI Holdings had no material unrecognized income tax benefits or accrued interest and penalties. Federal tax years 2014 through 2018 are open for examination.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the second quarter, and earned ratably over the period of risk, which extends into the fourth quarter. However, if the Company experiences a higher than average number of prevented planting claims early in the season, additional earned premiums may be recognized in the second quarter due to the shortened risk period.</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5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and earned throughout the year. Losses on this business are also incurred throughout the year, but usually are more frequent and/or severe during periods of weather-related activity in the second and third quarters.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Premiums in the commercial lines of business are generally written and earned throughout the year. Losses on this business are also incurred throughout the year, but generally are more frequent during the winter months from water and freeze claims.</w:t>
      </w:r>
    </w:p>
    <w:p>
      <w:pPr>
        <w:spacing w:after="0" w:line="14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22 to the Unaudited Consolidated Financial Statements, included elsewhere in this Form 10-Q.</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2020 and 2019</w:t>
      </w:r>
    </w:p>
    <w:p>
      <w:pPr>
        <w:spacing w:after="0" w:line="19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consolidated net income for NI Holdings was $18,767 for the three months ended June 30, 2020 compared to net income of $2,515 for the three months ended June 30, 2019. The major components of NI Holdings’ operating revenues and net income for the two periods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82,006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65,114</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11,197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95,667</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82,006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65,114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52,364</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48,193</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19,625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Underwriting gain (loss)</w:t>
            </w: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10,017</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11,197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23,678</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18,767</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Beginning in March 2020, the global pandemic associated with COVID-19 and related economic conditions began to impact the Company’s results. For the three months ended June 30, 2020, the Company’s underwriting results were impacted by reduced net premiums earned in our non-standard auto segment. The Company also experienced continued volatility in net unrealized investment gains and losses driven by the impact of changes in fair value on the Company’s equity investments, attributable to the recent disruption in global financial markets. For further discussion regarding the potential impacts of COVID-19 and related economic conditions of the Company, see “Part II – Item 1A – Risk Factors”.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net premiums earned for the three months ended June 30, 2020 increased $16,892, or 25.9%, compared to a year ago.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40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premiums earned:</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17,386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16,686</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13,134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17,768</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23,552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8,341</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82,006</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40" w:type="dxa"/>
            <w:vAlign w:val="bottom"/>
            <w:gridSpan w:val="7"/>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premiums earned:</w:t>
            </w:r>
          </w:p>
        </w:tc>
        <w:tc>
          <w:tcPr>
            <w:tcW w:w="4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5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82,452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4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(3,129)</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82,006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80" w:type="dxa"/>
            <w:vAlign w:val="bottom"/>
            <w:vMerge w:val="restart"/>
          </w:tcPr>
          <w:p>
            <w:pPr>
              <w:jc w:val="right"/>
              <w:ind w:right="2190"/>
              <w:spacing w:after="0"/>
              <w:rPr>
                <w:sz w:val="20"/>
                <w:szCs w:val="20"/>
                <w:color w:val="auto"/>
              </w:rPr>
            </w:pPr>
            <w:r>
              <w:rPr>
                <w:rFonts w:ascii="Arial" w:cs="Arial" w:eastAsia="Arial" w:hAnsi="Arial"/>
                <w:sz w:val="18"/>
                <w:szCs w:val="18"/>
                <w:color w:val="auto"/>
              </w:rPr>
              <w:t>56</w:t>
            </w: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9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20" w:type="dxa"/>
            <w:vAlign w:val="bottom"/>
            <w:tcBorders>
              <w:bottom w:val="single" w:sz="8" w:color="EEEEEE"/>
            </w:tcBorders>
          </w:tcPr>
          <w:p>
            <w:pPr>
              <w:spacing w:after="0"/>
              <w:rPr>
                <w:sz w:val="17"/>
                <w:szCs w:val="17"/>
                <w:color w:val="auto"/>
              </w:rPr>
            </w:pPr>
          </w:p>
        </w:tc>
        <w:tc>
          <w:tcPr>
            <w:tcW w:w="408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5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Direct premiums earned for the second quarter of 2020 increased $12,953, or 18.6%, from the second quarter of 2019. The addition of the Westminster commercial business contributed $8,968 in direct premiums earned during the three months ended June 30, 2020. Crop segment direct premiums earned increased $4,051 compared to last year related to the high claim volume of prevented planting claims submitted for the current multi-peril crop season.</w:t>
      </w:r>
    </w:p>
    <w:p>
      <w:pPr>
        <w:spacing w:after="0" w:line="17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Assumed premiums earned decreased $290, due to less assumed crop hail business. Ceded premiums earned decreased significantly, reflecting additional multi-peril gain-sharing amounts from the federal government, partially offset by ceding of the Westminster commercial business and increasing our overall reinsurance coverage limits.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personal lines of business (private passenger auto, home and farm) continued to grow in South Dakota and Nebraska. Our North Dakota business grew modestly.</w:t>
      </w:r>
    </w:p>
    <w:p>
      <w:pPr>
        <w:spacing w:after="0" w:line="14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non-standard auto premiums decreased year-over-year due to the COVID-19 pandemic, which negatively impacted policy counts in this segment across all states. During the month of June, this trend of decreasing policy counts moderated somewhat. At this time, we are unsure what impact the pandemic will have on policy counts for the remainder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1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NI Holdings’ net losses and LAE for the three months ended June 30, 2020 increased $4,171, or 8.7%, compared to a year ago, due primarily to the addition of Westminster. Despite the overall increase, the Company’s loss and LAE ratio decreased significantly.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40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losses and LAE:</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8,624</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11,922</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10,860</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13,467</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19,107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5,237</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net losses and LAE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52,364</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Three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and LAE ratio:</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Private passenger auto</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49.6%</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62.4%</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Home and farm</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61.1%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81.1%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62.8%</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18.7%</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9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63.9%</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Company’s overall loss and LAE experience improved 10.1 percentage points year-over-year, across most segments of the Company. Only the crop and commercial segments reported increases in their loss and LAE ratios.</w:t>
      </w:r>
    </w:p>
    <w:p>
      <w:pPr>
        <w:spacing w:after="0" w:line="15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Losses were favorable year-over-year in private passenger and non-standard auto, due to less frequency of losses as insureds drove fewer miles during the current quarter. In home and farm, losses and LAE decreased as well, due to lower weather-related losses.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commercial business had increased losses due to Westminster’s results being added to the segment.</w:t>
      </w:r>
    </w:p>
    <w:p>
      <w:pPr>
        <w:spacing w:after="0" w:line="21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2019 multi-peril crop insurance business ended the year with less than 50% of the corn in North Dakota harvested and we carried a significant number of open claims as of December 31, 2019. Most of those claims have been settled through the first half of the year as crops have been harvested or deemed unsalvageable. This business experienced unfavorable loss development of $1,247 on a net basis during the current quarter.</w:t>
      </w:r>
    </w:p>
    <w:p>
      <w:pPr>
        <w:spacing w:after="0" w:line="135"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The issues arising from the 2019 multi-peril crop season have impacted the 2020 season. A higher than normal number of prevented planting claims have been submitted due to fields not harvested from the prior year, resulting in a shortened risk period for these policies and an acceleration of premiums earned during the quarter.</w:t>
      </w:r>
    </w:p>
    <w:p>
      <w:pPr>
        <w:sectPr>
          <w:pgSz w:w="11900" w:h="16838" w:orient="portrait"/>
          <w:cols w:equalWidth="0" w:num="1">
            <w:col w:w="11240"/>
          </w:cols>
          <w:pgMar w:left="320" w:top="125"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During the three months ended June 30, 2020, reported losses and LAE included $3,042 of net favorable development on prior accident years, compared to $2,701 of net favorable development on prior accident years during the three months ended June 30, 2019.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 The net favorable development reported in the second quarter of 2020 is primarily related to the Direct Auto non-standard auto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$2,685, or 15.9%, during the three months ended June 30, 2020 compared to a year ago.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6"/>
              </w:rPr>
              <w:t>Three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(19,869)</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(18,081)</w:t>
            </w:r>
          </w:p>
        </w:tc>
      </w:tr>
      <w:tr>
        <w:trPr>
          <w:trHeight w:val="209"/>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underwriting and general expenses</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14,829</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16,151</w:t>
            </w:r>
          </w:p>
        </w:tc>
      </w:tr>
      <w:tr>
        <w:trPr>
          <w:trHeight w:val="209"/>
        </w:trPr>
        <w:tc>
          <w:tcPr>
            <w:tcW w:w="8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reported expenses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Underlying expenses were $5,795 higher in the three months ended June 30, 2020 compared to a year ago, driven primarily by Westminster’s $5,232 of underlying expenses, including $1,816 amortization of other intangibles.</w:t>
      </w:r>
    </w:p>
    <w:p>
      <w:pPr>
        <w:spacing w:after="0" w:line="143"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Expense deferrals were $1,788 higher in the three months ended June 30, 2020 compared to 2019, while amortization of those costs was $1,322 lower in 2020 due to less new business in 2020. The commercial business contributed $3,025 of new expense deferrals and $922 of amortization in the second quarter of 2020.</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expense ratio of 23.9% for the three months ended June 30, 2020 was 2.1 percentage points lower than the expense ratio in the second quarter of 2019 due primarily to the higher than normal multi-peril crop net premiums earned in the current quarter.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98"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8"/>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Underwriting gain (loss):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4,427</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2,203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(1,448)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underwriting gain (loss)</w:t>
            </w: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10,017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2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Combined ratio:</w:t>
            </w:r>
          </w:p>
        </w:tc>
        <w:tc>
          <w:tcPr>
            <w:tcW w:w="4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5840" w:type="dxa"/>
            <w:vAlign w:val="bottom"/>
            <w:gridSpan w:val="3"/>
          </w:tcPr>
          <w:p>
            <w:pPr>
              <w:jc w:val="right"/>
              <w:ind w:right="220"/>
              <w:spacing w:after="0"/>
              <w:rPr>
                <w:sz w:val="20"/>
                <w:szCs w:val="20"/>
                <w:color w:val="auto"/>
              </w:rPr>
            </w:pPr>
            <w:r>
              <w:rPr>
                <w:rFonts w:ascii="Arial" w:cs="Arial" w:eastAsia="Arial" w:hAnsi="Arial"/>
                <w:sz w:val="18"/>
                <w:szCs w:val="18"/>
                <w:color w:val="auto"/>
              </w:rPr>
              <w:t>74.5%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5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5840" w:type="dxa"/>
            <w:vAlign w:val="bottom"/>
            <w:gridSpan w:val="3"/>
          </w:tcPr>
          <w:p>
            <w:pPr>
              <w:jc w:val="right"/>
              <w:ind w:right="220"/>
              <w:spacing w:after="0"/>
              <w:rPr>
                <w:sz w:val="20"/>
                <w:szCs w:val="20"/>
                <w:color w:val="auto"/>
              </w:rPr>
            </w:pPr>
            <w:r>
              <w:rPr>
                <w:rFonts w:ascii="Arial" w:cs="Arial" w:eastAsia="Arial" w:hAnsi="Arial"/>
                <w:sz w:val="18"/>
                <w:szCs w:val="18"/>
                <w:color w:val="auto"/>
              </w:rPr>
              <w:t>87.6%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5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5840" w:type="dxa"/>
            <w:vAlign w:val="bottom"/>
            <w:gridSpan w:val="3"/>
          </w:tcPr>
          <w:p>
            <w:pPr>
              <w:jc w:val="right"/>
              <w:ind w:right="220"/>
              <w:spacing w:after="0"/>
              <w:rPr>
                <w:sz w:val="20"/>
                <w:szCs w:val="20"/>
                <w:color w:val="auto"/>
              </w:rPr>
            </w:pPr>
            <w:r>
              <w:rPr>
                <w:rFonts w:ascii="Arial" w:cs="Arial" w:eastAsia="Arial" w:hAnsi="Arial"/>
                <w:sz w:val="18"/>
                <w:szCs w:val="18"/>
                <w:color w:val="auto"/>
              </w:rPr>
              <w:t>106.2%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5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41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160" w:type="dxa"/>
            <w:vAlign w:val="bottom"/>
            <w:vMerge w:val="restart"/>
          </w:tcPr>
          <w:p>
            <w:pPr>
              <w:jc w:val="right"/>
              <w:ind w:right="2190"/>
              <w:spacing w:after="0"/>
              <w:rPr>
                <w:sz w:val="20"/>
                <w:szCs w:val="20"/>
                <w:color w:val="auto"/>
              </w:rPr>
            </w:pPr>
            <w:r>
              <w:rPr>
                <w:rFonts w:ascii="Arial" w:cs="Arial" w:eastAsia="Arial" w:hAnsi="Arial"/>
                <w:sz w:val="18"/>
                <w:szCs w:val="18"/>
                <w:color w:val="auto"/>
              </w:rPr>
              <w:t>58</w:t>
            </w: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EEEEEE"/>
            </w:tcBorders>
          </w:tcPr>
          <w:p>
            <w:pPr>
              <w:spacing w:after="0"/>
              <w:rPr>
                <w:sz w:val="18"/>
                <w:szCs w:val="18"/>
                <w:color w:val="auto"/>
              </w:rPr>
            </w:pPr>
          </w:p>
        </w:tc>
        <w:tc>
          <w:tcPr>
            <w:tcW w:w="4160" w:type="dxa"/>
            <w:vAlign w:val="bottom"/>
            <w:tcBorders>
              <w:bottom w:val="single" w:sz="8" w:color="EEEEEE"/>
            </w:tcBorders>
          </w:tcPr>
          <w:p>
            <w:pPr>
              <w:spacing w:after="0"/>
              <w:rPr>
                <w:sz w:val="18"/>
                <w:szCs w:val="18"/>
                <w:color w:val="auto"/>
              </w:rPr>
            </w:pPr>
          </w:p>
        </w:tc>
        <w:tc>
          <w:tcPr>
            <w:tcW w:w="14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underwriting profitability improved significantly year-over-year across all segments with the exception of crop and commercial.</w:t>
      </w:r>
    </w:p>
    <w:p>
      <w:pPr>
        <w:spacing w:after="0" w:line="223"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combined ratio for the private passenger auto segment improved 26.4 percentage points year-over-year. This improvement was driven by lower claims frequency as a result of a reduction in miles driven during the COVID-19 pandemic. The overall impact of COVID-19 on the auto insurance industry in our markets will continue to develop over time.</w:t>
      </w:r>
    </w:p>
    <w:p>
      <w:pPr>
        <w:spacing w:after="0" w:line="170"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For the non-standard auto segment, some improvement in the combined ratio has been realized as rate increases and underwriting actions had a positive impact on the Primero book of business. As with the private passenger auto segment, we expect to continue to see the impact of the COVID-19 pandemic play out over time as people are driving less, especially in high population areas with high incidents of the virus such as Las Vegas and Chicago.</w:t>
      </w:r>
    </w:p>
    <w:p>
      <w:pPr>
        <w:spacing w:after="0" w:line="1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combined ratio for the home and farm segment improved substantially as North Dakota experienced a lower amount of weather-related events in the second quarter. The favorable impact from weather-related losses combined with some modest rate adjustments helped lead to an excellent start to 2020 for these lines of business.</w:t>
      </w:r>
    </w:p>
    <w:p>
      <w:pPr>
        <w:spacing w:after="0" w:line="170"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For the commercial segment, the results of Westminster are now combined with the commercial business of Nodak Insurance. Underwriting expenses during the second quarter for Westminster continue to be impacted by amortization of their VOBA intangible asset. Additionally, the COVID-19 pandemic continues to negatively impact this segment as certain states within Westminster’s operating territory have mandated that insurers waive certain fees, offer renewals on all business, and/or defer premium payments for collection at a later date. While some requirements continue in a few states, most states have returned to normal operations. However, these actions have increased expenses along with the potential for higher uncollectable premiums.</w:t>
      </w:r>
    </w:p>
    <w:p>
      <w:pPr>
        <w:spacing w:after="0" w:line="14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crop segment, the combined ratio is elevated due to the high percentage of unharvested corn that remained in the field (52% in North Dakota) from the 2019 season. As these fields were harvested, the losses were higher than anticipated, resulting in additional adverse development for this segment during the quarter. The current multi-peril crop loss ratio is also elevated due to the large number of prevented planting claims submitted this spring.</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21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NI Holdings had fee and other income of $446 for the three months ended June 30, 2020, compared to $646 for the three months ended June 30, 2019. Fee income attributable to the non-standard auto segment is a key component in measuring its profitability. Fee income on this business decreased to $328 for the three months ended June 30, 2020 from $506 for the three months ended June 30, 2019, as the amount of new inforce polices in Primero has dropped considerably. Primero has also temporarily waived some of its policy maintenance fees as a response to the COVID-19 pandemic.</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98"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434,515</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394,526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expenses</w:t>
            </w: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r>
      <w:tr>
        <w:trPr>
          <w:trHeight w:val="209"/>
        </w:trPr>
        <w:tc>
          <w:tcPr>
            <w:tcW w:w="8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bl>
    <w:p>
      <w:pPr>
        <w:spacing w:after="0" w:line="16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Investment income, net of investment expense, increased $240 for the three months ended June 30, 2020 compared to a year ago. This increase is attributable to the increase in invested assets, due primarily to the acquisition of Westminster and increased year-to-date net cash from operating activities. The weighted average gross yield on invested assets increased to 2.5% in 2020 from 2.4% in 2019.</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June 30, 2020, our overall book yield for our combined fixed income and equity portfolio was 2.7%, excluding Westminster. The average duration of our fixed income securities was 3.7 years at June 30, 2020.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(Loss) on Investments</w:t>
      </w:r>
    </w:p>
    <w:p>
      <w:pPr>
        <w:spacing w:after="0" w:line="21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NI Holdings had realized capital gains on investment of $370 for the three months ended June 30, 2020, compared to realized capital losses of $227 a year ago.</w:t>
      </w:r>
    </w:p>
    <w:p>
      <w:pPr>
        <w:spacing w:after="0" w:line="15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Effective January 1, 2019, in accordance with a change in accounting principle, market fluctuations on our equity securities are reflected in the Company’s results of operations. NI Holdings reported a net gain of $10,827 attributed to the change in unrealized appreciation of its equity securities for the three months ended June 30, 2020, compared to a net gain of $1,337 for the three months ended June 30, 2019. Prior to January 1, 2019, such unrealized gains and losses were included in other comprehensive income. The significant gain in the current quarter was the result of a partial rebound from the extensive losses reported in first quarter due to the COVID-19 pandemic and the related economic implications on businesses and the stock market. We anticipate additional volatility throughout the remainder of the pandemic and economic recovery period.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other-than-temporary impairments in the three months ended June 30, 2020 and 2019.</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June 30, 2020, the Company had net unrealized gains on fixed income securities of $14,007 and net unrealized gains on equity securities of $16,789. At December 31, 2019, the Company had net unrealized gains on fixed income securities of $7,241 and net unrealized gains on equity securities of $21,896. The increase in the fair value of our fixed income securities was driven primarily by the U.S. Federal Reserve’s implementation of the unprecedented efforts it announced in March to support the economy, including buying large quantities of investment grade corporate bonds and corporate bond ETFs, along with U.S. Treasuries.</w:t>
      </w:r>
    </w:p>
    <w:p>
      <w:pPr>
        <w:spacing w:after="0" w:line="16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will continue to monitor these securities throughout the remainder of the COVID-19 pandemic and economic recovery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21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three months ended June 30, 2020, NI Holdings had pre-tax income of $23,678 compared to pre-tax income of $3,515 for the three months ended June 30, 2019. The increase in pre-tax results was largely attributable to the significant improvement in loss experience and the pre-tax $9,490 fluctuation in the change in net unrealized gains in our equity portfolio between the second quarter of 2020 and 2019.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NI Holdings recorded income tax expense of $4,911 for the three months ended June 30, 2020, compared to income tax expense of $1,000 for the three months ended June 30, 2019. A portion of income tax expense relates to state income taxes primarily for the state of Illinois. Our effective tax rate for the second quarter of 2020 was 20.7% compared to an effective tax rate of 28.4% for the second quarter of 2019. The effective tax rate for the second quarter of 2019 was unusually elevated due to the relative low amount of pre-tax income reported for the period.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against certain deferred income tax assets remained at $594 as of June 30, 2020, the same amount as December 31, 2019.</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three months ended June 30, 2020, NI Holdings had net income before non-controlling interest of $18,767 compared to net income of $2,515 for the three months ended June 30, 2019. This increase in net income was largely attributable to the significant improvement in loss experience and the $9,490 fluctuation in the change in net unrealized gains in our equity portfolio between the second quarter of 2020 and 2019.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2020, NI Holdings had annualized return on average equity, after non-controlling interest, of 24.2% compared to annualized return on average equity, after non-controlling interest, of 3.4% for the three months ended June 30, 2019. Average equity is calculated as the average between beginning and ending equity excluding non-controlling interest for the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2020 and 2019</w:t>
      </w:r>
    </w:p>
    <w:p>
      <w:pPr>
        <w:spacing w:after="0" w:line="19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consolidated net income for NI Holdings was $15,212 for the six months ended June 30, 2020 compared to net income of $16,311 for the six months ended June 30, 2019. The major components of NI Holdings’ operating revenues and net income for the two periods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140,778</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115,620</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3,989</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(loss) gain on investments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8,969</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141,853</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140,778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115,620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82,786</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74,427</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33,634</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Underwriting gain</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18,208</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3,989</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(loss) gain on investments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8,969</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19,283</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4,848</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global pandemic associated with the novel coronavirus COVID-19 continued to impact the Company’s results of operations during the six months ended June 30, 2020. Decreased economic activity restricted top-line growth and volatile financial markets had a negative impact on the Company’s equity investments and overall investment returns. These top-line growth impacts were partially offset by reduced loss frequency in our private passenger and non-standard auto segments, due to decreased overall miles driven during the quarter.</w:t>
      </w:r>
    </w:p>
    <w:p>
      <w:pPr>
        <w:spacing w:after="0" w:line="173"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actual long-term impact of the pandemic on the property and casualty industry continues to be highly uncertain and will not be fully known for some time. For further discussion regarding the potential impacts of COVID-19 and related economic conditions of the Company, see “Part II – Item 1A – Risk Factors”.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net premiums earned for the six months ended June 30, 2020 increased $25,158, or 21.8%, compared to a year ago.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premiums earned: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34,685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32,778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29,862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35,389</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34,042</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13,011</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16,194</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140,778</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premiums earned:</w:t>
            </w:r>
          </w:p>
        </w:tc>
        <w:tc>
          <w:tcPr>
            <w:tcW w:w="4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4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144,845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121,752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4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(8,350)</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80" w:type="dxa"/>
            <w:vAlign w:val="bottom"/>
            <w:vMerge w:val="restart"/>
          </w:tcPr>
          <w:p>
            <w:pPr>
              <w:jc w:val="right"/>
              <w:ind w:right="2190"/>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11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340" w:firstLine="648"/>
        <w:spacing w:after="0" w:line="311" w:lineRule="auto"/>
        <w:rPr>
          <w:sz w:val="20"/>
          <w:szCs w:val="20"/>
          <w:color w:val="auto"/>
        </w:rPr>
      </w:pPr>
      <w:r>
        <w:rPr>
          <w:rFonts w:ascii="Arial" w:cs="Arial" w:eastAsia="Arial" w:hAnsi="Arial"/>
          <w:sz w:val="16"/>
          <w:szCs w:val="16"/>
          <w:color w:val="auto"/>
        </w:rPr>
        <w:t>Direct premiums earned for the first half of 2020 increased $23,093, or 19.0%, from the same period of 2019. The addition of the Westminster commercial business contributed $17,315 in direct premiums earned during the six months ended June 30, 2020. Crop segment direct premiums earned increased $4,051 compared to last year related to the high claim volume of prevented planting claims submitted for the current multi-peril crop season.</w:t>
      </w:r>
    </w:p>
    <w:p>
      <w:pPr>
        <w:spacing w:after="0" w:line="13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Assumed premiums earned increased $284, primarily due to increasing our participation in the assumed domestic and international business in our all other segment. Ceded premiums earned decreased $1,781, reflecting additional multi-peril gain-sharing amounts from the federal government, partially offset by ceding of the Westminster commercial business and increasing our overall reinsurance coverage limits.</w:t>
      </w:r>
    </w:p>
    <w:p>
      <w:pPr>
        <w:spacing w:after="0" w:line="1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personal lines of business (private passenger auto, home and farm) continued to grow in South Dakota and Nebraska. Our North Dakota business grew modestly.</w:t>
      </w:r>
    </w:p>
    <w:p>
      <w:pPr>
        <w:spacing w:after="0" w:line="14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non-standard auto premiums decreased year-over-year due to the rate changes implemented to address unprofitable results and increased policy liability limits mandated by Nevada and Arizona which led to a decrease in the number of vehicles insured. In addition, the COVID-19 pandemic has negatively impacted policy counts in this segment. During the latter part of the second quarter, we have seen a modest increase in new business for the non-standard auto line of business.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1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NI Holdings’ net losses and LAE for the six months ended June 30, 2020 increased $8,359, or 11.2%, compared to a year ago, due primarily to the addition of Westminster. The Company’s loss and LAE ratio decreased significantly.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losses and LAE:</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19,753</w:t>
            </w: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22,027</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14,135</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18,976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17,398</w:t>
            </w:r>
          </w:p>
        </w:tc>
        <w:tc>
          <w:tcPr>
            <w:tcW w:w="9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21,469</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21,474</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8,952</w:t>
            </w:r>
          </w:p>
        </w:tc>
        <w:tc>
          <w:tcPr>
            <w:tcW w:w="9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w:t>
            </w: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net losses and LAE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82,786</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74,427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and LAE ratio:</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Private passenger auto</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53.8%</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Home and farm</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49.2%</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90.5%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55.3%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23.9%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9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58.8%</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Company’s overall loss and LAE experience improved 5.6 percentage points year-over-year, across most segments of the Company. Only the crop and commercial segments reported increases in their loss and LAE ratios.</w:t>
      </w:r>
    </w:p>
    <w:p>
      <w:pPr>
        <w:spacing w:after="0" w:line="15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Losses were favorable year-over-year in private passenger and non-standard auto, due to less frequency of losses as insureds drove fewer miles. In home and farm, losses and LAE decreased as well, due to lower weather-related losses.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commercial business had increased losses due to Westminster’s results being added to the segment.</w:t>
      </w:r>
    </w:p>
    <w:p>
      <w:pPr>
        <w:spacing w:after="0" w:line="21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2019 multi-peril crop insurance business ended the year with less than 50% of the corn in North Dakota harvested and we carried a significant number of open claims as of December 31, 2019. Most of those claims have been settled during the first half of the year as crops have been harvested or deemed unsalvageable. This business produced unfavorable loss development of $3,614 on a net basis as these claims were adjusted and settled in 2020.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The issues arising from the 2019 multi-peril crop season have impacted the 2020 season. A higher than normal number of prevented planting claims have been submitted due to fields not harvested from the prior year, resulting in a shortened risk period for these policies and an acceleration of premiums earned for the first half of 2020.</w:t>
      </w:r>
    </w:p>
    <w:p>
      <w:pPr>
        <w:spacing w:after="0" w:line="170"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During the six months ended June 30, 2020, reported losses and LAE included $2,532 of net favorable development on prior accident years, compared to $7,670 of net favorable development on prior accident years during the six months ended June 30, 2019.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$6,150, or 18.3%, during the six months ended June 30, 2020 compared to a year ago.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37,489</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(33,021)</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(29,228)</w:t>
            </w:r>
          </w:p>
        </w:tc>
      </w:tr>
      <w:tr>
        <w:trPr>
          <w:trHeight w:val="209"/>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underwriting and general expenses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24,216</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25,373</w:t>
            </w:r>
          </w:p>
        </w:tc>
      </w:tr>
      <w:tr>
        <w:trPr>
          <w:trHeight w:val="209"/>
        </w:trPr>
        <w:tc>
          <w:tcPr>
            <w:tcW w:w="8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reported expenses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Underlying expenses were $11,100 higher in the six months ended June 30, 2020 compared to a year ago. Westminster contributed $9,509 of underlying expenses to the current quarter, including $3,684 amortization of other intangibles. Underlying expenses were also elevated due to costs related to the acquisition of Westminster.</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Expense deferrals were $3,793 higher in the six months ended June 30, 2020 compared to 2019, while amortization of those costs was $1,157 higher in 2020. The commercial segment contributed $4,771 of new expense deferrals in 2020, and $1,479 of amortization expense.</w:t>
      </w:r>
    </w:p>
    <w:p>
      <w:pPr>
        <w:spacing w:after="0" w:line="1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expense ratio of 28.3% for the six months ended June 30, 2020 was 0.8 percentage points lower than the expense ratio in the second quarter of 2019 due primarily to the higher than normal multi-peril crop net premiums earned compared to a year-ago.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Underwriting gain (loss):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5,787</w:t>
            </w: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1,092</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9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8,397</w:t>
            </w:r>
          </w:p>
        </w:tc>
        <w:tc>
          <w:tcPr>
            <w:tcW w:w="9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2,138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3,163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9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2,272</w:t>
            </w: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Total underwriting gain</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18,208</w:t>
            </w:r>
          </w:p>
        </w:tc>
        <w:tc>
          <w:tcPr>
            <w:tcW w:w="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7,559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5"/>
          </w:tcPr>
          <w:p>
            <w:pPr>
              <w:ind w:left="50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80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Combined ratio:</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gain from underwriting operations increased 140.9% when compared to 2019. The combined ratio decreased 6.4 percentage points during the same period.</w:t>
      </w:r>
    </w:p>
    <w:p>
      <w:pPr>
        <w:spacing w:after="0" w:line="157"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combined ratio for the private passenger auto segment improved 13.4 percentage points year-over-year. This improvement was driven by lower claims frequency as a result of a reduction in miles driven during the COVID-19 pandemic. It remains unclear how long the pandemic will impact the frequency of auto claims, as we do anticipate that frequency will return to historical levels as people are beginning to return to normal driving habits.</w:t>
      </w:r>
    </w:p>
    <w:p>
      <w:pPr>
        <w:spacing w:after="0" w:line="13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the non-standard auto segment, some improvement in the combined ratio has been realized as rate increases and underwriting actions had a positive impact on the Primero book of business combined with the impact of COVID-19 on driving habits. We do anticipate that frequency of auto claims will return to historical levels similar to the private passenger auto segment.</w:t>
      </w:r>
    </w:p>
    <w:p>
      <w:pPr>
        <w:spacing w:after="0" w:line="157"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The combined ratio for the home and farm segment improved substantially as North Dakota experienced a lower amount of snowfall in the first quarter and weather-related events in the second quarter, resulting in fewer collapse losses on the farm line as well as wind and hail claims in both lines. The improved weather losses combined with some modest rate adjustments has resulted in an excellent start to 2020 for these lines of business.</w:t>
      </w:r>
    </w:p>
    <w:p>
      <w:pPr>
        <w:spacing w:after="0" w:line="13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the commercial segment, the results of Westminster are now combined with the commercial business of Nodak Insurance. Westminster experienced modest unfavorable loss development of $849, and underwriting expenses continue to be impacted by amortization of their VOBA intangible asset. The COVID-19 pandemic continues to impact this segment as certain states within Westminster’s operating territory have mandated that insurers waive certain fees, offer renewals on all business, and/or defer premium payments for collection at a later date. While a few states continue these mandates, the majority of states have returned to normal operating requirements with respect to policy cancellations and premium payments.</w:t>
      </w:r>
    </w:p>
    <w:p>
      <w:pPr>
        <w:spacing w:after="0" w:line="14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For the crop segment, the combined ratio is elevated due to the high percentage of unharvested corn that remained in the field (52% in North Dakota) from the 2019 season. As these fields were harvested, the losses were higher than anticipated, resulting in adverse development for this segment. The current multi-peril crop loss ratio is also elevated due to the large number of prevented planting claims submitted this spring.</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21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NI Holdings had fee and other income of $808 for the six months ended June 30, 2020, compared to $1,110 for the six months ended June 30, 2019. Fee income attributable to the non-standard auto segment is a key component in measuring its profitability. Fee income on this business decreased to $657 for the six months ended June 30, 2020 from $976 for the six months ended June 30, 2019, as the number of inforce polices in Primero has dropped considerably. Primero has also temporarily waived some of its policy maintenance fees in response to the COVID-19 pandemic.</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9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8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414,034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expenses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1,522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1,124</w:t>
            </w:r>
          </w:p>
        </w:tc>
      </w:tr>
      <w:tr>
        <w:trPr>
          <w:trHeight w:val="210"/>
        </w:trPr>
        <w:tc>
          <w:tcPr>
            <w:tcW w:w="8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3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bl>
    <w:p>
      <w:pPr>
        <w:spacing w:after="0" w:line="16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Investment income, net of investment expense, increased $468 for the six months ended June 30, 2020 compared to a year ago. This increase is attributable to the increase in invested assets, due primarily to the acquisition of Westminster and increased year-to-date net cash from operating activities. The weighted average gross yield on invested assets increased to 2.7% in 2020 from 2.5% in 2019.</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June 30, 2020, our overall book yield for our combined fixed income and equity portfolio was 2.7%, excluding Westminster. The average duration for our fixed income securities was 3.7 years at June 30, 2020.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(Loss) on Investments</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NI Holdings had realized capital gains on investment of $1,385 for the six months ended June 30, 2020, compared to realized capital gains of $332 a year ago.</w:t>
      </w:r>
    </w:p>
    <w:p>
      <w:pPr>
        <w:spacing w:after="0" w:line="1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Effective January 1, 2019, in accordance with a change in accounting principle, market fluctuations on our equity securities are reflected in the Company’s results of operations. NI Holdings reported a net loss of $5,107 attributed to the change in unrealized appreciation of its equity securities for the six months ended June 30, 2020, compared to a net gain of $8,637 for the six months ended June 30, 2019. Prior to January 1, 2019, such unrealized gains and losses were included in other comprehensive income. The loss for the current period was due to the COVID-19 pandemic and the related economic implications on businesses and the stock market. We anticipate additional volatility throughout the remainder of the pandemic and economic recovery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other-than-temporary impairments in the six months ended June 30, 2020 and 2019.</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June 30, 2020, the Company had net unrealized gains on fixed income securities of $14,007 and net unrealized gains on equity securities of $16,789. At December 31, 2019, the Company had net unrealized gains on fixed income securities of $7,241 and net unrealized gains on equity securities of $21,896. The increase in the fair value of our fixed income securities was driven primarily by the U.S. Federal Reserve’s implementation of the unprecedented efforts it announced in March to support the economy, including buying large quantities of investment grade corporate bonds and corporate bond ETFs, along with U.S. Treasuries.</w:t>
      </w:r>
    </w:p>
    <w:p>
      <w:pPr>
        <w:spacing w:after="0" w:line="16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will continue to monitor these securities throughout the remainder of the COVID-19 pandemic and economic recovery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21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For the six months ended June 30, 2020, NI Holdings had pre-tax income of $19,283 compared to pre-tax income of $21,159 for the six months ended June 30, 2019. The decrease in pre-tax results was largely attributable to the $13,744 fluctuation in the change in net unrealized gains in our equity portfolio between the first half of 2020 and 2019, partially offset by improved loss experience in the private passenger auto, non-standard auto, home and farm, and all other segments.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NI Holdings recorded income tax expense of $4,071 for the six months ended June 30, 2020, compared to income tax expense of $4,848 for the six months ended June 30, 2019. A portion of income tax expense relates to state income taxes primarily for the state of Illinois. Our effective tax rate for the first half of 2020 was 21.1% compared to an effective tax rate of 22.9% for the first half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against certain deferred income tax assets remained at $594 as of June 30, 2020, the same amount as December 31, 2019.</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For the six months ended June 30, 2020, NI Holdings had net income before non-controlling interest of $15,212 compared to net income of $16,311 for the six months ended June 30, 2019. This decrease in net income was primarily attributable to the fluctuation in the change in net unrealized gains in our equity portfolio between the first half of 2020 and 2019, partially offset by improved loss experience in the private passenger auto, non-standard auto, home and farm, and all other segments.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21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For the six months ended June 30, 2020, NI Holdings had annualized return on average equity, after non-controlling interest, of 9.7% compared to annualized return on average equity, after non-controlling interest, of 11.5% for the six months ended June 30, 2019. Average equity is calculated as the average between beginning and ending equity excluding non-controlling interest for the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672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20" w:type="dxa"/>
            <w:vAlign w:val="bottom"/>
          </w:tcPr>
          <w:p>
            <w:pPr>
              <w:ind w:left="66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June 30,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10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452,049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88,336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12,294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14,230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28,066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116,014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46,485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15,830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299,711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324,723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8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624,434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508,159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At June 30, 2020, NI Holdings’ total assets increased by $116,275, or 22.9%, from December 31, 2019. Cash and investments increased due to increased fair market values of our fixed income investments and the acquired Westminster assets. Premiums and agents’ balances receivable increased due to recognition of the year’s multi-peril crop premiums during the second quarter, in addition to the acquired Westminster receivables. DAC increased due partly to both the Westminster commercial business and the 2020 crop business. The receivable from the Federal Crop Insurance Corporation decreased due to a partial collection of past year amounts, partially offset by 2020 activity. Goodwill and other intangibles recognized in the Westminster acquisition was $20,284, less $3,684 of amortization during the first half of 2020. Other assets also increased as a result of property and equipment and reinsurance recoverables from the Westminster acquisition.</w:t>
      </w:r>
    </w:p>
    <w:p>
      <w:pPr>
        <w:spacing w:after="0" w:line="16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June 30, 2020, total liabilities increased by $101,355, or 51.1%, from December 31, 2019. Unpaid losses and loss adjustment expenses increased due to Westminster liabilities of $8,568 and crop losses relating to prevented planting claims for the 2020 season of $11,581. Unearned premiums increased due to Westminster acquired amounts of $16,611 and the recognition of this year’s multi-peril crop premiums of $19,713 to be earned over the remainder of the year.</w:t>
      </w:r>
    </w:p>
    <w:p>
      <w:pPr>
        <w:spacing w:after="0" w:line="17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Total shareholders’ equity increased by $14,920, or 4.8%, during the six months ended June 30, 2020. The increase in shareholders’ equity reflects a consolidated net income of $15,212 for the six-month period, share repurchases of $6,783, and higher fair market values across our fixed income investment portfolio.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we hoped to use for strategic acquisitions.</w:t>
      </w:r>
    </w:p>
    <w:p>
      <w:pPr>
        <w:spacing w:after="0" w:line="1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2018, we used $17,000 for the acquisition of Direct Auto. On January 1, 2020, we acquired Westminster for $40,000. We paid $20,000 at the time of closing. We will pay the remaining $20,000, subject to certain adjustments, in three equal installments on each of the first and second anniversaries of the closing, and on the first business day of the month preceding the third anniversary of the closing.</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currently anticipate that cash generated from our operations and available from our investment portfolio, along with the remaining initial public offering net proceeds, will be sufficient to fund our operations. The COVID-19 pandemic has resulted in volatility in the credit and financial markets, which has adversely affected our investment portfolio and could increase the cost of capital and/or our ability to access additional capital if the need arises.</w:t>
      </w:r>
    </w:p>
    <w:p>
      <w:pPr>
        <w:spacing w:after="0" w:line="160"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six months ended June 30, 2020 and 2019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80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9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(9,263)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(17,390)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(2,025)</w:t>
            </w:r>
          </w:p>
        </w:tc>
      </w:tr>
      <w:tr>
        <w:trPr>
          <w:trHeight w:val="209"/>
        </w:trPr>
        <w:tc>
          <w:tcPr>
            <w:tcW w:w="800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For the six months ended June 30, 2020, net cash provided by operating activities totaled $21,803 compared to $11,039 a year ago. The consolidated net income of $15,212 for the six months ended June 30, 2020 compared to consolidated net income of $16,311 for the same period a year ago. The decrease in net income was more than offset by the impact of changes in the receivable from the Federal Crop Insurance Corporation.</w:t>
      </w:r>
    </w:p>
    <w:p>
      <w:pPr>
        <w:spacing w:after="0" w:line="13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For the six months ended June 30, 2020, net cash used by investing activities totaled $9,263 compared to $17,390 a year ago. In the first half of 2020, the initial cash installment payment for Westminster was $703 more than the cash and cash equivalents received in the acquisition. Both the current and prior year reflect the impact of investing excess cash generated from operations into longer term investments.</w:t>
      </w:r>
    </w:p>
    <w:p>
      <w:pPr>
        <w:spacing w:after="0" w:line="13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For the six months ended June 30, 2020, net cash used by financing activities totaled $6,814 compared to $2,025 a year ago. The Company repurchased shares of its own common stock for $6,783 and $2,006 during 2020 and 2019, respectively.</w:t>
      </w:r>
    </w:p>
    <w:p>
      <w:pPr>
        <w:spacing w:after="0" w:line="15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recent initial public offering, NI Holdings’ principal source of long-term liquidity will be dividend payments from its directly-owned subsidiaries.</w:t>
      </w:r>
    </w:p>
    <w:p>
      <w:pPr>
        <w:spacing w:after="0" w:line="15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amount available for payment of dividends from Nodak Insurance to us during 2020 without the prior approval of the North Dakota Insurance Department is approximately $18,984 based upon the policyholders’ surplus of Nodak Insurance at December 31, 2019.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restrictions or any subsequently imposed restrictions may affect our future liquidity. No dividends were declared or paid by Nodak Insurance during the six months ended June 30, 2020 or the year ended December 31, 2019.</w:t>
      </w:r>
    </w:p>
    <w:p>
      <w:pPr>
        <w:spacing w:after="0" w:line="15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2020 without the prior approval of the Illinois Department of Insurance is $6,881 based upon the policyholders’ surplus of Direct Auto at December 31, 2019.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six months ended June 30, 2020 or the year ended December 31, 2019.</w:t>
      </w:r>
    </w:p>
    <w:p>
      <w:pPr>
        <w:spacing w:after="0" w:line="1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2020 without the prior approval of the Maryland Insurance Administration is $636 based upon the statutory net investment income of Westminster for the year ended December 31, 2019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six months ended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discussion of recent accounting pronouncements, see Note 5 to the Unaudited Consolidated Financial Statements, included elsewhere in this Form 10-Q.</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assessment of market risk as of June 30, 2020 indicates there have been no material changes in the quantitative and qualitative disclosures from those in our Annual Report on Form 10-K for the year ended December 31, 2019 filed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16"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15d-15(a)) as of June 30, 2020. Based on that evaluation, the Chief Executive Officer and Chief Financial Officer have concluded that the Company’s current disclosure controls and procedures are effective.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June 30, 2020, to which this report relates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0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1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a discussion of the Company’s potential risk or uncertainties, please see “Part 1 – Item 1A – Risk Factors” and “Part II – Item 7 – Management’s Discussion and Analysis of Financial Condition and Results of Operations” in the Company’s 2019 Annual Report filed with the SEC, and “Part 1 – Item 2 – Management’s Discussion and Analysis of Financial Condition and Results of Operations” herein, in each case as updated by the Company’s periodic filings with the SEC. Other than as described below, there have been no material changes to the risk factors disclosed in Part I – Item 1A of the Company’s 2019 Annual Report.</w:t>
      </w:r>
    </w:p>
    <w:p>
      <w:pPr>
        <w:spacing w:after="0" w:line="17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The impact of COVID-19 and responses thereto, and related risks, could materially affect our results of operations, financial position, and/or liquidity.</w:t>
      </w:r>
    </w:p>
    <w:p>
      <w:pPr>
        <w:spacing w:after="0" w:line="13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Beginning in March 2020, the global pandemic related to novel coronavirus COVID-19 began to impact the global and U.S. economy. The extent of this pandemic continues to evolve, thus the direct and indirect impacts of COVID-19 are not yet known and may not emerge for some time. We have experienced a decrease in premiums due to the COVID-19 pandemic, which has negatively impacted policy counts for certain of our segments across all states. We expect that premiums may continue to decrease as individuals and businesses reduce travel and seek to limit expenses, including the cost of insurance.</w:t>
      </w:r>
    </w:p>
    <w:p>
      <w:pPr>
        <w:spacing w:after="0" w:line="17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Federal, state, and local government actions to address and contain the impact of COVID-19 may adversely affect us. For example, we could be subject to proposed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policies or our right to collect premiums. At least one state regulator has issued an order requiring insurers to issue premium refunds, and regulators in other states could take similar actions. It is also possible that changes in economic conditions and steps taken by federal, state, and local governments in response to COVID-19 could require an increase in taxes at the federal, state, and local levels, which would adversely impact our results of operations.</w:t>
      </w:r>
    </w:p>
    <w:p>
      <w:pPr>
        <w:spacing w:after="0" w:line="1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disruption in the financial markets related to COVID-19 has contributed to net unrealized investment losses, primarily due to the impact of changes in fair value on our equity investments and, to a lesser extent, on our fixed income investment portfolio. Our corporate fixed income portfolio may be adversely impacted by ratings downgrades, increased bankruptcies, and credit spread widening in distressed industries. In addition, many state and local governments may be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residential and commercial mortgage-backed securities, which could be adversely impacted by declines in real estate valuations and/or financial market disruption, including a heightened collection risk on the underlying mortgages. Further disruptions in global financial markets due to the continuing impact of COVID-19 could result in additional net realized and unrealized investment losses. In addition, declines in fixed income yields would result in decreases in net investment income from future investment activity, including re-investments.</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expect that the impact of COVID-19 on general economic activity may continue to negatively impact our premium volumes. We have experienced this impact in the first half of 2020 and this impact may further persist for the remainder of 2020, but the degree of the impact will depend on the extent and duration of the economic contraction. As a result of the anticipated impact of the pandemic on our earned premiums, our underwriting expense ratio may increase in the near term.</w:t>
      </w:r>
    </w:p>
    <w:p>
      <w:pPr>
        <w:spacing w:after="0" w:line="17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It is possible that changes in economic conditions and steps taken by the federal government and the Federal Reserve in response to COVID-19 could lead to higher inflation than we had anticipated, which could in turn lead to an increase in our loss costs and the need to strengthen claims and claim adjustment expense reserves. These impacts of inflation on loss costs and claims and claim adjustment expense reserves could be more pronounced for those lines of business that require a relatively longer period of time to finalize and settle claims for a given accident year and, accordingly, are relatively more inflation sensitive. Inflation could also adversely impact our general and administrative expenses. Changes in interest rates caused by inflation affect the carrying value of our fixed maturity investments and returns on our fixed maturity and short-term investments. An increase in interest rates reduces the market value of existing fixed maturity investments, thereby negatively impacting our book value.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was acquired on August 31, 2018 with $17,000 of the net proceeds from the initial public offering.</w:t>
      </w:r>
    </w:p>
    <w:p>
      <w:pPr>
        <w:spacing w:after="0" w:line="21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Westminster was acquired on January 1, 2020 for a purchase price of $40,000, subject to certain adjustments. The Company paid $20,000 from the net proceeds from the initial public offering at time of closing. The Company will pay the remaining $20,000, subject to certain adjustments, in three equal installments on each of the first and second anniversaries of the closing, and on the first business day of the month preceding the third anniversary of the closing. The Company anticipates using the net proceeds from the initial public offering to satisfy these obligations.</w:t>
      </w:r>
    </w:p>
    <w:p>
      <w:pPr>
        <w:spacing w:after="0" w:line="144"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From time to time, the Company may also repurchase its own stock. These repurchases may be used to satisfy its obligations under the equity incentive plans or may be done for other reasons. To date, the Company has used the net proceeds from the initial public offering to fund these buyback programs.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 on January 17, 2017.</w:t>
      </w:r>
    </w:p>
    <w:p>
      <w:pPr>
        <w:spacing w:after="0" w:line="15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three months ended June 30, 2020, we completed the repurchase of 117,542 shares of our common stock for $1,787 under this new authorization.</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 total during the six months ended June 30, 2020, we completed the repurchase of 519,598 shares of our common stock for $6,783. The repurchases made in the three months ended June 30, 2020 are described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Maximum Dollar Value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18"/>
                <w:szCs w:val="18"/>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of Shares That May Yet</w:t>
            </w:r>
          </w:p>
        </w:tc>
      </w:tr>
      <w:tr>
        <w:trPr>
          <w:trHeight w:val="217"/>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Total Number of</w:t>
            </w: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Average Price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Part of Publicly</w:t>
            </w:r>
          </w:p>
        </w:tc>
        <w:tc>
          <w:tcPr>
            <w:tcW w:w="140" w:type="dxa"/>
            <w:vAlign w:val="bottom"/>
          </w:tcPr>
          <w:p>
            <w:pPr>
              <w:spacing w:after="0"/>
              <w:rPr>
                <w:sz w:val="18"/>
                <w:szCs w:val="18"/>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Be Purchased Under the</w:t>
            </w:r>
          </w:p>
        </w:tc>
      </w:tr>
      <w:tr>
        <w:trPr>
          <w:trHeight w:val="219"/>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Paid</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 Plans</w:t>
            </w:r>
          </w:p>
        </w:tc>
        <w:tc>
          <w:tcPr>
            <w:tcW w:w="140" w:type="dxa"/>
            <w:vAlign w:val="bottom"/>
          </w:tcPr>
          <w:p>
            <w:pPr>
              <w:spacing w:after="0"/>
              <w:rPr>
                <w:sz w:val="19"/>
                <w:szCs w:val="19"/>
                <w:color w:val="auto"/>
              </w:rPr>
            </w:pPr>
          </w:p>
        </w:tc>
        <w:tc>
          <w:tcPr>
            <w:tcW w:w="2100" w:type="dxa"/>
            <w:vAlign w:val="bottom"/>
            <w:gridSpan w:val="3"/>
          </w:tcPr>
          <w:p>
            <w:pPr>
              <w:jc w:val="center"/>
              <w:ind w:right="28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r>
      <w:tr>
        <w:trPr>
          <w:trHeight w:val="267"/>
        </w:trPr>
        <w:tc>
          <w:tcPr>
            <w:tcW w:w="3620" w:type="dxa"/>
            <w:vAlign w:val="bottom"/>
            <w:gridSpan w:val="2"/>
          </w:tcPr>
          <w:p>
            <w:pPr>
              <w:ind w:left="1220"/>
              <w:spacing w:after="0"/>
              <w:rPr>
                <w:sz w:val="20"/>
                <w:szCs w:val="20"/>
                <w:color w:val="auto"/>
              </w:rPr>
            </w:pPr>
            <w:r>
              <w:rPr>
                <w:rFonts w:ascii="Arial" w:cs="Arial" w:eastAsia="Arial" w:hAnsi="Arial"/>
                <w:sz w:val="18"/>
                <w:szCs w:val="18"/>
                <w:color w:val="auto"/>
              </w:rPr>
              <w:t>Period in 2020</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Per Share</w:t>
            </w:r>
          </w:p>
        </w:tc>
        <w:tc>
          <w:tcPr>
            <w:tcW w:w="200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40" w:type="dxa"/>
            <w:vAlign w:val="bottom"/>
          </w:tcPr>
          <w:p>
            <w:pPr>
              <w:spacing w:after="0"/>
              <w:rPr>
                <w:sz w:val="23"/>
                <w:szCs w:val="23"/>
                <w:color w:val="auto"/>
              </w:rPr>
            </w:pPr>
          </w:p>
        </w:tc>
        <w:tc>
          <w:tcPr>
            <w:tcW w:w="210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(in thousands)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1-30, 2020</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235,898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May 1-31, 2020</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50,125</w:t>
            </w: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50,125</w:t>
            </w:r>
          </w:p>
        </w:tc>
        <w:tc>
          <w:tcPr>
            <w:tcW w:w="14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1-30, 2020</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110,311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110,311</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8,213</w:t>
            </w:r>
          </w:p>
        </w:tc>
        <w:tc>
          <w:tcPr>
            <w:tcW w:w="100" w:type="dxa"/>
            <w:vAlign w:val="bottom"/>
            <w:shd w:val="clear" w:color="auto" w:fill="CCEEFF"/>
          </w:tcPr>
          <w:p>
            <w:pPr>
              <w:spacing w:after="0"/>
              <w:rPr>
                <w:sz w:val="18"/>
                <w:szCs w:val="18"/>
                <w:color w:val="auto"/>
              </w:rPr>
            </w:pPr>
          </w:p>
        </w:tc>
      </w:tr>
      <w:tr>
        <w:trPr>
          <w:trHeight w:val="21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396,334</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396,334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right="180" w:hanging="447"/>
        <w:spacing w:after="0" w:line="277" w:lineRule="auto"/>
        <w:tabs>
          <w:tab w:leader="none" w:pos="800" w:val="left"/>
        </w:tabs>
        <w:numPr>
          <w:ilvl w:val="0"/>
          <w:numId w:val="31"/>
        </w:numPr>
        <w:rPr>
          <w:rFonts w:ascii="Arial" w:cs="Arial" w:eastAsia="Arial" w:hAnsi="Arial"/>
          <w:sz w:val="18"/>
          <w:szCs w:val="18"/>
          <w:color w:val="auto"/>
          <w:vertAlign w:val="superscript"/>
        </w:rPr>
      </w:pPr>
      <w:r>
        <w:rPr>
          <w:rFonts w:ascii="Arial" w:cs="Arial" w:eastAsia="Arial" w:hAnsi="Arial"/>
          <w:sz w:val="18"/>
          <w:szCs w:val="18"/>
          <w:color w:val="auto"/>
        </w:rPr>
        <w:t>Shares purchased pursuant to the March 5, 2018 and May 4, 2020 publicly announced share repurchase authorizations, each of which were for up to approximately $10,000 of the Company’s outstanding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49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Item 6. - Exhibits</w:t>
            </w:r>
          </w:p>
        </w:tc>
        <w:tc>
          <w:tcPr>
            <w:tcW w:w="49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15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Exhibit</w:t>
            </w:r>
          </w:p>
        </w:tc>
        <w:tc>
          <w:tcPr>
            <w:tcW w:w="49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5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4"/>
              </w:rPr>
              <w:t>Number</w:t>
            </w:r>
          </w:p>
        </w:tc>
        <w:tc>
          <w:tcPr>
            <w:tcW w:w="9660" w:type="dxa"/>
            <w:vAlign w:val="bottom"/>
            <w:gridSpan w:val="6"/>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384"/>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1"/>
              </w:rPr>
              <w:t xml:space="preserve">3.1 </w:t>
            </w:r>
            <w:r>
              <w:rPr>
                <w:rFonts w:ascii="Arial" w:cs="Arial" w:eastAsia="Arial" w:hAnsi="Arial"/>
                <w:sz w:val="29"/>
                <w:szCs w:val="29"/>
                <w:color w:val="auto"/>
                <w:w w:val="81"/>
                <w:vertAlign w:val="superscript"/>
              </w:rPr>
              <w:t>(1)</w:t>
            </w:r>
          </w:p>
        </w:tc>
        <w:tc>
          <w:tcPr>
            <w:tcW w:w="780" w:type="dxa"/>
            <w:vAlign w:val="bottom"/>
          </w:tcPr>
          <w:p>
            <w:pPr>
              <w:spacing w:after="0"/>
              <w:rPr>
                <w:sz w:val="24"/>
                <w:szCs w:val="24"/>
                <w:color w:val="auto"/>
              </w:rPr>
            </w:pPr>
          </w:p>
        </w:tc>
        <w:tc>
          <w:tcPr>
            <w:tcW w:w="9660" w:type="dxa"/>
            <w:vAlign w:val="bottom"/>
            <w:tcBorders>
              <w:top w:val="single" w:sz="8" w:color="auto"/>
            </w:tcBorders>
            <w:gridSpan w:val="6"/>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Amendment No. 2 to Bylaws, dated as of April 16, 2020.</w:t>
              </w:r>
            </w:hyperlink>
          </w:p>
        </w:tc>
      </w:tr>
      <w:tr>
        <w:trPr>
          <w:trHeight w:val="421"/>
        </w:trPr>
        <w:tc>
          <w:tcPr>
            <w:tcW w:w="800" w:type="dxa"/>
            <w:vAlign w:val="bottom"/>
          </w:tcPr>
          <w:p>
            <w:pPr>
              <w:jc w:val="center"/>
              <w:spacing w:after="0"/>
              <w:rPr>
                <w:sz w:val="20"/>
                <w:szCs w:val="20"/>
                <w:color w:val="auto"/>
              </w:rPr>
            </w:pPr>
            <w:r>
              <w:rPr>
                <w:rFonts w:ascii="Arial" w:cs="Arial" w:eastAsia="Arial" w:hAnsi="Arial"/>
                <w:sz w:val="18"/>
                <w:szCs w:val="18"/>
                <w:color w:val="auto"/>
                <w:w w:val="81"/>
              </w:rPr>
              <w:t xml:space="preserve">10.1 </w:t>
            </w:r>
            <w:r>
              <w:rPr>
                <w:rFonts w:ascii="Arial" w:cs="Arial" w:eastAsia="Arial" w:hAnsi="Arial"/>
                <w:sz w:val="29"/>
                <w:szCs w:val="29"/>
                <w:color w:val="auto"/>
                <w:w w:val="81"/>
                <w:vertAlign w:val="superscript"/>
              </w:rPr>
              <w:t>(2)</w:t>
            </w:r>
          </w:p>
        </w:tc>
        <w:tc>
          <w:tcPr>
            <w:tcW w:w="78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NI Holdings, Inc. 2020 Stock and Incentive Plan.</w:t>
              </w:r>
            </w:hyperlink>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81"/>
              </w:rPr>
              <w:t xml:space="preserve">10.2 </w:t>
            </w:r>
            <w:r>
              <w:rPr>
                <w:rFonts w:ascii="Arial" w:cs="Arial" w:eastAsia="Arial" w:hAnsi="Arial"/>
                <w:sz w:val="29"/>
                <w:szCs w:val="29"/>
                <w:color w:val="auto"/>
                <w:w w:val="81"/>
                <w:vertAlign w:val="superscript"/>
              </w:rPr>
              <w:t>(3)</w:t>
            </w:r>
          </w:p>
        </w:tc>
        <w:tc>
          <w:tcPr>
            <w:tcW w:w="78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NI Holdings, Inc. Time-Based Restricted Stock Unit Agreement for Non-Employee Directors.</w:t>
              </w:r>
            </w:hyperlink>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780" w:type="dxa"/>
            <w:vAlign w:val="bottom"/>
          </w:tcPr>
          <w:p>
            <w:pPr>
              <w:spacing w:after="0"/>
              <w:rPr>
                <w:sz w:val="19"/>
                <w:szCs w:val="19"/>
                <w:color w:val="auto"/>
              </w:rPr>
            </w:pPr>
          </w:p>
        </w:tc>
        <w:tc>
          <w:tcPr>
            <w:tcW w:w="9660" w:type="dxa"/>
            <w:vAlign w:val="bottom"/>
            <w:gridSpan w:val="6"/>
          </w:tcPr>
          <w:p>
            <w:pPr>
              <w:spacing w:after="0"/>
              <w:rPr>
                <w:rFonts w:ascii="Arial" w:cs="Arial" w:eastAsia="Arial" w:hAnsi="Arial"/>
                <w:sz w:val="18"/>
                <w:szCs w:val="18"/>
                <w:color w:val="0000EE"/>
                <w:w w:val="91"/>
              </w:rPr>
            </w:pPr>
            <w:hyperlink w:anchor="page76">
              <w:r>
                <w:rPr>
                  <w:rFonts w:ascii="Arial" w:cs="Arial" w:eastAsia="Arial" w:hAnsi="Arial"/>
                  <w:sz w:val="18"/>
                  <w:szCs w:val="18"/>
                  <w:u w:val="single" w:color="auto"/>
                  <w:color w:val="0000EE"/>
                  <w:w w:val="91"/>
                </w:rPr>
                <w:t>Certification of Principal Executive Officer Pursuant to Rules 13a-14(a) and 15d-14(a) under the Securities Exchange Act</w:t>
              </w:r>
              <w:r>
                <w:rPr>
                  <w:rFonts w:ascii="Arial" w:cs="Arial" w:eastAsia="Arial" w:hAnsi="Arial"/>
                  <w:sz w:val="18"/>
                  <w:szCs w:val="18"/>
                  <w:color w:val="0000EE"/>
                  <w:w w:val="91"/>
                </w:rPr>
                <w:t xml:space="preserve"> of 1934, as</w:t>
              </w:r>
            </w:hyperlink>
          </w:p>
        </w:tc>
      </w:tr>
      <w:tr>
        <w:trPr>
          <w:trHeight w:val="196"/>
        </w:trPr>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Adopted Pursuant to Section 302 of the Sarbanes-Oxley Act of 2002.</w:t>
              </w:r>
            </w:hyperlink>
          </w:p>
        </w:tc>
        <w:tc>
          <w:tcPr>
            <w:tcW w:w="3840" w:type="dxa"/>
            <w:vAlign w:val="bottom"/>
            <w:gridSpan w:val="2"/>
          </w:tcPr>
          <w:p>
            <w:pPr>
              <w:spacing w:after="0"/>
              <w:rPr>
                <w:sz w:val="17"/>
                <w:szCs w:val="17"/>
                <w:color w:val="auto"/>
              </w:rPr>
            </w:pPr>
          </w:p>
        </w:tc>
        <w:tc>
          <w:tcPr>
            <w:tcW w:w="7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78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color w:val="0000EE"/>
                <w:w w:val="91"/>
              </w:rPr>
            </w:pPr>
            <w:hyperlink w:anchor="page77">
              <w:r>
                <w:rPr>
                  <w:rFonts w:ascii="Arial" w:cs="Arial" w:eastAsia="Arial" w:hAnsi="Arial"/>
                  <w:sz w:val="18"/>
                  <w:szCs w:val="18"/>
                  <w:u w:val="single" w:color="auto"/>
                  <w:color w:val="0000EE"/>
                  <w:w w:val="91"/>
                </w:rPr>
                <w:t>Certification of Principal Financial Officer Pursuant to Rules 13a-14(a) and 15d-14(a) under the Securities Exchange Act</w:t>
              </w:r>
              <w:r>
                <w:rPr>
                  <w:rFonts w:ascii="Arial" w:cs="Arial" w:eastAsia="Arial" w:hAnsi="Arial"/>
                  <w:sz w:val="18"/>
                  <w:szCs w:val="18"/>
                  <w:color w:val="0000EE"/>
                  <w:w w:val="91"/>
                </w:rPr>
                <w:t xml:space="preserve"> of 1934, as</w:t>
              </w:r>
            </w:hyperlink>
          </w:p>
        </w:tc>
      </w:tr>
      <w:tr>
        <w:trPr>
          <w:trHeight w:val="196"/>
        </w:trPr>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Adopted Pursuant to Section 302 of the Sarbanes-Oxley Act of 2002.</w:t>
              </w:r>
            </w:hyperlink>
          </w:p>
        </w:tc>
        <w:tc>
          <w:tcPr>
            <w:tcW w:w="3780" w:type="dxa"/>
            <w:vAlign w:val="bottom"/>
          </w:tcPr>
          <w:p>
            <w:pPr>
              <w:spacing w:after="0"/>
              <w:rPr>
                <w:sz w:val="17"/>
                <w:szCs w:val="17"/>
                <w:color w:val="auto"/>
              </w:rPr>
            </w:pPr>
          </w:p>
        </w:tc>
        <w:tc>
          <w:tcPr>
            <w:tcW w:w="80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bl>
    <w:p>
      <w:pPr>
        <w:spacing w:after="0" w:line="188" w:lineRule="exact"/>
        <w:rPr>
          <w:sz w:val="20"/>
          <w:szCs w:val="20"/>
          <w:color w:val="auto"/>
        </w:rPr>
      </w:pPr>
    </w:p>
    <w:p>
      <w:pPr>
        <w:ind w:left="1580" w:right="160" w:hanging="1271"/>
        <w:spacing w:after="0" w:line="277" w:lineRule="auto"/>
        <w:tabs>
          <w:tab w:leader="none" w:pos="1580" w:val="left"/>
        </w:tabs>
        <w:numPr>
          <w:ilvl w:val="0"/>
          <w:numId w:val="32"/>
        </w:numPr>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Certification of Principal Executive Officer and Principal Financial Officer pursuant to 18 U.S.C. Section 1350, as adopted pursuant</w:t>
        </w:r>
      </w:hyperlink>
      <w:r>
        <w:rPr>
          <w:rFonts w:ascii="Arial" w:cs="Arial" w:eastAsia="Arial" w:hAnsi="Arial"/>
          <w:sz w:val="18"/>
          <w:szCs w:val="18"/>
          <w:u w:val="single" w:color="auto"/>
          <w:color w:val="0000EE"/>
        </w:rPr>
        <w:t xml:space="preserve"> </w:t>
      </w:r>
      <w:hyperlink w:anchor="page78">
        <w:r>
          <w:rPr>
            <w:rFonts w:ascii="Arial" w:cs="Arial" w:eastAsia="Arial" w:hAnsi="Arial"/>
            <w:sz w:val="18"/>
            <w:szCs w:val="18"/>
            <w:u w:val="single" w:color="auto"/>
            <w:color w:val="0000EE"/>
          </w:rPr>
          <w:t>to Section 906 of the Sarbanes-Oxley Act of 2002.</w:t>
        </w:r>
      </w:hyperlink>
    </w:p>
    <w:p>
      <w:pPr>
        <w:spacing w:after="0" w:line="130" w:lineRule="exact"/>
        <w:rPr>
          <w:rFonts w:ascii="Arial" w:cs="Arial" w:eastAsia="Arial" w:hAnsi="Arial"/>
          <w:sz w:val="18"/>
          <w:szCs w:val="18"/>
          <w:color w:val="auto"/>
        </w:rPr>
      </w:pPr>
    </w:p>
    <w:tbl>
      <w:tblPr>
        <w:tblLayout w:type="fixed"/>
        <w:tblInd w:w="60" w:type="dxa"/>
        <w:tblCellMar>
          <w:top w:w="0" w:type="dxa"/>
          <w:left w:w="0" w:type="dxa"/>
          <w:bottom w:w="0" w:type="dxa"/>
          <w:right w:w="0" w:type="dxa"/>
        </w:tblCellMar>
      </w:tblPr>
      <w:tr>
        <w:trPr>
          <w:trHeight w:val="216"/>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2"/>
              </w:rPr>
              <w:t>101.INS</w:t>
            </w:r>
          </w:p>
        </w:tc>
        <w:tc>
          <w:tcPr>
            <w:tcW w:w="9580" w:type="dxa"/>
            <w:vAlign w:val="bottom"/>
          </w:tcPr>
          <w:p>
            <w:pPr>
              <w:ind w:left="4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 XBRL tags are</w:t>
            </w:r>
          </w:p>
        </w:tc>
      </w:tr>
      <w:tr>
        <w:trPr>
          <w:trHeight w:val="230"/>
        </w:trPr>
        <w:tc>
          <w:tcPr>
            <w:tcW w:w="1100" w:type="dxa"/>
            <w:vAlign w:val="bottom"/>
          </w:tcPr>
          <w:p>
            <w:pPr>
              <w:spacing w:after="0"/>
              <w:rPr>
                <w:sz w:val="20"/>
                <w:szCs w:val="20"/>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embedded within the Inline XBRL document.</w:t>
            </w:r>
          </w:p>
        </w:tc>
      </w:tr>
      <w:tr>
        <w:trPr>
          <w:trHeight w:val="392"/>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3"/>
              </w:rPr>
              <w:t>101.SCH</w:t>
            </w:r>
          </w:p>
        </w:tc>
        <w:tc>
          <w:tcPr>
            <w:tcW w:w="9580" w:type="dxa"/>
            <w:vAlign w:val="bottom"/>
          </w:tcPr>
          <w:p>
            <w:pPr>
              <w:ind w:left="420"/>
              <w:spacing w:after="0"/>
              <w:rPr>
                <w:sz w:val="20"/>
                <w:szCs w:val="20"/>
                <w:color w:val="auto"/>
              </w:rPr>
            </w:pPr>
            <w:r>
              <w:rPr>
                <w:rFonts w:ascii="Arial" w:cs="Arial" w:eastAsia="Arial" w:hAnsi="Arial"/>
                <w:sz w:val="18"/>
                <w:szCs w:val="18"/>
                <w:color w:val="auto"/>
              </w:rPr>
              <w:t>Inline XBRL Taxonomy Extension Schema Linkbase Document</w:t>
            </w:r>
          </w:p>
        </w:tc>
      </w:tr>
      <w:tr>
        <w:trPr>
          <w:trHeight w:val="391"/>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7"/>
              </w:rPr>
              <w:t>101.CAL</w:t>
            </w:r>
          </w:p>
        </w:tc>
        <w:tc>
          <w:tcPr>
            <w:tcW w:w="9580" w:type="dxa"/>
            <w:vAlign w:val="bottom"/>
          </w:tcPr>
          <w:p>
            <w:pPr>
              <w:ind w:left="4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0"/>
              </w:rPr>
              <w:t>101.DEF</w:t>
            </w:r>
          </w:p>
        </w:tc>
        <w:tc>
          <w:tcPr>
            <w:tcW w:w="9580" w:type="dxa"/>
            <w:vAlign w:val="bottom"/>
          </w:tcPr>
          <w:p>
            <w:pPr>
              <w:ind w:left="4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8"/>
              </w:rPr>
              <w:t>101.LAB</w:t>
            </w:r>
          </w:p>
        </w:tc>
        <w:tc>
          <w:tcPr>
            <w:tcW w:w="9580" w:type="dxa"/>
            <w:vAlign w:val="bottom"/>
          </w:tcPr>
          <w:p>
            <w:pPr>
              <w:ind w:left="4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101.PRE</w:t>
            </w:r>
          </w:p>
        </w:tc>
        <w:tc>
          <w:tcPr>
            <w:tcW w:w="9580" w:type="dxa"/>
            <w:vAlign w:val="bottom"/>
          </w:tcPr>
          <w:p>
            <w:pPr>
              <w:ind w:left="420"/>
              <w:spacing w:after="0"/>
              <w:rPr>
                <w:sz w:val="20"/>
                <w:szCs w:val="20"/>
                <w:color w:val="auto"/>
              </w:rPr>
            </w:pPr>
            <w:r>
              <w:rPr>
                <w:rFonts w:ascii="Arial" w:cs="Arial" w:eastAsia="Arial" w:hAnsi="Arial"/>
                <w:sz w:val="18"/>
                <w:szCs w:val="18"/>
                <w:color w:val="auto"/>
              </w:rPr>
              <w:t>Inline XBRL Taxonomy Extension Presentation Linkebase Document</w:t>
            </w:r>
          </w:p>
        </w:tc>
      </w:tr>
    </w:tbl>
    <w:p>
      <w:pPr>
        <w:spacing w:after="0" w:line="161" w:lineRule="exact"/>
        <w:rPr>
          <w:rFonts w:ascii="Arial" w:cs="Arial" w:eastAsia="Arial" w:hAnsi="Arial"/>
          <w:sz w:val="18"/>
          <w:szCs w:val="18"/>
          <w:color w:val="auto"/>
        </w:rPr>
      </w:pPr>
    </w:p>
    <w:p>
      <w:pPr>
        <w:ind w:left="1580" w:hanging="1316"/>
        <w:spacing w:after="0"/>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1" w:lineRule="exact"/>
        <w:rPr>
          <w:rFonts w:ascii="Arial" w:cs="Arial" w:eastAsia="Arial" w:hAnsi="Arial"/>
          <w:sz w:val="18"/>
          <w:szCs w:val="18"/>
          <w:color w:val="auto"/>
        </w:rPr>
      </w:pPr>
    </w:p>
    <w:p>
      <w:pPr>
        <w:ind w:left="700" w:hanging="368"/>
        <w:spacing w:after="0"/>
        <w:tabs>
          <w:tab w:leader="none" w:pos="7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Filed as Exhibit 3.1 to the Company’s Form 8-K (File No. 001-37973) filed with the SEC on April 22, 2020 and incorporated herein by reference.</w:t>
      </w:r>
    </w:p>
    <w:p>
      <w:pPr>
        <w:spacing w:after="0" w:line="221" w:lineRule="exact"/>
        <w:rPr>
          <w:rFonts w:ascii="Arial" w:cs="Arial" w:eastAsia="Arial" w:hAnsi="Arial"/>
          <w:sz w:val="16"/>
          <w:szCs w:val="16"/>
          <w:color w:val="auto"/>
        </w:rPr>
      </w:pPr>
    </w:p>
    <w:p>
      <w:pPr>
        <w:ind w:left="700" w:hanging="368"/>
        <w:spacing w:after="0"/>
        <w:tabs>
          <w:tab w:leader="none" w:pos="7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Filed as Exhibit 10.1 to the Company’s Form 8-K (File No. 001-37973) filed with the SEC on May 29, 2020 and incorporated herein by reference.</w:t>
      </w:r>
    </w:p>
    <w:p>
      <w:pPr>
        <w:spacing w:after="0" w:line="234" w:lineRule="exact"/>
        <w:rPr>
          <w:rFonts w:ascii="Arial" w:cs="Arial" w:eastAsia="Arial" w:hAnsi="Arial"/>
          <w:sz w:val="16"/>
          <w:szCs w:val="16"/>
          <w:color w:val="auto"/>
        </w:rPr>
      </w:pPr>
    </w:p>
    <w:p>
      <w:pPr>
        <w:ind w:left="5540" w:hanging="5208"/>
        <w:spacing w:after="0" w:line="481" w:lineRule="auto"/>
        <w:tabs>
          <w:tab w:leader="none" w:pos="6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Filed as Exhibit 10.2 to the Company’s Form 8-K (File No. 001-37973) filed with the SEC on May 29, 2020 and incorporated herein by reference. 72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5, 2020.</w:t>
      </w: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Brian R. Doom</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340"/>
          </w:cols>
          <w:pgMar w:left="320" w:top="125" w:right="1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98"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2280"/>
              <w:spacing w:after="0"/>
              <w:rPr>
                <w:sz w:val="20"/>
                <w:szCs w:val="20"/>
                <w:color w:val="auto"/>
              </w:rPr>
            </w:pPr>
            <w:r>
              <w:rPr>
                <w:rFonts w:ascii="Arial" w:cs="Arial" w:eastAsia="Arial" w:hAnsi="Arial"/>
                <w:sz w:val="18"/>
                <w:szCs w:val="18"/>
                <w:color w:val="auto"/>
              </w:rPr>
              <w:t>August 5, 2020</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3900" w:type="dxa"/>
            <w:vAlign w:val="bottom"/>
          </w:tcPr>
          <w:p>
            <w:pPr>
              <w:spacing w:after="0"/>
              <w:rPr>
                <w:sz w:val="20"/>
                <w:szCs w:val="20"/>
                <w:color w:val="auto"/>
              </w:rPr>
            </w:pPr>
          </w:p>
        </w:tc>
      </w:tr>
      <w:tr>
        <w:trPr>
          <w:trHeight w:val="195"/>
        </w:trPr>
        <w:tc>
          <w:tcPr>
            <w:tcW w:w="45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39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3"/>
              </w:rPr>
              <w:t>President and Chief Executive Officer</w:t>
            </w:r>
          </w:p>
        </w:tc>
        <w:tc>
          <w:tcPr>
            <w:tcW w:w="390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3900" w:type="dxa"/>
            <w:vAlign w:val="bottom"/>
          </w:tcPr>
          <w:p>
            <w:pPr>
              <w:spacing w:after="0"/>
              <w:rPr>
                <w:sz w:val="20"/>
                <w:szCs w:val="20"/>
                <w:color w:val="auto"/>
              </w:rPr>
            </w:pPr>
          </w:p>
        </w:tc>
      </w:tr>
      <w:tr>
        <w:trPr>
          <w:trHeight w:val="405"/>
        </w:trPr>
        <w:tc>
          <w:tcPr>
            <w:tcW w:w="4500" w:type="dxa"/>
            <w:vAlign w:val="bottom"/>
          </w:tcPr>
          <w:p>
            <w:pPr>
              <w:spacing w:after="0"/>
              <w:rPr>
                <w:sz w:val="24"/>
                <w:szCs w:val="24"/>
                <w:color w:val="auto"/>
              </w:rPr>
            </w:pPr>
          </w:p>
        </w:tc>
        <w:tc>
          <w:tcPr>
            <w:tcW w:w="2820" w:type="dxa"/>
            <w:vAlign w:val="bottom"/>
          </w:tcPr>
          <w:p>
            <w:pPr>
              <w:ind w:left="1040"/>
              <w:spacing w:after="0"/>
              <w:rPr>
                <w:sz w:val="20"/>
                <w:szCs w:val="20"/>
                <w:color w:val="auto"/>
              </w:rPr>
            </w:pPr>
            <w:r>
              <w:rPr>
                <w:rFonts w:ascii="Arial" w:cs="Arial" w:eastAsia="Arial" w:hAnsi="Arial"/>
                <w:sz w:val="18"/>
                <w:szCs w:val="18"/>
                <w:color w:val="auto"/>
              </w:rPr>
              <w:t>74</w:t>
            </w:r>
          </w:p>
        </w:tc>
        <w:tc>
          <w:tcPr>
            <w:tcW w:w="3900" w:type="dxa"/>
            <w:vAlign w:val="bottom"/>
          </w:tcPr>
          <w:p>
            <w:pPr>
              <w:spacing w:after="0"/>
              <w:rPr>
                <w:sz w:val="24"/>
                <w:szCs w:val="24"/>
                <w:color w:val="auto"/>
              </w:rPr>
            </w:pPr>
          </w:p>
        </w:tc>
      </w:tr>
      <w:tr>
        <w:trPr>
          <w:trHeight w:val="202"/>
        </w:trPr>
        <w:tc>
          <w:tcPr>
            <w:tcW w:w="450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390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98"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2140" w:hanging="836"/>
        <w:spacing w:after="0" w:line="311" w:lineRule="auto"/>
        <w:tabs>
          <w:tab w:leader="none" w:pos="2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2140" w:right="40" w:hanging="836"/>
        <w:spacing w:after="0" w:line="286" w:lineRule="auto"/>
        <w:tabs>
          <w:tab w:leader="none" w:pos="21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2140" w:right="120" w:hanging="836"/>
        <w:spacing w:after="0" w:line="263" w:lineRule="auto"/>
        <w:tabs>
          <w:tab w:leader="none" w:pos="2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140" w:right="140" w:hanging="836"/>
        <w:spacing w:after="0" w:line="311" w:lineRule="auto"/>
        <w:tabs>
          <w:tab w:leader="none" w:pos="2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2140" w:right="380" w:hanging="836"/>
        <w:spacing w:after="0" w:line="263" w:lineRule="auto"/>
        <w:tabs>
          <w:tab w:leader="none" w:pos="2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140" w:right="760" w:hanging="836"/>
        <w:spacing w:after="0" w:line="277" w:lineRule="auto"/>
        <w:tabs>
          <w:tab w:leader="none" w:pos="2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2280"/>
              <w:spacing w:after="0"/>
              <w:rPr>
                <w:sz w:val="20"/>
                <w:szCs w:val="20"/>
                <w:color w:val="auto"/>
              </w:rPr>
            </w:pPr>
            <w:r>
              <w:rPr>
                <w:rFonts w:ascii="Arial" w:cs="Arial" w:eastAsia="Arial" w:hAnsi="Arial"/>
                <w:sz w:val="18"/>
                <w:szCs w:val="18"/>
                <w:color w:val="auto"/>
              </w:rPr>
              <w:t>August 5, 2020</w:t>
            </w: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3900" w:type="dxa"/>
            <w:vAlign w:val="bottom"/>
          </w:tcPr>
          <w:p>
            <w:pPr>
              <w:spacing w:after="0"/>
              <w:rPr>
                <w:sz w:val="20"/>
                <w:szCs w:val="20"/>
                <w:color w:val="auto"/>
              </w:rPr>
            </w:pPr>
          </w:p>
        </w:tc>
      </w:tr>
      <w:tr>
        <w:trPr>
          <w:trHeight w:val="195"/>
        </w:trPr>
        <w:tc>
          <w:tcPr>
            <w:tcW w:w="4500" w:type="dxa"/>
            <w:vAlign w:val="bottom"/>
          </w:tcPr>
          <w:p>
            <w:pPr>
              <w:spacing w:after="0"/>
              <w:rPr>
                <w:sz w:val="16"/>
                <w:szCs w:val="16"/>
                <w:color w:val="auto"/>
              </w:rPr>
            </w:pPr>
          </w:p>
        </w:tc>
        <w:tc>
          <w:tcPr>
            <w:tcW w:w="282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39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90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3900" w:type="dxa"/>
            <w:vAlign w:val="bottom"/>
          </w:tcPr>
          <w:p>
            <w:pPr>
              <w:spacing w:after="0"/>
              <w:rPr>
                <w:sz w:val="20"/>
                <w:szCs w:val="20"/>
                <w:color w:val="auto"/>
              </w:rPr>
            </w:pPr>
          </w:p>
        </w:tc>
      </w:tr>
      <w:tr>
        <w:trPr>
          <w:trHeight w:val="405"/>
        </w:trPr>
        <w:tc>
          <w:tcPr>
            <w:tcW w:w="4500" w:type="dxa"/>
            <w:vAlign w:val="bottom"/>
          </w:tcPr>
          <w:p>
            <w:pPr>
              <w:spacing w:after="0"/>
              <w:rPr>
                <w:sz w:val="24"/>
                <w:szCs w:val="24"/>
                <w:color w:val="auto"/>
              </w:rPr>
            </w:pPr>
          </w:p>
        </w:tc>
        <w:tc>
          <w:tcPr>
            <w:tcW w:w="2820" w:type="dxa"/>
            <w:vAlign w:val="bottom"/>
          </w:tcPr>
          <w:p>
            <w:pPr>
              <w:ind w:left="1040"/>
              <w:spacing w:after="0"/>
              <w:rPr>
                <w:sz w:val="20"/>
                <w:szCs w:val="20"/>
                <w:color w:val="auto"/>
              </w:rPr>
            </w:pPr>
            <w:r>
              <w:rPr>
                <w:rFonts w:ascii="Arial" w:cs="Arial" w:eastAsia="Arial" w:hAnsi="Arial"/>
                <w:sz w:val="18"/>
                <w:szCs w:val="18"/>
                <w:color w:val="auto"/>
              </w:rPr>
              <w:t>75</w:t>
            </w:r>
          </w:p>
        </w:tc>
        <w:tc>
          <w:tcPr>
            <w:tcW w:w="3900" w:type="dxa"/>
            <w:vAlign w:val="bottom"/>
          </w:tcPr>
          <w:p>
            <w:pPr>
              <w:spacing w:after="0"/>
              <w:rPr>
                <w:sz w:val="24"/>
                <w:szCs w:val="24"/>
                <w:color w:val="auto"/>
              </w:rPr>
            </w:pPr>
          </w:p>
        </w:tc>
      </w:tr>
      <w:tr>
        <w:trPr>
          <w:trHeight w:val="202"/>
        </w:trPr>
        <w:tc>
          <w:tcPr>
            <w:tcW w:w="450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390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June 30, 2020,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60" w:lineRule="exact"/>
        <w:rPr>
          <w:sz w:val="20"/>
          <w:szCs w:val="20"/>
          <w:color w:val="auto"/>
        </w:rPr>
      </w:pPr>
    </w:p>
    <w:p>
      <w:pPr>
        <w:ind w:left="1020" w:hanging="36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364"/>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2540"/>
              <w:spacing w:after="0"/>
              <w:rPr>
                <w:sz w:val="20"/>
                <w:szCs w:val="20"/>
                <w:color w:val="auto"/>
              </w:rPr>
            </w:pPr>
            <w:r>
              <w:rPr>
                <w:rFonts w:ascii="Arial" w:cs="Arial" w:eastAsia="Arial" w:hAnsi="Arial"/>
                <w:sz w:val="18"/>
                <w:szCs w:val="18"/>
                <w:color w:val="auto"/>
              </w:rPr>
              <w:t>August 5,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240" w:type="dxa"/>
            <w:vAlign w:val="bottom"/>
          </w:tcPr>
          <w:p>
            <w:pPr>
              <w:spacing w:after="0"/>
              <w:rPr>
                <w:sz w:val="20"/>
                <w:szCs w:val="20"/>
                <w:color w:val="auto"/>
              </w:rPr>
            </w:pPr>
          </w:p>
        </w:tc>
      </w:tr>
      <w:tr>
        <w:trPr>
          <w:trHeight w:val="195"/>
        </w:trPr>
        <w:tc>
          <w:tcPr>
            <w:tcW w:w="50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240" w:type="dxa"/>
            <w:vAlign w:val="bottom"/>
          </w:tcPr>
          <w:p>
            <w:pPr>
              <w:spacing w:after="0"/>
              <w:rPr>
                <w:sz w:val="16"/>
                <w:szCs w:val="16"/>
                <w:color w:val="auto"/>
              </w:rPr>
            </w:pPr>
          </w:p>
        </w:tc>
      </w:tr>
      <w:tr>
        <w:trPr>
          <w:trHeight w:val="216"/>
        </w:trPr>
        <w:tc>
          <w:tcPr>
            <w:tcW w:w="50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240" w:type="dxa"/>
            <w:vAlign w:val="bottom"/>
          </w:tcPr>
          <w:p>
            <w:pPr>
              <w:spacing w:after="0"/>
              <w:rPr>
                <w:sz w:val="18"/>
                <w:szCs w:val="18"/>
                <w:color w:val="auto"/>
              </w:rPr>
            </w:pPr>
          </w:p>
        </w:tc>
      </w:tr>
      <w:tr>
        <w:trPr>
          <w:trHeight w:val="230"/>
        </w:trPr>
        <w:tc>
          <w:tcPr>
            <w:tcW w:w="50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40" w:type="dxa"/>
            <w:vAlign w:val="bottom"/>
          </w:tcPr>
          <w:p>
            <w:pPr>
              <w:spacing w:after="0"/>
              <w:rPr>
                <w:sz w:val="20"/>
                <w:szCs w:val="20"/>
                <w:color w:val="auto"/>
              </w:rPr>
            </w:pPr>
          </w:p>
        </w:tc>
      </w:tr>
      <w:tr>
        <w:trPr>
          <w:trHeight w:val="432"/>
        </w:trPr>
        <w:tc>
          <w:tcPr>
            <w:tcW w:w="5060" w:type="dxa"/>
            <w:vAlign w:val="bottom"/>
          </w:tcPr>
          <w:p>
            <w:pPr>
              <w:ind w:left="2540"/>
              <w:spacing w:after="0"/>
              <w:rPr>
                <w:sz w:val="20"/>
                <w:szCs w:val="20"/>
                <w:color w:val="auto"/>
              </w:rPr>
            </w:pPr>
            <w:r>
              <w:rPr>
                <w:rFonts w:ascii="Arial" w:cs="Arial" w:eastAsia="Arial" w:hAnsi="Arial"/>
                <w:sz w:val="18"/>
                <w:szCs w:val="18"/>
                <w:color w:val="auto"/>
              </w:rPr>
              <w:t>August 5,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2240" w:type="dxa"/>
            <w:vAlign w:val="bottom"/>
          </w:tcPr>
          <w:p>
            <w:pPr>
              <w:spacing w:after="0"/>
              <w:rPr>
                <w:sz w:val="24"/>
                <w:szCs w:val="24"/>
                <w:color w:val="auto"/>
              </w:rPr>
            </w:pPr>
          </w:p>
        </w:tc>
      </w:tr>
      <w:tr>
        <w:trPr>
          <w:trHeight w:val="195"/>
        </w:trPr>
        <w:tc>
          <w:tcPr>
            <w:tcW w:w="50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2240" w:type="dxa"/>
            <w:vAlign w:val="bottom"/>
          </w:tcPr>
          <w:p>
            <w:pPr>
              <w:spacing w:after="0"/>
              <w:rPr>
                <w:sz w:val="16"/>
                <w:szCs w:val="16"/>
                <w:color w:val="auto"/>
              </w:rPr>
            </w:pPr>
          </w:p>
        </w:tc>
      </w:tr>
      <w:tr>
        <w:trPr>
          <w:trHeight w:val="216"/>
        </w:trPr>
        <w:tc>
          <w:tcPr>
            <w:tcW w:w="50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18"/>
                <w:szCs w:val="18"/>
                <w:color w:val="auto"/>
              </w:rPr>
            </w:pPr>
          </w:p>
        </w:tc>
      </w:tr>
      <w:tr>
        <w:trPr>
          <w:trHeight w:val="230"/>
        </w:trPr>
        <w:tc>
          <w:tcPr>
            <w:tcW w:w="50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40" w:type="dxa"/>
            <w:vAlign w:val="bottom"/>
          </w:tcPr>
          <w:p>
            <w:pPr>
              <w:spacing w:after="0"/>
              <w:rPr>
                <w:sz w:val="20"/>
                <w:szCs w:val="20"/>
                <w:color w:val="auto"/>
              </w:rPr>
            </w:pPr>
          </w:p>
        </w:tc>
      </w:tr>
      <w:tr>
        <w:trPr>
          <w:trHeight w:val="405"/>
        </w:trPr>
        <w:tc>
          <w:tcPr>
            <w:tcW w:w="5060" w:type="dxa"/>
            <w:vAlign w:val="bottom"/>
          </w:tcPr>
          <w:p>
            <w:pPr>
              <w:spacing w:after="0"/>
              <w:rPr>
                <w:sz w:val="24"/>
                <w:szCs w:val="24"/>
                <w:color w:val="auto"/>
              </w:rPr>
            </w:pPr>
          </w:p>
        </w:tc>
        <w:tc>
          <w:tcPr>
            <w:tcW w:w="3920" w:type="dxa"/>
            <w:vAlign w:val="bottom"/>
          </w:tcPr>
          <w:p>
            <w:pPr>
              <w:ind w:left="480"/>
              <w:spacing w:after="0"/>
              <w:rPr>
                <w:sz w:val="20"/>
                <w:szCs w:val="20"/>
                <w:color w:val="auto"/>
              </w:rPr>
            </w:pPr>
            <w:r>
              <w:rPr>
                <w:rFonts w:ascii="Arial" w:cs="Arial" w:eastAsia="Arial" w:hAnsi="Arial"/>
                <w:sz w:val="18"/>
                <w:szCs w:val="18"/>
                <w:color w:val="auto"/>
              </w:rPr>
              <w:t>76</w:t>
            </w:r>
          </w:p>
        </w:tc>
        <w:tc>
          <w:tcPr>
            <w:tcW w:w="2240" w:type="dxa"/>
            <w:vAlign w:val="bottom"/>
          </w:tcPr>
          <w:p>
            <w:pPr>
              <w:spacing w:after="0"/>
              <w:rPr>
                <w:sz w:val="24"/>
                <w:szCs w:val="24"/>
                <w:color w:val="auto"/>
              </w:rPr>
            </w:pPr>
          </w:p>
        </w:tc>
      </w:tr>
      <w:tr>
        <w:trPr>
          <w:trHeight w:val="203"/>
        </w:trPr>
        <w:tc>
          <w:tcPr>
            <w:tcW w:w="5060" w:type="dxa"/>
            <w:vAlign w:val="bottom"/>
            <w:tcBorders>
              <w:bottom w:val="single" w:sz="8" w:color="EEEEEE"/>
            </w:tcBorders>
          </w:tcPr>
          <w:p>
            <w:pPr>
              <w:spacing w:after="0"/>
              <w:rPr>
                <w:sz w:val="17"/>
                <w:szCs w:val="17"/>
                <w:color w:val="auto"/>
              </w:rPr>
            </w:pPr>
          </w:p>
        </w:tc>
        <w:tc>
          <w:tcPr>
            <w:tcW w:w="3920" w:type="dxa"/>
            <w:vAlign w:val="bottom"/>
            <w:tcBorders>
              <w:bottom w:val="single" w:sz="8" w:color="EEEEEE"/>
            </w:tcBorders>
          </w:tcPr>
          <w:p>
            <w:pPr>
              <w:spacing w:after="0"/>
              <w:rPr>
                <w:sz w:val="17"/>
                <w:szCs w:val="17"/>
                <w:color w:val="auto"/>
              </w:rPr>
            </w:pPr>
          </w:p>
        </w:tc>
        <w:tc>
          <w:tcPr>
            <w:tcW w:w="22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2"/>
    </w:lvl>
  </w:abstractNum>
  <w:abstractNum w:abstractNumId="8">
    <w:nsid w:val="2443A858"/>
    <w:multiLevelType w:val="hybridMultilevel"/>
    <w:lvl w:ilvl="0">
      <w:lvlJc w:val="left"/>
      <w:lvlText w:val="%1."/>
      <w:numFmt w:val="decimal"/>
      <w:start w:val="3"/>
    </w:lvl>
  </w:abstractNum>
  <w:abstractNum w:abstractNumId="9">
    <w:nsid w:val="2D1D5AE9"/>
    <w:multiLevelType w:val="hybridMultilevel"/>
    <w:lvl w:ilvl="0">
      <w:lvlJc w:val="left"/>
      <w:lvlText w:val="%1."/>
      <w:numFmt w:val="decimal"/>
      <w:start w:val="4"/>
    </w:lvl>
  </w:abstractNum>
  <w:abstractNum w:abstractNumId="10">
    <w:nsid w:val="6763845E"/>
    <w:multiLevelType w:val="hybridMultilevel"/>
    <w:lvl w:ilvl="0">
      <w:lvlJc w:val="left"/>
      <w:lvlText w:val="%1."/>
      <w:numFmt w:val="decimal"/>
      <w:start w:val="5"/>
    </w:lvl>
  </w:abstractNum>
  <w:abstractNum w:abstractNumId="11">
    <w:nsid w:val="75A2A8D4"/>
    <w:multiLevelType w:val="hybridMultilevel"/>
    <w:lvl w:ilvl="0">
      <w:lvlJc w:val="left"/>
      <w:lvlText w:val="%1."/>
      <w:numFmt w:val="decimal"/>
      <w:start w:val="6"/>
    </w:lvl>
  </w:abstractNum>
  <w:abstractNum w:abstractNumId="12">
    <w:nsid w:val="8EDBDAB"/>
    <w:multiLevelType w:val="hybridMultilevel"/>
    <w:lvl w:ilvl="0">
      <w:lvlJc w:val="left"/>
      <w:lvlText w:val="%1."/>
      <w:numFmt w:val="decimal"/>
      <w:start w:val="8"/>
    </w:lvl>
  </w:abstractNum>
  <w:abstractNum w:abstractNumId="13">
    <w:nsid w:val="79838CB2"/>
    <w:multiLevelType w:val="hybridMultilevel"/>
    <w:lvl w:ilvl="0">
      <w:lvlJc w:val="left"/>
      <w:lvlText w:val="%1."/>
      <w:numFmt w:val="decimal"/>
      <w:start w:val="9"/>
    </w:lvl>
  </w:abstractNum>
  <w:abstractNum w:abstractNumId="14">
    <w:nsid w:val="4353D0CD"/>
    <w:multiLevelType w:val="hybridMultilevel"/>
    <w:lvl w:ilvl="0">
      <w:lvlJc w:val="left"/>
      <w:lvlText w:val="%1."/>
      <w:numFmt w:val="decimal"/>
      <w:start w:val="10"/>
    </w:lvl>
  </w:abstractNum>
  <w:abstractNum w:abstractNumId="15">
    <w:nsid w:val="B03E0C6"/>
    <w:multiLevelType w:val="hybridMultilevel"/>
    <w:lvl w:ilvl="0">
      <w:lvlJc w:val="left"/>
      <w:lvlText w:val="%1."/>
      <w:numFmt w:val="decimal"/>
      <w:start w:val="11"/>
    </w:lvl>
  </w:abstractNum>
  <w:abstractNum w:abstractNumId="16">
    <w:nsid w:val="189A769B"/>
    <w:multiLevelType w:val="hybridMultilevel"/>
    <w:lvl w:ilvl="0">
      <w:lvlJc w:val="left"/>
      <w:lvlText w:val="%1."/>
      <w:numFmt w:val="decimal"/>
      <w:start w:val="12"/>
    </w:lvl>
  </w:abstractNum>
  <w:abstractNum w:abstractNumId="17">
    <w:nsid w:val="54E49EB4"/>
    <w:multiLevelType w:val="hybridMultilevel"/>
    <w:lvl w:ilvl="0">
      <w:lvlJc w:val="left"/>
      <w:lvlText w:val="%1."/>
      <w:numFmt w:val="decimal"/>
      <w:start w:val="13"/>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4"/>
    </w:lvl>
  </w:abstractNum>
  <w:abstractNum w:abstractNumId="20">
    <w:nsid w:val="836C40E"/>
    <w:multiLevelType w:val="hybridMultilevel"/>
    <w:lvl w:ilvl="0">
      <w:lvlJc w:val="left"/>
      <w:lvlText w:val="%1."/>
      <w:numFmt w:val="decimal"/>
      <w:start w:val="15"/>
    </w:lvl>
  </w:abstractNum>
  <w:abstractNum w:abstractNumId="21">
    <w:nsid w:val="2901D82"/>
    <w:multiLevelType w:val="hybridMultilevel"/>
    <w:lvl w:ilvl="0">
      <w:lvlJc w:val="left"/>
      <w:lvlText w:val="%1."/>
      <w:numFmt w:val="decimal"/>
      <w:start w:val="16"/>
    </w:lvl>
  </w:abstractNum>
  <w:abstractNum w:abstractNumId="22">
    <w:nsid w:val="3A95F874"/>
    <w:multiLevelType w:val="hybridMultilevel"/>
    <w:lvl w:ilvl="0">
      <w:lvlJc w:val="left"/>
      <w:lvlText w:val="%1."/>
      <w:numFmt w:val="decimal"/>
      <w:start w:val="17"/>
    </w:lvl>
  </w:abstractNum>
  <w:abstractNum w:abstractNumId="23">
    <w:nsid w:val="8138641"/>
    <w:multiLevelType w:val="hybridMultilevel"/>
    <w:lvl w:ilvl="0">
      <w:lvlJc w:val="left"/>
      <w:lvlText w:val="%1."/>
      <w:numFmt w:val="decimal"/>
      <w:start w:val="18"/>
    </w:lvl>
  </w:abstractNum>
  <w:abstractNum w:abstractNumId="24">
    <w:nsid w:val="1E7FF521"/>
    <w:multiLevelType w:val="hybridMultilevel"/>
    <w:lvl w:ilvl="0">
      <w:lvlJc w:val="left"/>
      <w:lvlText w:val="%1."/>
      <w:numFmt w:val="decimal"/>
      <w:start w:val="19"/>
    </w:lvl>
  </w:abstractNum>
  <w:abstractNum w:abstractNumId="25">
    <w:nsid w:val="7C3DBD3D"/>
    <w:multiLevelType w:val="hybridMultilevel"/>
    <w:lvl w:ilvl="0">
      <w:lvlJc w:val="left"/>
      <w:lvlText w:val="%1."/>
      <w:numFmt w:val="decimal"/>
      <w:start w:val="20"/>
    </w:lvl>
  </w:abstractNum>
  <w:abstractNum w:abstractNumId="26">
    <w:nsid w:val="737B8DDC"/>
    <w:multiLevelType w:val="hybridMultilevel"/>
    <w:lvl w:ilvl="0">
      <w:lvlJc w:val="left"/>
      <w:lvlText w:val="%1."/>
      <w:numFmt w:val="decimal"/>
      <w:start w:val="21"/>
    </w:lvl>
  </w:abstractNum>
  <w:abstractNum w:abstractNumId="27">
    <w:nsid w:val="6CEAF087"/>
    <w:multiLevelType w:val="hybridMultilevel"/>
    <w:lvl w:ilvl="0">
      <w:lvlJc w:val="left"/>
      <w:lvlText w:val="%1."/>
      <w:numFmt w:val="decimal"/>
      <w:start w:val="22"/>
    </w:lvl>
  </w:abstractNum>
  <w:abstractNum w:abstractNumId="28">
    <w:nsid w:val="22221A70"/>
    <w:multiLevelType w:val="hybridMultilevel"/>
    <w:lvl w:ilvl="0">
      <w:lvlJc w:val="left"/>
      <w:lvlText w:val="%1."/>
      <w:numFmt w:val="decimal"/>
      <w:start w:val="23"/>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32"/>
    </w:lvl>
  </w:abstractNum>
  <w:abstractNum w:abstractNumId="32">
    <w:nsid w:val="419AC241"/>
    <w:multiLevelType w:val="hybridMultilevel"/>
    <w:lvl w:ilvl="0">
      <w:lvlJc w:val="left"/>
      <w:lvlText w:val="%1"/>
      <w:numFmt w:val="decimal"/>
      <w:start w:val="104"/>
    </w:lvl>
    <w:lvl w:ilvl="1">
      <w:lvlJc w:val="left"/>
      <w:lvlText w:val="(%2)"/>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92" Type="http://schemas.openxmlformats.org/officeDocument/2006/relationships/hyperlink" Target="http://www.sec.gov/Archives/edgar/data/1681206/000117494720000588/ex3-1.htm" TargetMode="External"/><Relationship Id="rId93" Type="http://schemas.openxmlformats.org/officeDocument/2006/relationships/hyperlink" Target="http://www.sec.gov/Archives/edgar/data/1681206/000117494720000709/ex10-1.htm" TargetMode="External"/><Relationship Id="rId94" Type="http://schemas.openxmlformats.org/officeDocument/2006/relationships/hyperlink" Target="http://www.sec.gov/Archives/edgar/data/1681206/000117494720000709/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2020-08-05T15:20:20Z</dcterms:created>
  <dcterms:modified xsi:type="dcterms:W3CDTF">2020-08-05T15:20:20Z</dcterms:modified>
</cp:coreProperties>
</file>