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firstLine="8960"/>
        <w:jc w:val="center"/>
        <w:rPr>
          <w:rFonts w:ascii="Times New Roman;Times;Serif" w:hAnsi="Times New Roman;Times;Serif"/>
          <w:b/>
          <w:i w:val="false"/>
          <w:caps w:val="false"/>
          <w:smallCaps w:val="false"/>
          <w:sz w:val="20"/>
        </w:rPr>
      </w:pPr>
      <w:bookmarkStart w:id="0" w:name="nodk-20250930.htm"/>
      <w:bookmarkStart w:id="1" w:name="ksnodk20250930"/>
      <w:bookmarkEnd w:id="0"/>
      <w:bookmarkEnd w:id="1"/>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20" w:after="20"/>
        <w:jc w:val="left"/>
        <w:rPr>
          <w:caps w:val="false"/>
          <w:smallCaps w:val="false"/>
          <w:bdr w:val="single" w:sz="6" w:space="1" w:color="000000"/>
        </w:rPr>
      </w:pPr>
      <w:r>
        <w:rPr>
          <w:caps w:val="false"/>
          <w:smallCaps w:val="false"/>
          <w:bdr w:val="single" w:sz="6" w:space="1" w:color="000000"/>
        </w:rPr>
        <w:t> </w:t>
      </w:r>
    </w:p>
    <w:p>
      <w:pPr>
        <w:pStyle w:val="TextBody"/>
        <w:bidi w:val="0"/>
        <w:spacing w:before="60" w:after="6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20" w:after="20"/>
        <w:jc w:val="left"/>
        <w:rPr>
          <w:caps w:val="false"/>
          <w:smallCaps w:val="false"/>
          <w:bdr w:val="single" w:sz="6" w:space="1" w:color="000000"/>
        </w:rPr>
      </w:pPr>
      <w:r>
        <w:rPr>
          <w:caps w:val="false"/>
          <w:smallCaps w:val="false"/>
          <w:bdr w:val="single" w:sz="6" w:space="1" w:color="000000"/>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September 30, 2025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transition period from </w:t>
      </w:r>
      <w:r>
        <w:rPr>
          <w:rFonts w:ascii="Times New Roman;Times;Serif" w:hAnsi="Times New Roman;Times;Serif"/>
          <w:b/>
          <w:i w:val="false"/>
          <w:caps w:val="false"/>
          <w:smallCaps w:val="false"/>
          <w:sz w:val="20"/>
          <w:u w:val="single"/>
        </w:rPr>
        <w:t>               </w:t>
      </w:r>
      <w:r>
        <w:rPr>
          <w:rFonts w:ascii="Times New Roman;Times;Serif" w:hAnsi="Times New Roman;Times;Serif"/>
          <w:b/>
          <w:i w:val="false"/>
          <w:caps w:val="false"/>
          <w:smallCaps w:val="false"/>
          <w:sz w:val="20"/>
        </w:rPr>
        <w:t xml:space="preserve"> to </w:t>
      </w:r>
      <w:r>
        <w:rPr>
          <w:rFonts w:ascii="Times New Roman;Times;Serif" w:hAnsi="Times New Roman;Times;Serif"/>
          <w:b/>
          <w:i w:val="false"/>
          <w:caps w:val="false"/>
          <w:smallCaps w:val="false"/>
          <w:sz w:val="20"/>
          <w:u w:val="single"/>
        </w:rPr>
        <w:t>               </w:t>
      </w:r>
    </w:p>
    <w:p>
      <w:pPr>
        <w:pStyle w:val="TextBody"/>
        <w:bidi w:val="0"/>
        <w:jc w:val="left"/>
        <w:rPr>
          <w:caps w:val="false"/>
          <w:smallCaps w:val="false"/>
        </w:rPr>
      </w:pPr>
      <w:r>
        <w:rPr>
          <w:caps w:val="false"/>
          <w:smallCaps w:val="false"/>
        </w:rPr>
        <w:t> </w:t>
      </w:r>
    </w:p>
    <w:p>
      <w:pPr>
        <w:pStyle w:val="TextBody"/>
        <w:bidi w:val="0"/>
        <w:spacing w:before="160" w:after="12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r>
        <w:rPr>
          <w:rFonts w:ascii="Times New Roman;Times;Serif" w:hAnsi="Times New Roman;Times;Serif"/>
          <w:b/>
          <w:i w:val="false"/>
          <w:caps w:val="false"/>
          <w:smallCaps w:val="false"/>
          <w:sz w:val="20"/>
          <w:u w:val="single"/>
        </w:rPr>
        <w:t>001-37973</w:t>
      </w:r>
    </w:p>
    <w:p>
      <w:pPr>
        <w:pStyle w:val="TextBody"/>
        <w:bidi w:val="0"/>
        <w:spacing w:before="20" w:after="20"/>
        <w:jc w:val="left"/>
        <w:rPr>
          <w:caps w:val="false"/>
          <w:smallCaps w:val="false"/>
          <w:bdr w:val="single" w:sz="6" w:space="1" w:color="000000"/>
        </w:rPr>
      </w:pPr>
      <w:r>
        <w:rPr>
          <w:caps w:val="false"/>
          <w:smallCaps w:val="false"/>
          <w:bdr w:val="single" w:sz="6" w:space="1" w:color="000000"/>
        </w:rPr>
        <w:t> </w:t>
      </w:r>
    </w:p>
    <w:p>
      <w:pPr>
        <w:pStyle w:val="TextBody"/>
        <w:bidi w:val="0"/>
        <w:spacing w:before="120" w:after="120"/>
        <w:ind w:left="120" w:right="1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3320"/>
        <w:gridCol w:w="90"/>
        <w:gridCol w:w="1625"/>
      </w:tblGrid>
      <w:tr>
        <w:trPr/>
        <w:tc>
          <w:tcPr>
            <w:tcW w:w="33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 Dakota</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6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81-2683619</w:t>
            </w:r>
          </w:p>
        </w:tc>
      </w:tr>
      <w:tr>
        <w:trPr/>
        <w:tc>
          <w:tcPr>
            <w:tcW w:w="33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6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33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6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332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62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1101 First Avenue North</w:t>
              <w:br/>
              <w:t>Fargo, North Dakota</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6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58102</w:t>
            </w:r>
          </w:p>
        </w:tc>
      </w:tr>
      <w:tr>
        <w:trPr/>
        <w:tc>
          <w:tcPr>
            <w:tcW w:w="33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6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160" w:after="160"/>
        <w:ind w:left="160" w:right="16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(701) 298-4200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caps w:val="false"/>
          <w:smallCaps w:val="false"/>
          <w:bdr w:val="single" w:sz="6" w:space="1" w:color="000000"/>
        </w:rPr>
      </w:pPr>
      <w:r>
        <w:rPr>
          <w:caps w:val="false"/>
          <w:smallCaps w:val="false"/>
          <w:bdr w:val="single" w:sz="6" w:space="1" w:color="000000"/>
        </w:rPr>
        <w:t> </w:t>
      </w:r>
    </w:p>
    <w:p>
      <w:pPr>
        <w:pStyle w:val="TextBody"/>
        <w:bidi w:val="0"/>
        <w:spacing w:before="160" w:after="160"/>
        <w:ind w:left="160" w:right="16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95" w:type="dxa"/>
        <w:jc w:val="left"/>
        <w:tblInd w:w="0" w:type="dxa"/>
        <w:tblLayout w:type="fixed"/>
        <w:tblCellMar>
          <w:top w:w="0" w:type="dxa"/>
          <w:left w:w="0" w:type="dxa"/>
          <w:bottom w:w="0" w:type="dxa"/>
          <w:right w:w="0" w:type="dxa"/>
        </w:tblCellMar>
      </w:tblPr>
      <w:tblGrid>
        <w:gridCol w:w="3440"/>
        <w:gridCol w:w="1685"/>
        <w:gridCol w:w="3770"/>
      </w:tblGrid>
      <w:tr>
        <w:trPr/>
        <w:tc>
          <w:tcPr>
            <w:tcW w:w="3440" w:type="dxa"/>
            <w:tcBorders/>
            <w:vAlign w:val="center"/>
          </w:tcPr>
          <w:p>
            <w:pPr>
              <w:pStyle w:val="TableContents"/>
              <w:bidi w:val="0"/>
              <w:spacing w:before="0" w:after="283"/>
              <w:jc w:val="center"/>
              <w:rPr>
                <w:b/>
                <w:sz w:val="20"/>
                <w:u w:val="single"/>
              </w:rPr>
            </w:pPr>
            <w:r>
              <w:rPr>
                <w:b/>
                <w:sz w:val="20"/>
                <w:u w:val="single"/>
              </w:rPr>
              <w:t>Title of each class</w:t>
            </w:r>
          </w:p>
        </w:tc>
        <w:tc>
          <w:tcPr>
            <w:tcW w:w="1685" w:type="dxa"/>
            <w:tcBorders/>
            <w:vAlign w:val="center"/>
          </w:tcPr>
          <w:p>
            <w:pPr>
              <w:pStyle w:val="TableContents"/>
              <w:bidi w:val="0"/>
              <w:spacing w:before="0" w:after="283"/>
              <w:jc w:val="center"/>
              <w:rPr>
                <w:b/>
                <w:sz w:val="20"/>
                <w:u w:val="single"/>
              </w:rPr>
            </w:pPr>
            <w:r>
              <w:rPr>
                <w:b/>
                <w:sz w:val="20"/>
                <w:u w:val="single"/>
              </w:rPr>
              <w:t>Trading Symbol(s) </w:t>
            </w:r>
          </w:p>
        </w:tc>
        <w:tc>
          <w:tcPr>
            <w:tcW w:w="3770" w:type="dxa"/>
            <w:tcBorders/>
            <w:vAlign w:val="center"/>
          </w:tcPr>
          <w:p>
            <w:pPr>
              <w:pStyle w:val="TableContents"/>
              <w:bidi w:val="0"/>
              <w:spacing w:before="0" w:after="283"/>
              <w:jc w:val="center"/>
              <w:rPr>
                <w:b/>
                <w:sz w:val="20"/>
                <w:u w:val="single"/>
              </w:rPr>
            </w:pPr>
            <w:r>
              <w:rPr>
                <w:b/>
                <w:sz w:val="20"/>
                <w:u w:val="single"/>
              </w:rPr>
              <w:t>Name of each exchange on which registered</w:t>
            </w:r>
          </w:p>
        </w:tc>
      </w:tr>
      <w:tr>
        <w:trPr/>
        <w:tc>
          <w:tcPr>
            <w:tcW w:w="3440" w:type="dxa"/>
            <w:tcBorders/>
            <w:vAlign w:val="center"/>
          </w:tcPr>
          <w:p>
            <w:pPr>
              <w:pStyle w:val="TableContents"/>
              <w:bidi w:val="0"/>
              <w:spacing w:before="0" w:after="283"/>
              <w:jc w:val="center"/>
              <w:rPr>
                <w:sz w:val="20"/>
              </w:rPr>
            </w:pPr>
            <w:r>
              <w:rPr>
                <w:sz w:val="20"/>
              </w:rPr>
              <w:t>Common Stock, $0.01 par value per share</w:t>
            </w:r>
          </w:p>
        </w:tc>
        <w:tc>
          <w:tcPr>
            <w:tcW w:w="1685" w:type="dxa"/>
            <w:tcBorders/>
            <w:vAlign w:val="center"/>
          </w:tcPr>
          <w:p>
            <w:pPr>
              <w:pStyle w:val="TableContents"/>
              <w:bidi w:val="0"/>
              <w:spacing w:before="0" w:after="283"/>
              <w:jc w:val="center"/>
              <w:rPr>
                <w:sz w:val="20"/>
              </w:rPr>
            </w:pPr>
            <w:r>
              <w:rPr>
                <w:sz w:val="20"/>
              </w:rPr>
              <w:t>NODK </w:t>
            </w:r>
          </w:p>
        </w:tc>
        <w:tc>
          <w:tcPr>
            <w:tcW w:w="3770" w:type="dxa"/>
            <w:tcBorders/>
            <w:vAlign w:val="center"/>
          </w:tcPr>
          <w:p>
            <w:pPr>
              <w:pStyle w:val="TableContents"/>
              <w:bidi w:val="0"/>
              <w:spacing w:before="0" w:after="283"/>
              <w:jc w:val="center"/>
              <w:rPr>
                <w:sz w:val="20"/>
              </w:rPr>
            </w:pPr>
            <w:r>
              <w:rPr>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65"/>
        <w:gridCol w:w="260"/>
        <w:gridCol w:w="2255"/>
        <w:gridCol w:w="305"/>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30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30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30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  Yes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Registrant’s common stock outstanding on October 31, 2025 was 20,605,747. No preferred shares are issued or outstanding.</w:t>
      </w:r>
    </w:p>
    <w:p>
      <w:pPr>
        <w:pStyle w:val="TextBody"/>
        <w:bidi w:val="0"/>
        <w:spacing w:before="20" w:after="20"/>
        <w:jc w:val="left"/>
        <w:rPr>
          <w:caps w:val="false"/>
          <w:smallCaps w:val="false"/>
          <w:bdr w:val="single" w:sz="6" w:space="1" w:color="000000"/>
        </w:rPr>
      </w:pPr>
      <w:r>
        <w:rPr>
          <w:caps w:val="false"/>
          <w:smallCaps w:val="false"/>
          <w:bdr w:val="single" w:sz="6"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200"/>
        <w:ind w:left="120" w:right="1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870"/>
        <w:gridCol w:w="335"/>
      </w:tblGrid>
      <w:tr>
        <w:trPr/>
        <w:tc>
          <w:tcPr>
            <w:tcW w:w="9870" w:type="dxa"/>
            <w:tcBorders/>
            <w:vAlign w:val="center"/>
          </w:tcPr>
          <w:p>
            <w:pPr>
              <w:pStyle w:val="TableContents"/>
              <w:bidi w:val="0"/>
              <w:spacing w:before="0" w:after="283"/>
              <w:jc w:val="left"/>
              <w:rPr/>
            </w:pPr>
            <w:hyperlink w:anchor="a_001">
              <w:r>
                <w:rPr>
                  <w:rStyle w:val="InternetLink"/>
                </w:rPr>
                <w:t>FORWARD-LOOKING STATEMENTS</w:t>
              </w:r>
            </w:hyperlink>
          </w:p>
        </w:tc>
        <w:tc>
          <w:tcPr>
            <w:tcW w:w="335" w:type="dxa"/>
            <w:tcBorders/>
            <w:vAlign w:val="center"/>
          </w:tcPr>
          <w:p>
            <w:pPr>
              <w:pStyle w:val="TableContents"/>
              <w:bidi w:val="0"/>
              <w:spacing w:before="0" w:after="283"/>
              <w:jc w:val="right"/>
              <w:rPr/>
            </w:pPr>
            <w:r>
              <w:rPr/>
              <w:t>1</w:t>
            </w:r>
          </w:p>
        </w:tc>
      </w:tr>
      <w:tr>
        <w:trPr/>
        <w:tc>
          <w:tcPr>
            <w:tcW w:w="9870" w:type="dxa"/>
            <w:tcBorders/>
            <w:vAlign w:val="center"/>
          </w:tcPr>
          <w:p>
            <w:pPr>
              <w:pStyle w:val="TableContents"/>
              <w:bidi w:val="0"/>
              <w:spacing w:before="0" w:after="283"/>
              <w:jc w:val="left"/>
              <w:rPr/>
            </w:pPr>
            <w:hyperlink w:anchor="a_002">
              <w:r>
                <w:rPr>
                  <w:rStyle w:val="InternetLink"/>
                </w:rPr>
                <w:t>Part I. - FINANCIAL INFORMATION</w:t>
              </w:r>
            </w:hyperlink>
          </w:p>
        </w:tc>
        <w:tc>
          <w:tcPr>
            <w:tcW w:w="335" w:type="dxa"/>
            <w:tcBorders/>
            <w:vAlign w:val="center"/>
          </w:tcPr>
          <w:p>
            <w:pPr>
              <w:pStyle w:val="TableContents"/>
              <w:bidi w:val="0"/>
              <w:spacing w:before="0" w:after="283"/>
              <w:ind w:left="0" w:right="0" w:hanging="720"/>
              <w:jc w:val="right"/>
              <w:rPr/>
            </w:pPr>
            <w:r>
              <w:rPr/>
              <w:t>3</w:t>
            </w:r>
          </w:p>
        </w:tc>
      </w:tr>
      <w:tr>
        <w:trPr/>
        <w:tc>
          <w:tcPr>
            <w:tcW w:w="9870" w:type="dxa"/>
            <w:tcBorders/>
            <w:vAlign w:val="center"/>
          </w:tcPr>
          <w:p>
            <w:pPr>
              <w:pStyle w:val="TableContents"/>
              <w:bidi w:val="0"/>
              <w:spacing w:before="0" w:after="283"/>
              <w:jc w:val="left"/>
              <w:rPr/>
            </w:pPr>
            <w:hyperlink w:anchor="a_003">
              <w:r>
                <w:rPr>
                  <w:rStyle w:val="InternetLink"/>
                </w:rPr>
                <w:t>Item 1. - Financial Statements</w:t>
              </w:r>
            </w:hyperlink>
          </w:p>
        </w:tc>
        <w:tc>
          <w:tcPr>
            <w:tcW w:w="335" w:type="dxa"/>
            <w:tcBorders/>
            <w:vAlign w:val="center"/>
          </w:tcPr>
          <w:p>
            <w:pPr>
              <w:pStyle w:val="TableContents"/>
              <w:bidi w:val="0"/>
              <w:spacing w:before="0" w:after="283"/>
              <w:ind w:left="0" w:right="0" w:hanging="1080"/>
              <w:jc w:val="right"/>
              <w:rPr/>
            </w:pPr>
            <w:r>
              <w:rPr/>
              <w:t>3</w:t>
            </w:r>
          </w:p>
        </w:tc>
      </w:tr>
      <w:tr>
        <w:trPr/>
        <w:tc>
          <w:tcPr>
            <w:tcW w:w="9870" w:type="dxa"/>
            <w:tcBorders/>
            <w:vAlign w:val="center"/>
          </w:tcPr>
          <w:p>
            <w:pPr>
              <w:pStyle w:val="TableContents"/>
              <w:bidi w:val="0"/>
              <w:spacing w:before="0" w:after="283"/>
              <w:jc w:val="left"/>
              <w:rPr/>
            </w:pPr>
            <w:hyperlink w:anchor="a_004">
              <w:r>
                <w:rPr>
                  <w:rStyle w:val="InternetLink"/>
                </w:rPr>
                <w:t>Consolidated Balance Sheet – September 30, 2025 (Unaudited) and December 31, 2024</w:t>
              </w:r>
            </w:hyperlink>
          </w:p>
        </w:tc>
        <w:tc>
          <w:tcPr>
            <w:tcW w:w="335" w:type="dxa"/>
            <w:tcBorders/>
            <w:vAlign w:val="center"/>
          </w:tcPr>
          <w:p>
            <w:pPr>
              <w:pStyle w:val="TableContents"/>
              <w:bidi w:val="0"/>
              <w:spacing w:before="0" w:after="283"/>
              <w:ind w:left="0" w:right="0" w:hanging="1080"/>
              <w:jc w:val="right"/>
              <w:rPr/>
            </w:pPr>
            <w:r>
              <w:rPr/>
              <w:t>3</w:t>
            </w:r>
          </w:p>
        </w:tc>
      </w:tr>
      <w:tr>
        <w:trPr/>
        <w:tc>
          <w:tcPr>
            <w:tcW w:w="9870" w:type="dxa"/>
            <w:tcBorders/>
            <w:vAlign w:val="center"/>
          </w:tcPr>
          <w:p>
            <w:pPr>
              <w:pStyle w:val="TableContents"/>
              <w:bidi w:val="0"/>
              <w:spacing w:before="0" w:after="283"/>
              <w:jc w:val="left"/>
              <w:rPr/>
            </w:pPr>
            <w:hyperlink w:anchor="a_005">
              <w:r>
                <w:rPr>
                  <w:rStyle w:val="InternetLink"/>
                </w:rPr>
                <w:t>Consolidated Statements of Operations (Unaudited) – Three Months and Nine Months Ended September 30, 2025 and 2024</w:t>
              </w:r>
            </w:hyperlink>
          </w:p>
        </w:tc>
        <w:tc>
          <w:tcPr>
            <w:tcW w:w="335" w:type="dxa"/>
            <w:tcBorders/>
            <w:vAlign w:val="center"/>
          </w:tcPr>
          <w:p>
            <w:pPr>
              <w:pStyle w:val="TableContents"/>
              <w:bidi w:val="0"/>
              <w:spacing w:before="0" w:after="283"/>
              <w:ind w:left="0" w:right="0" w:hanging="1080"/>
              <w:jc w:val="right"/>
              <w:rPr/>
            </w:pPr>
            <w:r>
              <w:rPr/>
              <w:t>4</w:t>
            </w:r>
          </w:p>
        </w:tc>
      </w:tr>
      <w:tr>
        <w:trPr/>
        <w:tc>
          <w:tcPr>
            <w:tcW w:w="9870" w:type="dxa"/>
            <w:tcBorders/>
            <w:vAlign w:val="center"/>
          </w:tcPr>
          <w:p>
            <w:pPr>
              <w:pStyle w:val="TableContents"/>
              <w:bidi w:val="0"/>
              <w:spacing w:before="0" w:after="283"/>
              <w:jc w:val="left"/>
              <w:rPr/>
            </w:pPr>
            <w:hyperlink w:anchor="a_005">
              <w:r>
                <w:rPr>
                  <w:rStyle w:val="InternetLink"/>
                </w:rPr>
                <w:t>Consolidated Statements of Comprehensive Income (Loss) (Unaudited) – Three Months and Nine Months Ended September 30, 2025 and 2024</w:t>
              </w:r>
            </w:hyperlink>
          </w:p>
        </w:tc>
        <w:tc>
          <w:tcPr>
            <w:tcW w:w="335" w:type="dxa"/>
            <w:tcBorders/>
            <w:vAlign w:val="center"/>
          </w:tcPr>
          <w:p>
            <w:pPr>
              <w:pStyle w:val="TableContents"/>
              <w:bidi w:val="0"/>
              <w:spacing w:before="0" w:after="283"/>
              <w:ind w:left="0" w:right="0" w:hanging="1080"/>
              <w:jc w:val="right"/>
              <w:rPr/>
            </w:pPr>
            <w:r>
              <w:rPr/>
              <w:t>5</w:t>
            </w:r>
          </w:p>
        </w:tc>
      </w:tr>
      <w:tr>
        <w:trPr/>
        <w:tc>
          <w:tcPr>
            <w:tcW w:w="9870" w:type="dxa"/>
            <w:tcBorders/>
            <w:vAlign w:val="center"/>
          </w:tcPr>
          <w:p>
            <w:pPr>
              <w:pStyle w:val="TableContents"/>
              <w:bidi w:val="0"/>
              <w:spacing w:before="0" w:after="283"/>
              <w:jc w:val="left"/>
              <w:rPr/>
            </w:pPr>
            <w:hyperlink w:anchor="a_007">
              <w:r>
                <w:rPr>
                  <w:rStyle w:val="InternetLink"/>
                </w:rPr>
                <w:t>Consolidated Statements of Changes in Shareholders’ Equity (Unaudited) – Three Months and Nine Months Ended September 30, 2025 and 2024</w:t>
              </w:r>
            </w:hyperlink>
          </w:p>
        </w:tc>
        <w:tc>
          <w:tcPr>
            <w:tcW w:w="335" w:type="dxa"/>
            <w:tcBorders/>
            <w:vAlign w:val="center"/>
          </w:tcPr>
          <w:p>
            <w:pPr>
              <w:pStyle w:val="TableContents"/>
              <w:bidi w:val="0"/>
              <w:spacing w:before="0" w:after="283"/>
              <w:ind w:left="0" w:right="0" w:hanging="1080"/>
              <w:jc w:val="right"/>
              <w:rPr/>
            </w:pPr>
            <w:r>
              <w:rPr/>
              <w:t>6</w:t>
            </w:r>
          </w:p>
        </w:tc>
      </w:tr>
      <w:tr>
        <w:trPr/>
        <w:tc>
          <w:tcPr>
            <w:tcW w:w="9870" w:type="dxa"/>
            <w:tcBorders/>
            <w:vAlign w:val="center"/>
          </w:tcPr>
          <w:p>
            <w:pPr>
              <w:pStyle w:val="TableContents"/>
              <w:bidi w:val="0"/>
              <w:spacing w:before="0" w:after="283"/>
              <w:jc w:val="left"/>
              <w:rPr/>
            </w:pPr>
            <w:hyperlink w:anchor="a_008">
              <w:r>
                <w:rPr>
                  <w:rStyle w:val="InternetLink"/>
                </w:rPr>
                <w:t>Consolidated Statements of Cash Flows (Unaudited) – Nine Months Ended September 30, 2025 and 2024</w:t>
              </w:r>
            </w:hyperlink>
          </w:p>
        </w:tc>
        <w:tc>
          <w:tcPr>
            <w:tcW w:w="335" w:type="dxa"/>
            <w:tcBorders/>
            <w:vAlign w:val="center"/>
          </w:tcPr>
          <w:p>
            <w:pPr>
              <w:pStyle w:val="TableContents"/>
              <w:bidi w:val="0"/>
              <w:spacing w:before="0" w:after="283"/>
              <w:ind w:left="0" w:right="0" w:hanging="1080"/>
              <w:jc w:val="right"/>
              <w:rPr/>
            </w:pPr>
            <w:r>
              <w:rPr/>
              <w:t>8</w:t>
            </w:r>
          </w:p>
        </w:tc>
      </w:tr>
      <w:tr>
        <w:trPr/>
        <w:tc>
          <w:tcPr>
            <w:tcW w:w="9870" w:type="dxa"/>
            <w:tcBorders/>
            <w:vAlign w:val="center"/>
          </w:tcPr>
          <w:p>
            <w:pPr>
              <w:pStyle w:val="TableContents"/>
              <w:bidi w:val="0"/>
              <w:spacing w:before="0" w:after="283"/>
              <w:jc w:val="left"/>
              <w:rPr/>
            </w:pPr>
            <w:hyperlink w:anchor="a_019">
              <w:r>
                <w:rPr>
                  <w:rStyle w:val="InternetLink"/>
                </w:rPr>
                <w:t>Notes to Unaudited Consolidated Financial Statements</w:t>
              </w:r>
            </w:hyperlink>
          </w:p>
        </w:tc>
        <w:tc>
          <w:tcPr>
            <w:tcW w:w="335" w:type="dxa"/>
            <w:tcBorders/>
            <w:vAlign w:val="center"/>
          </w:tcPr>
          <w:p>
            <w:pPr>
              <w:pStyle w:val="TableContents"/>
              <w:bidi w:val="0"/>
              <w:spacing w:before="0" w:after="283"/>
              <w:ind w:left="0" w:right="0" w:hanging="720"/>
              <w:jc w:val="right"/>
              <w:rPr/>
            </w:pPr>
            <w:r>
              <w:rPr/>
              <w:t>9</w:t>
            </w:r>
          </w:p>
        </w:tc>
      </w:tr>
      <w:tr>
        <w:trPr/>
        <w:tc>
          <w:tcPr>
            <w:tcW w:w="9870" w:type="dxa"/>
            <w:tcBorders/>
            <w:vAlign w:val="center"/>
          </w:tcPr>
          <w:p>
            <w:pPr>
              <w:pStyle w:val="TableContents"/>
              <w:bidi w:val="0"/>
              <w:spacing w:before="0" w:after="283"/>
              <w:jc w:val="left"/>
              <w:rPr/>
            </w:pPr>
            <w:hyperlink w:anchor="a_009">
              <w:r>
                <w:rPr>
                  <w:rStyle w:val="InternetLink"/>
                </w:rPr>
                <w:t>Item 2. - Management’s Discussion and Analysis of Financial Condition and Results of Operations</w:t>
              </w:r>
            </w:hyperlink>
          </w:p>
        </w:tc>
        <w:tc>
          <w:tcPr>
            <w:tcW w:w="335" w:type="dxa"/>
            <w:tcBorders/>
            <w:vAlign w:val="center"/>
          </w:tcPr>
          <w:p>
            <w:pPr>
              <w:pStyle w:val="TableContents"/>
              <w:bidi w:val="0"/>
              <w:spacing w:before="0" w:after="283"/>
              <w:ind w:left="0" w:right="0" w:hanging="720"/>
              <w:jc w:val="right"/>
              <w:rPr/>
            </w:pPr>
            <w:r>
              <w:rPr/>
              <w:t>37</w:t>
            </w:r>
          </w:p>
        </w:tc>
      </w:tr>
      <w:tr>
        <w:trPr/>
        <w:tc>
          <w:tcPr>
            <w:tcW w:w="9870" w:type="dxa"/>
            <w:tcBorders/>
            <w:vAlign w:val="center"/>
          </w:tcPr>
          <w:p>
            <w:pPr>
              <w:pStyle w:val="TableContents"/>
              <w:bidi w:val="0"/>
              <w:spacing w:before="0" w:after="283"/>
              <w:jc w:val="left"/>
              <w:rPr/>
            </w:pPr>
            <w:hyperlink w:anchor="a_020">
              <w:r>
                <w:rPr>
                  <w:rStyle w:val="InternetLink"/>
                </w:rPr>
                <w:t>Item 3. - Quantitative and Qualitative Disclosures about Market Risk</w:t>
              </w:r>
            </w:hyperlink>
          </w:p>
        </w:tc>
        <w:tc>
          <w:tcPr>
            <w:tcW w:w="335" w:type="dxa"/>
            <w:tcBorders/>
            <w:vAlign w:val="center"/>
          </w:tcPr>
          <w:p>
            <w:pPr>
              <w:pStyle w:val="TableContents"/>
              <w:bidi w:val="0"/>
              <w:spacing w:before="0" w:after="283"/>
              <w:ind w:left="0" w:right="0" w:hanging="720"/>
              <w:jc w:val="right"/>
              <w:rPr/>
            </w:pPr>
            <w:r>
              <w:rPr/>
              <w:t>46</w:t>
            </w:r>
          </w:p>
        </w:tc>
      </w:tr>
      <w:tr>
        <w:trPr/>
        <w:tc>
          <w:tcPr>
            <w:tcW w:w="9870" w:type="dxa"/>
            <w:tcBorders/>
            <w:vAlign w:val="center"/>
          </w:tcPr>
          <w:p>
            <w:pPr>
              <w:pStyle w:val="TableContents"/>
              <w:bidi w:val="0"/>
              <w:spacing w:before="0" w:after="283"/>
              <w:jc w:val="left"/>
              <w:rPr/>
            </w:pPr>
            <w:hyperlink w:anchor="a_021">
              <w:r>
                <w:rPr>
                  <w:rStyle w:val="InternetLink"/>
                </w:rPr>
                <w:t>Item 4. - Controls and Procedures</w:t>
              </w:r>
            </w:hyperlink>
          </w:p>
        </w:tc>
        <w:tc>
          <w:tcPr>
            <w:tcW w:w="335" w:type="dxa"/>
            <w:tcBorders/>
            <w:vAlign w:val="center"/>
          </w:tcPr>
          <w:p>
            <w:pPr>
              <w:pStyle w:val="TableContents"/>
              <w:bidi w:val="0"/>
              <w:spacing w:before="0" w:after="283"/>
              <w:jc w:val="right"/>
              <w:rPr/>
            </w:pPr>
            <w:r>
              <w:rPr/>
              <w:t>46</w:t>
            </w:r>
          </w:p>
        </w:tc>
      </w:tr>
      <w:tr>
        <w:trPr/>
        <w:tc>
          <w:tcPr>
            <w:tcW w:w="9870" w:type="dxa"/>
            <w:tcBorders/>
            <w:vAlign w:val="center"/>
          </w:tcPr>
          <w:p>
            <w:pPr>
              <w:pStyle w:val="TableContents"/>
              <w:bidi w:val="0"/>
              <w:spacing w:before="0" w:after="283"/>
              <w:jc w:val="left"/>
              <w:rPr/>
            </w:pPr>
            <w:hyperlink w:anchor="a_010">
              <w:r>
                <w:rPr>
                  <w:rStyle w:val="InternetLink"/>
                </w:rPr>
                <w:t>Part II. - OTHER INFORMATION</w:t>
              </w:r>
            </w:hyperlink>
          </w:p>
        </w:tc>
        <w:tc>
          <w:tcPr>
            <w:tcW w:w="335" w:type="dxa"/>
            <w:tcBorders/>
            <w:vAlign w:val="center"/>
          </w:tcPr>
          <w:p>
            <w:pPr>
              <w:pStyle w:val="TableContents"/>
              <w:bidi w:val="0"/>
              <w:spacing w:before="0" w:after="283"/>
              <w:ind w:left="0" w:right="0" w:hanging="720"/>
              <w:jc w:val="right"/>
              <w:rPr/>
            </w:pPr>
            <w:r>
              <w:rPr/>
              <w:t>47</w:t>
            </w:r>
          </w:p>
        </w:tc>
      </w:tr>
      <w:tr>
        <w:trPr/>
        <w:tc>
          <w:tcPr>
            <w:tcW w:w="9870" w:type="dxa"/>
            <w:tcBorders/>
            <w:vAlign w:val="center"/>
          </w:tcPr>
          <w:p>
            <w:pPr>
              <w:pStyle w:val="TableContents"/>
              <w:bidi w:val="0"/>
              <w:spacing w:before="0" w:after="283"/>
              <w:jc w:val="left"/>
              <w:rPr/>
            </w:pPr>
            <w:hyperlink w:anchor="a_011">
              <w:r>
                <w:rPr>
                  <w:rStyle w:val="InternetLink"/>
                </w:rPr>
                <w:t>Item 1. - Legal Proceedings</w:t>
              </w:r>
            </w:hyperlink>
          </w:p>
        </w:tc>
        <w:tc>
          <w:tcPr>
            <w:tcW w:w="335" w:type="dxa"/>
            <w:tcBorders/>
            <w:vAlign w:val="center"/>
          </w:tcPr>
          <w:p>
            <w:pPr>
              <w:pStyle w:val="TableContents"/>
              <w:bidi w:val="0"/>
              <w:spacing w:before="0" w:after="283"/>
              <w:ind w:left="0" w:right="0" w:hanging="720"/>
              <w:jc w:val="right"/>
              <w:rPr/>
            </w:pPr>
            <w:r>
              <w:rPr/>
              <w:t>47</w:t>
            </w:r>
          </w:p>
        </w:tc>
      </w:tr>
      <w:tr>
        <w:trPr/>
        <w:tc>
          <w:tcPr>
            <w:tcW w:w="9870" w:type="dxa"/>
            <w:tcBorders/>
            <w:vAlign w:val="center"/>
          </w:tcPr>
          <w:p>
            <w:pPr>
              <w:pStyle w:val="TableContents"/>
              <w:bidi w:val="0"/>
              <w:spacing w:before="0" w:after="283"/>
              <w:jc w:val="left"/>
              <w:rPr/>
            </w:pPr>
            <w:hyperlink w:anchor="a_012">
              <w:r>
                <w:rPr>
                  <w:rStyle w:val="InternetLink"/>
                </w:rPr>
                <w:t>Item 1A. - Risk Factors</w:t>
              </w:r>
            </w:hyperlink>
          </w:p>
        </w:tc>
        <w:tc>
          <w:tcPr>
            <w:tcW w:w="335" w:type="dxa"/>
            <w:tcBorders/>
            <w:vAlign w:val="center"/>
          </w:tcPr>
          <w:p>
            <w:pPr>
              <w:pStyle w:val="TableContents"/>
              <w:bidi w:val="0"/>
              <w:spacing w:before="0" w:after="283"/>
              <w:ind w:left="0" w:right="0" w:hanging="720"/>
              <w:jc w:val="right"/>
              <w:rPr/>
            </w:pPr>
            <w:r>
              <w:rPr/>
              <w:t>47</w:t>
            </w:r>
          </w:p>
        </w:tc>
      </w:tr>
      <w:tr>
        <w:trPr/>
        <w:tc>
          <w:tcPr>
            <w:tcW w:w="9870" w:type="dxa"/>
            <w:tcBorders/>
            <w:vAlign w:val="center"/>
          </w:tcPr>
          <w:p>
            <w:pPr>
              <w:pStyle w:val="TableContents"/>
              <w:bidi w:val="0"/>
              <w:spacing w:before="0" w:after="283"/>
              <w:jc w:val="left"/>
              <w:rPr/>
            </w:pPr>
            <w:hyperlink w:anchor="a_013">
              <w:r>
                <w:rPr>
                  <w:rStyle w:val="InternetLink"/>
                </w:rPr>
                <w:t>Item 2. - Unregistered Sales of Equity Securities and Use of Proceeds</w:t>
              </w:r>
            </w:hyperlink>
          </w:p>
        </w:tc>
        <w:tc>
          <w:tcPr>
            <w:tcW w:w="335" w:type="dxa"/>
            <w:tcBorders/>
            <w:vAlign w:val="center"/>
          </w:tcPr>
          <w:p>
            <w:pPr>
              <w:pStyle w:val="TableContents"/>
              <w:bidi w:val="0"/>
              <w:spacing w:before="0" w:after="283"/>
              <w:ind w:left="0" w:right="0" w:hanging="720"/>
              <w:jc w:val="right"/>
              <w:rPr/>
            </w:pPr>
            <w:r>
              <w:rPr/>
              <w:t>48</w:t>
            </w:r>
          </w:p>
        </w:tc>
      </w:tr>
      <w:tr>
        <w:trPr/>
        <w:tc>
          <w:tcPr>
            <w:tcW w:w="9870" w:type="dxa"/>
            <w:tcBorders/>
            <w:vAlign w:val="center"/>
          </w:tcPr>
          <w:p>
            <w:pPr>
              <w:pStyle w:val="TableContents"/>
              <w:bidi w:val="0"/>
              <w:spacing w:before="0" w:after="283"/>
              <w:jc w:val="left"/>
              <w:rPr/>
            </w:pPr>
            <w:hyperlink w:anchor="a_014">
              <w:r>
                <w:rPr>
                  <w:rStyle w:val="InternetLink"/>
                </w:rPr>
                <w:t>Item 3. - Defaults upon Senior Securities</w:t>
              </w:r>
            </w:hyperlink>
          </w:p>
        </w:tc>
        <w:tc>
          <w:tcPr>
            <w:tcW w:w="335" w:type="dxa"/>
            <w:tcBorders/>
            <w:vAlign w:val="center"/>
          </w:tcPr>
          <w:p>
            <w:pPr>
              <w:pStyle w:val="TableContents"/>
              <w:bidi w:val="0"/>
              <w:spacing w:before="0" w:after="283"/>
              <w:ind w:left="0" w:right="0" w:hanging="720"/>
              <w:jc w:val="right"/>
              <w:rPr/>
            </w:pPr>
            <w:r>
              <w:rPr/>
              <w:t>48</w:t>
            </w:r>
          </w:p>
        </w:tc>
      </w:tr>
      <w:tr>
        <w:trPr/>
        <w:tc>
          <w:tcPr>
            <w:tcW w:w="9870" w:type="dxa"/>
            <w:tcBorders/>
            <w:vAlign w:val="center"/>
          </w:tcPr>
          <w:p>
            <w:pPr>
              <w:pStyle w:val="TableContents"/>
              <w:bidi w:val="0"/>
              <w:spacing w:before="0" w:after="283"/>
              <w:jc w:val="left"/>
              <w:rPr/>
            </w:pPr>
            <w:hyperlink w:anchor="a_015">
              <w:r>
                <w:rPr>
                  <w:rStyle w:val="InternetLink"/>
                </w:rPr>
                <w:t>Item 4. - Mine Safety Disclosures</w:t>
              </w:r>
            </w:hyperlink>
          </w:p>
        </w:tc>
        <w:tc>
          <w:tcPr>
            <w:tcW w:w="335" w:type="dxa"/>
            <w:tcBorders/>
            <w:vAlign w:val="center"/>
          </w:tcPr>
          <w:p>
            <w:pPr>
              <w:pStyle w:val="TableContents"/>
              <w:bidi w:val="0"/>
              <w:spacing w:before="0" w:after="283"/>
              <w:ind w:left="0" w:right="0" w:hanging="720"/>
              <w:jc w:val="right"/>
              <w:rPr/>
            </w:pPr>
            <w:r>
              <w:rPr/>
              <w:t>48</w:t>
            </w:r>
          </w:p>
        </w:tc>
      </w:tr>
      <w:tr>
        <w:trPr/>
        <w:tc>
          <w:tcPr>
            <w:tcW w:w="9870" w:type="dxa"/>
            <w:tcBorders/>
            <w:vAlign w:val="center"/>
          </w:tcPr>
          <w:p>
            <w:pPr>
              <w:pStyle w:val="TableContents"/>
              <w:bidi w:val="0"/>
              <w:spacing w:before="0" w:after="283"/>
              <w:jc w:val="left"/>
              <w:rPr/>
            </w:pPr>
            <w:hyperlink w:anchor="a_016">
              <w:r>
                <w:rPr>
                  <w:rStyle w:val="InternetLink"/>
                </w:rPr>
                <w:t>Item 5. - Other Information</w:t>
              </w:r>
            </w:hyperlink>
          </w:p>
        </w:tc>
        <w:tc>
          <w:tcPr>
            <w:tcW w:w="335" w:type="dxa"/>
            <w:tcBorders/>
            <w:vAlign w:val="center"/>
          </w:tcPr>
          <w:p>
            <w:pPr>
              <w:pStyle w:val="TableContents"/>
              <w:bidi w:val="0"/>
              <w:spacing w:before="0" w:after="283"/>
              <w:ind w:left="0" w:right="0" w:hanging="720"/>
              <w:jc w:val="right"/>
              <w:rPr/>
            </w:pPr>
            <w:r>
              <w:rPr/>
              <w:t>48</w:t>
            </w:r>
          </w:p>
        </w:tc>
      </w:tr>
      <w:tr>
        <w:trPr/>
        <w:tc>
          <w:tcPr>
            <w:tcW w:w="9870" w:type="dxa"/>
            <w:tcBorders/>
            <w:vAlign w:val="center"/>
          </w:tcPr>
          <w:p>
            <w:pPr>
              <w:pStyle w:val="TableContents"/>
              <w:bidi w:val="0"/>
              <w:spacing w:before="0" w:after="283"/>
              <w:jc w:val="left"/>
              <w:rPr/>
            </w:pPr>
            <w:hyperlink w:anchor="a_017">
              <w:r>
                <w:rPr>
                  <w:rStyle w:val="InternetLink"/>
                </w:rPr>
                <w:t>Item 6. - Exhibits</w:t>
              </w:r>
            </w:hyperlink>
          </w:p>
        </w:tc>
        <w:tc>
          <w:tcPr>
            <w:tcW w:w="335" w:type="dxa"/>
            <w:tcBorders/>
            <w:vAlign w:val="center"/>
          </w:tcPr>
          <w:p>
            <w:pPr>
              <w:pStyle w:val="TableContents"/>
              <w:bidi w:val="0"/>
              <w:spacing w:before="0" w:after="283"/>
              <w:ind w:left="0" w:right="0" w:hanging="720"/>
              <w:jc w:val="right"/>
              <w:rPr/>
            </w:pPr>
            <w:r>
              <w:rPr/>
              <w:t>49</w:t>
            </w:r>
          </w:p>
        </w:tc>
      </w:tr>
      <w:tr>
        <w:trPr/>
        <w:tc>
          <w:tcPr>
            <w:tcW w:w="9870" w:type="dxa"/>
            <w:tcBorders/>
            <w:vAlign w:val="center"/>
          </w:tcPr>
          <w:p>
            <w:pPr>
              <w:pStyle w:val="TableContents"/>
              <w:bidi w:val="0"/>
              <w:spacing w:before="0" w:after="283"/>
              <w:jc w:val="left"/>
              <w:rPr/>
            </w:pPr>
            <w:hyperlink w:anchor="a_018">
              <w:r>
                <w:rPr>
                  <w:rStyle w:val="InternetLink"/>
                </w:rPr>
                <w:t>Signatures</w:t>
              </w:r>
            </w:hyperlink>
          </w:p>
        </w:tc>
        <w:tc>
          <w:tcPr>
            <w:tcW w:w="335" w:type="dxa"/>
            <w:tcBorders/>
            <w:vAlign w:val="center"/>
          </w:tcPr>
          <w:p>
            <w:pPr>
              <w:pStyle w:val="TableContents"/>
              <w:bidi w:val="0"/>
              <w:spacing w:before="0" w:after="283"/>
              <w:jc w:val="right"/>
              <w:rPr/>
            </w:pPr>
            <w:r>
              <w:rPr/>
              <w:t>50</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6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IMPORTANT INFORMATION</w:t>
      </w:r>
    </w:p>
    <w:p>
      <w:pPr>
        <w:pStyle w:val="TextBody"/>
        <w:bidi w:val="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as used in this Quarterly Report on Form 10-Q (“Form 10-Q”):</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w:t>
            </w:r>
            <w:r>
              <w:rPr/>
              <w:t>NI Holdings,” “the Company,” “we,” “us,” and “our” refer to NI Holdings, Inc., together with Nodak Insurance Company and its subsidiaries, Direct Auto Insurance Company, and Westminster American Insurance Company (sold on June 30, 2024), for periods discussed after completion of the conversion;</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the “Nodak conversion” refers to the series of transactions consummated on March 13, 2017, by which Nodak Mutual Insurance Company converted from a mutual insurance company to a stock insurance company, as Nodak Insurance Company, and became a wholly-owned subsidiary of NI Holdings, an intermediate stock holding company formed on the date of conversion;</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w:t>
            </w:r>
            <w:r>
              <w:rPr/>
              <w:t>Nodak Mutual Group” refers to Nodak Mutual Group, Inc., which is the majority shareholder of NI Holdings;</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w:t>
            </w:r>
            <w:r>
              <w:rPr/>
              <w:t>Nodak Mutual Insurance Company” is the predecessor company to Nodak Insurance Company prior to the conversion;</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w:t>
            </w:r>
            <w:r>
              <w:rPr/>
              <w:t>Nodak Insurance” refers to Nodak Insurance Company or Nodak Mutual Insurance Company interchangeably;</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w:t>
            </w:r>
            <w:r>
              <w:rPr/>
              <w:t>Battle Creek” refers to Battle Creek Mutual Insurance Company or Battle Creek Insurance Company interchangeably. Battle Creek Mutual Insurance Company became affiliated with Nodak Insurance in 2011 and, prior to January 2, 2024, was controlled by Nodak Insurance via a surplus note. The terms of the surplus note allowed Nodak Insurance to appoint two-thirds of the Battle Creek Mutual Insurance Company Board of Directors. As of January 2, 2024, the North Dakota Secretary of State approved the conversion of Battle Creek Mutual Insurance Company from a mutual insurance company to a stock insurance company. In accordance with the approved plan of conversion, the name of Battle Creek Mutual Insurance Company became Battle Creek Insurance Company, the surplus note was considered paid in full as of the conversion date, and Battle Creek became a wholly-owned subsidiary of Nodak Insurance;</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w:t>
            </w:r>
            <w:r>
              <w:rPr/>
              <w:t>Direct Auto” refers to Direct Auto Insurance Company. Direct Auto is a wholly-owned subsidiary of NI Holdings;</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w:t>
            </w:r>
            <w:r>
              <w:rPr/>
              <w:t>American West” refers to American West Insurance Company. American West is a wholly-owned subsidiary of Nodak Insurance;</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w:t>
            </w:r>
            <w:r>
              <w:rPr/>
              <w:t>Primero” refers to Primero Insurance Company. Primero is an indirect, wholly-owned subsidiary of Nodak Insurance;</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w:t>
            </w:r>
            <w:r>
              <w:rPr/>
              <w:t>Westminster” refers to Westminster American Insurance Company. Westminster was a wholly-owned subsidiary of NI Holdings until it was sold to Scott Insurance Holdings, LLC (“Scott Insurance Holdings”) on June 30, 2024; and</w:t>
            </w:r>
          </w:p>
        </w:tc>
      </w:tr>
    </w:tbl>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w:t>
            </w:r>
            <w:r>
              <w:rPr/>
              <w:t>Nodak Agency” refers to Nodak Agency, Inc. Nodak Agency is a wholly-owned subsidiary of Nodak Insurance.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and management may make, certain “forward-looking statements” within the meaning of the Private Securities Litigation Reform Act of 1995. All statements, other than statements of historical facts, may be forward-looking statements. Words such as “may,” “will,” “should,” “likely,” “anticipates,” “expects,” “intends,” “plans,” “projects,” “believes,” “views,” “estimates,” and similar expressions are used to identify these forward-looking statements. These statements include, among other things, the Company’s statements about:</w:t>
      </w:r>
    </w:p>
    <w:tbl>
      <w:tblPr>
        <w:tblW w:w="5000" w:type="pct"/>
        <w:jc w:val="left"/>
        <w:tblInd w:w="0" w:type="dxa"/>
        <w:tblLayout w:type="fixed"/>
        <w:tblCellMar>
          <w:top w:w="0" w:type="dxa"/>
          <w:left w:w="0" w:type="dxa"/>
          <w:bottom w:w="0" w:type="dxa"/>
          <w:right w:w="0" w:type="dxa"/>
        </w:tblCellMar>
      </w:tblPr>
      <w:tblGrid>
        <w:gridCol w:w="84"/>
        <w:gridCol w:w="250"/>
        <w:gridCol w:w="9871"/>
      </w:tblGrid>
      <w:tr>
        <w:trPr/>
        <w:tc>
          <w:tcPr>
            <w:tcW w:w="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w:t>
            </w:r>
          </w:p>
        </w:tc>
        <w:tc>
          <w:tcPr>
            <w:tcW w:w="9871" w:type="dxa"/>
            <w:tcBorders/>
            <w:vAlign w:val="center"/>
          </w:tcPr>
          <w:p>
            <w:pPr>
              <w:pStyle w:val="TableContents"/>
              <w:bidi w:val="0"/>
              <w:spacing w:before="0" w:after="283"/>
              <w:jc w:val="left"/>
              <w:rPr/>
            </w:pPr>
            <w:r>
              <w:rPr/>
              <w:t>our anticipated operating and financial performance, business plans, and prospects;</w:t>
            </w:r>
          </w:p>
        </w:tc>
      </w:tr>
    </w:tbl>
    <w:tbl>
      <w:tblPr>
        <w:tblW w:w="5000" w:type="pct"/>
        <w:jc w:val="left"/>
        <w:tblInd w:w="0" w:type="dxa"/>
        <w:tblLayout w:type="fixed"/>
        <w:tblCellMar>
          <w:top w:w="0" w:type="dxa"/>
          <w:left w:w="0" w:type="dxa"/>
          <w:bottom w:w="0" w:type="dxa"/>
          <w:right w:w="0" w:type="dxa"/>
        </w:tblCellMar>
      </w:tblPr>
      <w:tblGrid>
        <w:gridCol w:w="87"/>
        <w:gridCol w:w="257"/>
        <w:gridCol w:w="9861"/>
      </w:tblGrid>
      <w:tr>
        <w:trPr/>
        <w:tc>
          <w:tcPr>
            <w:tcW w:w="8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61" w:type="dxa"/>
            <w:tcBorders/>
            <w:vAlign w:val="center"/>
          </w:tcPr>
          <w:p>
            <w:pPr>
              <w:pStyle w:val="TableContents"/>
              <w:bidi w:val="0"/>
              <w:spacing w:before="0" w:after="283"/>
              <w:jc w:val="left"/>
              <w:rPr/>
            </w:pPr>
            <w:r>
              <w:rPr/>
              <w:t>strategic reviews, capital allocation objectives, dividends, and share repurchases;</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plans for and prospects of acquisitions, dispositions, and other business development activities, and our ability to successfully capitalize on these opportunities;</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the impact of a future pandemic and related economic conditions, including the potential impact on the Company's investments;</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our ability to enter new markets successfully and capitalize on growth opportunities either through acquisitions or the expansion of our distribution network;</w:t>
            </w:r>
          </w:p>
        </w:tc>
      </w:tr>
    </w:tbl>
    <w:tbl>
      <w:tblPr>
        <w:tblW w:w="5000" w:type="pct"/>
        <w:jc w:val="left"/>
        <w:tblInd w:w="0" w:type="dxa"/>
        <w:tblLayout w:type="fixed"/>
        <w:tblCellMar>
          <w:top w:w="0" w:type="dxa"/>
          <w:left w:w="0" w:type="dxa"/>
          <w:bottom w:w="0" w:type="dxa"/>
          <w:right w:w="0" w:type="dxa"/>
        </w:tblCellMar>
      </w:tblPr>
      <w:tblGrid>
        <w:gridCol w:w="74"/>
        <w:gridCol w:w="218"/>
        <w:gridCol w:w="9913"/>
      </w:tblGrid>
      <w:tr>
        <w:trPr/>
        <w:tc>
          <w:tcPr>
            <w:tcW w:w="7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w:t>
            </w:r>
          </w:p>
        </w:tc>
        <w:tc>
          <w:tcPr>
            <w:tcW w:w="9913" w:type="dxa"/>
            <w:tcBorders/>
            <w:vAlign w:val="center"/>
          </w:tcPr>
          <w:p>
            <w:pPr>
              <w:pStyle w:val="TableContents"/>
              <w:bidi w:val="0"/>
              <w:spacing w:before="0" w:after="283"/>
              <w:jc w:val="left"/>
              <w:rPr/>
            </w:pPr>
            <w:r>
              <w:rPr/>
              <w:t>cyclical changes in the insurance industry, competition, innovation, and emerging technologies;</w:t>
            </w:r>
          </w:p>
        </w:tc>
      </w:tr>
    </w:tbl>
    <w:tbl>
      <w:tblPr>
        <w:tblW w:w="5000" w:type="pct"/>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w:t>
            </w:r>
          </w:p>
        </w:tc>
        <w:tc>
          <w:tcPr>
            <w:tcW w:w="9908" w:type="dxa"/>
            <w:tcBorders/>
            <w:vAlign w:val="center"/>
          </w:tcPr>
          <w:p>
            <w:pPr>
              <w:pStyle w:val="TableContents"/>
              <w:bidi w:val="0"/>
              <w:spacing w:before="0" w:after="283"/>
              <w:jc w:val="left"/>
              <w:rPr/>
            </w:pPr>
            <w:r>
              <w:rPr/>
              <w:t>expectations for the impact of, or changes to, existing or new government regulations or laws;</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our ability to anticipate and respond to macroeconomic, geopolitical, health and industry trends, pandemics, acts of war, government shutdowns, and other large-scale crises;</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developments in general economic conditions (including the impact of tariffs and changes in tax laws), domestic and global financial markets, interest rates, unemployment, or inflation, that could affect the performance of our insurance operations and/or investment portfolio; and</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our ability to effectively manage future growth, including additional necessary capital, systems, and personnel.</w:t>
            </w:r>
          </w:p>
        </w:tc>
      </w:tr>
    </w:tbl>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their nature, we cannot assure that any outcome expressed in these or other forward-looking statements will be realized in whole or in part. Actual outcomes may vary materially from past results and those anticipated, estimated, implied, or projected. These forward-looking statements may be affected by underlying assumptions that may prove inaccurate or incomplete, or by known or unknown risks and uncertainties, including those described in Part II, Item 1A, “Risk Factors” of this Quarterly Report on Form 10-Q (“Form 10-Q”) and in the Part I, Item 1A, “Risk Factors” section in our Annual Report on Form 10-K for the year ended December 31, 2024 (“2024 Annual Report”). The occurrence of any of the risks identified in the Part I, Item 1A, “Risk Factors” section of the 2024 Annual Report, or other risks currently unknown, could have a material adverse effect on our business, financial condition or results of operations, or we may be required to increase our accruals for contingencies. It is not possible to predict or identify all such factors. Consequently, you should not consider such discussion to be a complete discussion of all potential risks or uncertainties.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you are cautioned not to unduly rely on forward-looking statements, which speak only as of the date of this Form 10-Q. We undertake no obligation to update forward-looking statements, whether as a result of new information, future events or otherwise, except as required by applicable securities law. You are advised, however, to consult any further disclosures we make on related subjects.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1. -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except par value)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39"/>
        <w:gridCol w:w="90"/>
        <w:gridCol w:w="248"/>
        <w:gridCol w:w="1217"/>
        <w:gridCol w:w="125"/>
        <w:gridCol w:w="90"/>
        <w:gridCol w:w="277"/>
        <w:gridCol w:w="1359"/>
        <w:gridCol w:w="360"/>
      </w:tblGrid>
      <w:tr>
        <w:trPr/>
        <w:tc>
          <w:tcPr>
            <w:tcW w:w="64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360" w:type="dxa"/>
            <w:tcBorders/>
            <w:vAlign w:val="center"/>
          </w:tcPr>
          <w:p>
            <w:pPr>
              <w:pStyle w:val="TableContents"/>
              <w:bidi w:val="0"/>
              <w:spacing w:before="0" w:after="283"/>
              <w:jc w:val="left"/>
              <w:rPr/>
            </w:pPr>
            <w:r>
              <w:rPr/>
              <w:t> </w:t>
            </w:r>
          </w:p>
        </w:tc>
      </w:tr>
      <w:tr>
        <w:trPr/>
        <w:tc>
          <w:tcPr>
            <w:tcW w:w="64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5" w:type="dxa"/>
            <w:gridSpan w:val="2"/>
            <w:tcBorders/>
            <w:vAlign w:val="center"/>
          </w:tcPr>
          <w:p>
            <w:pPr>
              <w:pStyle w:val="TableContents"/>
              <w:bidi w:val="0"/>
              <w:spacing w:before="0" w:after="283"/>
              <w:jc w:val="center"/>
              <w:rPr/>
            </w:pPr>
            <w:r>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6" w:type="dxa"/>
            <w:gridSpan w:val="2"/>
            <w:tcBorders/>
            <w:vAlign w:val="center"/>
          </w:tcPr>
          <w:p>
            <w:pPr>
              <w:pStyle w:val="TableContents"/>
              <w:bidi w:val="0"/>
              <w:spacing w:before="0" w:after="283"/>
              <w:jc w:val="center"/>
              <w:rPr/>
            </w:pPr>
            <w:r>
              <w:rPr/>
              <w:t> </w:t>
            </w:r>
          </w:p>
        </w:tc>
        <w:tc>
          <w:tcPr>
            <w:tcW w:w="360" w:type="dxa"/>
            <w:tcBorders/>
            <w:vAlign w:val="center"/>
          </w:tcPr>
          <w:p>
            <w:pPr>
              <w:pStyle w:val="TableContents"/>
              <w:bidi w:val="0"/>
              <w:spacing w:before="0" w:after="283"/>
              <w:ind w:left="0" w:right="0" w:hanging="216"/>
              <w:jc w:val="left"/>
              <w:rPr/>
            </w:pPr>
            <w:r>
              <w:rPr/>
              <w:t> </w:t>
            </w:r>
          </w:p>
        </w:tc>
      </w:tr>
      <w:tr>
        <w:trPr/>
        <w:tc>
          <w:tcPr>
            <w:tcW w:w="6439" w:type="dxa"/>
            <w:tcBorders/>
            <w:shd w:fill="CCEEFF" w:val="clear"/>
            <w:vAlign w:val="center"/>
          </w:tcPr>
          <w:p>
            <w:pPr>
              <w:pStyle w:val="TableContents"/>
              <w:bidi w:val="0"/>
              <w:spacing w:before="0" w:after="283"/>
              <w:jc w:val="left"/>
              <w:rPr/>
            </w:pPr>
            <w:r>
              <w:rPr/>
              <w:t>Assets:</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360" w:type="dxa"/>
            <w:tcBorders/>
            <w:shd w:fill="CCEEFF" w:val="clear"/>
            <w:vAlign w:val="center"/>
          </w:tcPr>
          <w:p>
            <w:pPr>
              <w:pStyle w:val="TableContents"/>
              <w:bidi w:val="0"/>
              <w:spacing w:before="0" w:after="283"/>
              <w:jc w:val="left"/>
              <w:rPr/>
            </w:pPr>
            <w:r>
              <w:rPr/>
              <w:t> </w:t>
            </w:r>
          </w:p>
        </w:tc>
      </w:tr>
      <w:tr>
        <w:trPr/>
        <w:tc>
          <w:tcPr>
            <w:tcW w:w="6439" w:type="dxa"/>
            <w:tcBorders/>
            <w:vAlign w:val="center"/>
          </w:tcPr>
          <w:p>
            <w:pPr>
              <w:pStyle w:val="TableContents"/>
              <w:bidi w:val="0"/>
              <w:spacing w:before="0" w:after="283"/>
              <w:jc w:val="left"/>
              <w:rPr/>
            </w:pPr>
            <w:r>
              <w:rPr/>
              <w:t>Cash and cash equivalents</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jc w:val="right"/>
              <w:rPr/>
            </w:pPr>
            <w:r>
              <w:rPr/>
              <w:t>24,653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50,930</w:t>
            </w:r>
          </w:p>
        </w:tc>
        <w:tc>
          <w:tcPr>
            <w:tcW w:w="360" w:type="dxa"/>
            <w:tcBorders/>
            <w:vAlign w:val="center"/>
          </w:tcPr>
          <w:p>
            <w:pPr>
              <w:pStyle w:val="TableContents"/>
              <w:bidi w:val="0"/>
              <w:spacing w:before="0" w:after="283"/>
              <w:jc w:val="left"/>
              <w:rPr/>
            </w:pPr>
            <w:r>
              <w:rPr/>
              <w:t> </w:t>
            </w:r>
          </w:p>
        </w:tc>
      </w:tr>
      <w:tr>
        <w:trPr/>
        <w:tc>
          <w:tcPr>
            <w:tcW w:w="6439" w:type="dxa"/>
            <w:tcBorders/>
            <w:shd w:fill="CCEEFF" w:val="clear"/>
            <w:vAlign w:val="center"/>
          </w:tcPr>
          <w:p>
            <w:pPr>
              <w:pStyle w:val="TableContents"/>
              <w:bidi w:val="0"/>
              <w:spacing w:before="0" w:after="283"/>
              <w:jc w:val="left"/>
              <w:rPr/>
            </w:pPr>
            <w:r>
              <w:rPr/>
              <w:t>Fixed income securities, at fair value (net of allowance for expected credit losses of $0 at September 30, 2025 and December 31, 2024)</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314,771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307,712</w:t>
            </w:r>
          </w:p>
        </w:tc>
        <w:tc>
          <w:tcPr>
            <w:tcW w:w="360" w:type="dxa"/>
            <w:tcBorders/>
            <w:shd w:fill="CCEEFF" w:val="clear"/>
            <w:vAlign w:val="center"/>
          </w:tcPr>
          <w:p>
            <w:pPr>
              <w:pStyle w:val="TableContents"/>
              <w:bidi w:val="0"/>
              <w:spacing w:before="0" w:after="283"/>
              <w:jc w:val="left"/>
              <w:rPr/>
            </w:pPr>
            <w:r>
              <w:rPr/>
              <w:t> </w:t>
            </w:r>
          </w:p>
        </w:tc>
      </w:tr>
      <w:tr>
        <w:trPr/>
        <w:tc>
          <w:tcPr>
            <w:tcW w:w="6439" w:type="dxa"/>
            <w:tcBorders/>
            <w:vAlign w:val="center"/>
          </w:tcPr>
          <w:p>
            <w:pPr>
              <w:pStyle w:val="TableContents"/>
              <w:bidi w:val="0"/>
              <w:spacing w:before="0" w:after="283"/>
              <w:jc w:val="left"/>
              <w:rPr/>
            </w:pPr>
            <w:r>
              <w:rPr/>
              <w:t>Equity securities, at fair value</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24,002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24,640</w:t>
            </w:r>
          </w:p>
        </w:tc>
        <w:tc>
          <w:tcPr>
            <w:tcW w:w="360" w:type="dxa"/>
            <w:tcBorders/>
            <w:vAlign w:val="center"/>
          </w:tcPr>
          <w:p>
            <w:pPr>
              <w:pStyle w:val="TableContents"/>
              <w:bidi w:val="0"/>
              <w:spacing w:before="0" w:after="283"/>
              <w:jc w:val="left"/>
              <w:rPr/>
            </w:pPr>
            <w:r>
              <w:rPr/>
              <w:t> </w:t>
            </w:r>
          </w:p>
        </w:tc>
      </w:tr>
      <w:tr>
        <w:trPr/>
        <w:tc>
          <w:tcPr>
            <w:tcW w:w="6439" w:type="dxa"/>
            <w:tcBorders/>
            <w:shd w:fill="CCEEFF" w:val="clear"/>
            <w:vAlign w:val="center"/>
          </w:tcPr>
          <w:p>
            <w:pPr>
              <w:pStyle w:val="TableContents"/>
              <w:bidi w:val="0"/>
              <w:spacing w:before="0" w:after="283"/>
              <w:jc w:val="left"/>
              <w:rPr/>
            </w:pPr>
            <w:r>
              <w:rPr/>
              <w:t>Other investments</w:t>
            </w:r>
          </w:p>
        </w:tc>
        <w:tc>
          <w:tcPr>
            <w:tcW w:w="90" w:type="dxa"/>
            <w:tcBorders/>
            <w:shd w:fill="CCEEFF" w:val="clear"/>
            <w:vAlign w:val="center"/>
          </w:tcPr>
          <w:p>
            <w:pPr>
              <w:pStyle w:val="TableContents"/>
              <w:bidi w:val="0"/>
              <w:spacing w:before="0" w:after="283"/>
              <w:jc w:val="left"/>
              <w:rPr/>
            </w:pPr>
            <w:r>
              <w:rPr/>
              <w:t> </w:t>
            </w:r>
          </w:p>
        </w:tc>
        <w:tc>
          <w:tcPr>
            <w:tcW w:w="2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shd w:fill="CCEEFF" w:val="clear"/>
            <w:tcMar>
              <w:bottom w:w="28" w:type="dxa"/>
            </w:tcMar>
            <w:vAlign w:val="center"/>
          </w:tcPr>
          <w:p>
            <w:pPr>
              <w:pStyle w:val="TableContents"/>
              <w:bidi w:val="0"/>
              <w:spacing w:before="0" w:after="283"/>
              <w:jc w:val="right"/>
              <w:rPr/>
            </w:pPr>
            <w:r>
              <w:rPr/>
              <w:t>1,812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9" w:type="dxa"/>
            <w:tcBorders>
              <w:bottom w:val="single" w:sz="8" w:space="0" w:color="000000"/>
            </w:tcBorders>
            <w:shd w:fill="CCEEFF" w:val="clear"/>
            <w:tcMar>
              <w:bottom w:w="28" w:type="dxa"/>
            </w:tcMar>
            <w:vAlign w:val="center"/>
          </w:tcPr>
          <w:p>
            <w:pPr>
              <w:pStyle w:val="TableContents"/>
              <w:bidi w:val="0"/>
              <w:spacing w:before="0" w:after="283"/>
              <w:jc w:val="right"/>
              <w:rPr/>
            </w:pPr>
            <w:r>
              <w:rPr/>
              <w:t>1,812</w:t>
            </w:r>
          </w:p>
        </w:tc>
        <w:tc>
          <w:tcPr>
            <w:tcW w:w="360" w:type="dxa"/>
            <w:tcBorders/>
            <w:shd w:fill="CCEEFF" w:val="clear"/>
            <w:vAlign w:val="center"/>
          </w:tcPr>
          <w:p>
            <w:pPr>
              <w:pStyle w:val="TableContents"/>
              <w:bidi w:val="0"/>
              <w:spacing w:before="0" w:after="283"/>
              <w:jc w:val="left"/>
              <w:rPr/>
            </w:pPr>
            <w:r>
              <w:rPr/>
              <w:t> </w:t>
            </w:r>
          </w:p>
        </w:tc>
      </w:tr>
      <w:tr>
        <w:trPr/>
        <w:tc>
          <w:tcPr>
            <w:tcW w:w="6439" w:type="dxa"/>
            <w:tcBorders/>
            <w:vAlign w:val="center"/>
          </w:tcPr>
          <w:p>
            <w:pPr>
              <w:pStyle w:val="TableContents"/>
              <w:bidi w:val="0"/>
              <w:spacing w:before="0" w:after="283"/>
              <w:jc w:val="left"/>
              <w:rPr/>
            </w:pPr>
            <w:r>
              <w:rPr/>
              <w:t>Total cash and investments</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365,238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385,094</w:t>
            </w:r>
          </w:p>
        </w:tc>
        <w:tc>
          <w:tcPr>
            <w:tcW w:w="360" w:type="dxa"/>
            <w:tcBorders/>
            <w:vAlign w:val="center"/>
          </w:tcPr>
          <w:p>
            <w:pPr>
              <w:pStyle w:val="TableContents"/>
              <w:bidi w:val="0"/>
              <w:spacing w:before="0" w:after="283"/>
              <w:ind w:left="0" w:right="0" w:hanging="216"/>
              <w:jc w:val="left"/>
              <w:rPr/>
            </w:pPr>
            <w:r>
              <w:rPr/>
              <w:t> </w:t>
            </w:r>
          </w:p>
        </w:tc>
      </w:tr>
      <w:tr>
        <w:trPr/>
        <w:tc>
          <w:tcPr>
            <w:tcW w:w="64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360" w:type="dxa"/>
            <w:tcBorders/>
            <w:shd w:fill="CCEEFF" w:val="clear"/>
            <w:vAlign w:val="center"/>
          </w:tcPr>
          <w:p>
            <w:pPr>
              <w:pStyle w:val="TableContents"/>
              <w:bidi w:val="0"/>
              <w:spacing w:before="0" w:after="283"/>
              <w:jc w:val="left"/>
              <w:rPr/>
            </w:pPr>
            <w:r>
              <w:rPr/>
              <w:t> </w:t>
            </w:r>
          </w:p>
        </w:tc>
      </w:tr>
      <w:tr>
        <w:trPr/>
        <w:tc>
          <w:tcPr>
            <w:tcW w:w="6439" w:type="dxa"/>
            <w:tcBorders/>
            <w:vAlign w:val="center"/>
          </w:tcPr>
          <w:p>
            <w:pPr>
              <w:pStyle w:val="TableContents"/>
              <w:bidi w:val="0"/>
              <w:spacing w:before="0" w:after="283"/>
              <w:jc w:val="left"/>
              <w:rPr/>
            </w:pPr>
            <w:r>
              <w:rPr/>
              <w:t>Premiums and agents' balances receivable (net of allowance for expected credit losses of $319 at September 30, 2025 and $337 at December 31, 2024)</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76,073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52,907</w:t>
            </w:r>
          </w:p>
        </w:tc>
        <w:tc>
          <w:tcPr>
            <w:tcW w:w="360" w:type="dxa"/>
            <w:tcBorders/>
            <w:vAlign w:val="center"/>
          </w:tcPr>
          <w:p>
            <w:pPr>
              <w:pStyle w:val="TableContents"/>
              <w:bidi w:val="0"/>
              <w:spacing w:before="0" w:after="283"/>
              <w:jc w:val="left"/>
              <w:rPr/>
            </w:pPr>
            <w:r>
              <w:rPr/>
              <w:t> </w:t>
            </w:r>
          </w:p>
        </w:tc>
      </w:tr>
      <w:tr>
        <w:trPr/>
        <w:tc>
          <w:tcPr>
            <w:tcW w:w="6439" w:type="dxa"/>
            <w:tcBorders/>
            <w:shd w:fill="CCEEFF" w:val="clear"/>
            <w:vAlign w:val="center"/>
          </w:tcPr>
          <w:p>
            <w:pPr>
              <w:pStyle w:val="TableContents"/>
              <w:bidi w:val="0"/>
              <w:spacing w:before="0" w:after="283"/>
              <w:jc w:val="left"/>
              <w:rPr/>
            </w:pPr>
            <w:r>
              <w:rPr/>
              <w:t>Deferred policy acquisition costs</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22,230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26,300</w:t>
            </w:r>
          </w:p>
        </w:tc>
        <w:tc>
          <w:tcPr>
            <w:tcW w:w="360" w:type="dxa"/>
            <w:tcBorders/>
            <w:shd w:fill="CCEEFF" w:val="clear"/>
            <w:vAlign w:val="center"/>
          </w:tcPr>
          <w:p>
            <w:pPr>
              <w:pStyle w:val="TableContents"/>
              <w:bidi w:val="0"/>
              <w:spacing w:before="0" w:after="283"/>
              <w:jc w:val="left"/>
              <w:rPr/>
            </w:pPr>
            <w:r>
              <w:rPr/>
              <w:t> </w:t>
            </w:r>
          </w:p>
        </w:tc>
      </w:tr>
      <w:tr>
        <w:trPr/>
        <w:tc>
          <w:tcPr>
            <w:tcW w:w="6439" w:type="dxa"/>
            <w:tcBorders/>
            <w:vAlign w:val="center"/>
          </w:tcPr>
          <w:p>
            <w:pPr>
              <w:pStyle w:val="TableContents"/>
              <w:bidi w:val="0"/>
              <w:spacing w:before="0" w:after="283"/>
              <w:jc w:val="left"/>
              <w:rPr/>
            </w:pPr>
            <w:r>
              <w:rPr/>
              <w:t>Reinsurance premiums receivable</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746</w:t>
            </w:r>
          </w:p>
        </w:tc>
        <w:tc>
          <w:tcPr>
            <w:tcW w:w="360" w:type="dxa"/>
            <w:tcBorders/>
            <w:vAlign w:val="center"/>
          </w:tcPr>
          <w:p>
            <w:pPr>
              <w:pStyle w:val="TableContents"/>
              <w:bidi w:val="0"/>
              <w:spacing w:before="0" w:after="283"/>
              <w:jc w:val="left"/>
              <w:rPr/>
            </w:pPr>
            <w:r>
              <w:rPr/>
              <w:t> </w:t>
            </w:r>
          </w:p>
        </w:tc>
      </w:tr>
      <w:tr>
        <w:trPr/>
        <w:tc>
          <w:tcPr>
            <w:tcW w:w="6439" w:type="dxa"/>
            <w:tcBorders/>
            <w:shd w:fill="CCEEFF" w:val="clear"/>
            <w:vAlign w:val="center"/>
          </w:tcPr>
          <w:p>
            <w:pPr>
              <w:pStyle w:val="TableContents"/>
              <w:bidi w:val="0"/>
              <w:spacing w:before="0" w:after="283"/>
              <w:jc w:val="left"/>
              <w:rPr/>
            </w:pPr>
            <w:r>
              <w:rPr/>
              <w:t>Reinsurance recoverables on losses (net of allowance for expected credit losses of $0 at September 30, 2025 and December 31, 2024)</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23,051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12,561</w:t>
            </w:r>
          </w:p>
        </w:tc>
        <w:tc>
          <w:tcPr>
            <w:tcW w:w="360" w:type="dxa"/>
            <w:tcBorders/>
            <w:shd w:fill="CCEEFF" w:val="clear"/>
            <w:vAlign w:val="center"/>
          </w:tcPr>
          <w:p>
            <w:pPr>
              <w:pStyle w:val="TableContents"/>
              <w:bidi w:val="0"/>
              <w:spacing w:before="0" w:after="283"/>
              <w:jc w:val="left"/>
              <w:rPr/>
            </w:pPr>
            <w:r>
              <w:rPr/>
              <w:t> </w:t>
            </w:r>
          </w:p>
        </w:tc>
      </w:tr>
      <w:tr>
        <w:trPr/>
        <w:tc>
          <w:tcPr>
            <w:tcW w:w="6439" w:type="dxa"/>
            <w:tcBorders/>
            <w:vAlign w:val="center"/>
          </w:tcPr>
          <w:p>
            <w:pPr>
              <w:pStyle w:val="TableContents"/>
              <w:bidi w:val="0"/>
              <w:spacing w:before="0" w:after="283"/>
              <w:jc w:val="left"/>
              <w:rPr/>
            </w:pPr>
            <w:r>
              <w:rPr/>
              <w:t>Income tax recoverable</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11,832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7,017</w:t>
            </w:r>
          </w:p>
        </w:tc>
        <w:tc>
          <w:tcPr>
            <w:tcW w:w="360" w:type="dxa"/>
            <w:tcBorders/>
            <w:vAlign w:val="center"/>
          </w:tcPr>
          <w:p>
            <w:pPr>
              <w:pStyle w:val="TableContents"/>
              <w:bidi w:val="0"/>
              <w:spacing w:before="0" w:after="283"/>
              <w:jc w:val="left"/>
              <w:rPr/>
            </w:pPr>
            <w:r>
              <w:rPr/>
              <w:t> </w:t>
            </w:r>
          </w:p>
        </w:tc>
      </w:tr>
      <w:tr>
        <w:trPr/>
        <w:tc>
          <w:tcPr>
            <w:tcW w:w="6439" w:type="dxa"/>
            <w:tcBorders/>
            <w:shd w:fill="CCEEFF" w:val="clear"/>
            <w:vAlign w:val="center"/>
          </w:tcPr>
          <w:p>
            <w:pPr>
              <w:pStyle w:val="TableContents"/>
              <w:bidi w:val="0"/>
              <w:spacing w:before="0" w:after="283"/>
              <w:jc w:val="left"/>
              <w:rPr/>
            </w:pPr>
            <w:r>
              <w:rPr/>
              <w:t>Accrued investment income</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2,457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2,629</w:t>
            </w:r>
          </w:p>
        </w:tc>
        <w:tc>
          <w:tcPr>
            <w:tcW w:w="360" w:type="dxa"/>
            <w:tcBorders/>
            <w:shd w:fill="CCEEFF" w:val="clear"/>
            <w:vAlign w:val="center"/>
          </w:tcPr>
          <w:p>
            <w:pPr>
              <w:pStyle w:val="TableContents"/>
              <w:bidi w:val="0"/>
              <w:spacing w:before="0" w:after="283"/>
              <w:jc w:val="left"/>
              <w:rPr/>
            </w:pPr>
            <w:r>
              <w:rPr/>
              <w:t> </w:t>
            </w:r>
          </w:p>
        </w:tc>
      </w:tr>
      <w:tr>
        <w:trPr/>
        <w:tc>
          <w:tcPr>
            <w:tcW w:w="6439" w:type="dxa"/>
            <w:tcBorders/>
            <w:vAlign w:val="center"/>
          </w:tcPr>
          <w:p>
            <w:pPr>
              <w:pStyle w:val="TableContents"/>
              <w:bidi w:val="0"/>
              <w:spacing w:before="0" w:after="283"/>
              <w:jc w:val="left"/>
              <w:rPr/>
            </w:pPr>
            <w:r>
              <w:rPr/>
              <w:t>Property and equipment, net</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7,226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7,547</w:t>
            </w:r>
          </w:p>
        </w:tc>
        <w:tc>
          <w:tcPr>
            <w:tcW w:w="360" w:type="dxa"/>
            <w:tcBorders/>
            <w:vAlign w:val="center"/>
          </w:tcPr>
          <w:p>
            <w:pPr>
              <w:pStyle w:val="TableContents"/>
              <w:bidi w:val="0"/>
              <w:spacing w:before="0" w:after="283"/>
              <w:jc w:val="left"/>
              <w:rPr/>
            </w:pPr>
            <w:r>
              <w:rPr/>
              <w:t> </w:t>
            </w:r>
          </w:p>
        </w:tc>
      </w:tr>
      <w:tr>
        <w:trPr/>
        <w:tc>
          <w:tcPr>
            <w:tcW w:w="6439" w:type="dxa"/>
            <w:tcBorders/>
            <w:shd w:fill="CCEEFF" w:val="clear"/>
            <w:vAlign w:val="center"/>
          </w:tcPr>
          <w:p>
            <w:pPr>
              <w:pStyle w:val="TableContents"/>
              <w:bidi w:val="0"/>
              <w:spacing w:before="0" w:after="283"/>
              <w:jc w:val="left"/>
              <w:rPr/>
            </w:pPr>
            <w:r>
              <w:rPr/>
              <w:t>Deferred income taxes</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6,690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7,324</w:t>
            </w:r>
          </w:p>
        </w:tc>
        <w:tc>
          <w:tcPr>
            <w:tcW w:w="360" w:type="dxa"/>
            <w:tcBorders/>
            <w:shd w:fill="CCEEFF" w:val="clear"/>
            <w:vAlign w:val="center"/>
          </w:tcPr>
          <w:p>
            <w:pPr>
              <w:pStyle w:val="TableContents"/>
              <w:bidi w:val="0"/>
              <w:spacing w:before="0" w:after="283"/>
              <w:jc w:val="left"/>
              <w:rPr/>
            </w:pPr>
            <w:r>
              <w:rPr/>
              <w:t> </w:t>
            </w:r>
          </w:p>
        </w:tc>
      </w:tr>
      <w:tr>
        <w:trPr/>
        <w:tc>
          <w:tcPr>
            <w:tcW w:w="6439" w:type="dxa"/>
            <w:tcBorders/>
            <w:vAlign w:val="center"/>
          </w:tcPr>
          <w:p>
            <w:pPr>
              <w:pStyle w:val="TableContents"/>
              <w:bidi w:val="0"/>
              <w:spacing w:before="0" w:after="283"/>
              <w:jc w:val="left"/>
              <w:rPr/>
            </w:pPr>
            <w:r>
              <w:rPr/>
              <w:t>Receivable from Federal Crop Insurance Corporation</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17,752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13,223</w:t>
            </w:r>
          </w:p>
        </w:tc>
        <w:tc>
          <w:tcPr>
            <w:tcW w:w="360" w:type="dxa"/>
            <w:tcBorders/>
            <w:vAlign w:val="center"/>
          </w:tcPr>
          <w:p>
            <w:pPr>
              <w:pStyle w:val="TableContents"/>
              <w:bidi w:val="0"/>
              <w:spacing w:before="0" w:after="283"/>
              <w:jc w:val="left"/>
              <w:rPr/>
            </w:pPr>
            <w:r>
              <w:rPr/>
              <w:t> </w:t>
            </w:r>
          </w:p>
        </w:tc>
      </w:tr>
      <w:tr>
        <w:trPr/>
        <w:tc>
          <w:tcPr>
            <w:tcW w:w="6439" w:type="dxa"/>
            <w:tcBorders/>
            <w:shd w:fill="CCEEFF" w:val="clear"/>
            <w:vAlign w:val="center"/>
          </w:tcPr>
          <w:p>
            <w:pPr>
              <w:pStyle w:val="TableContents"/>
              <w:bidi w:val="0"/>
              <w:spacing w:before="0" w:after="283"/>
              <w:jc w:val="left"/>
              <w:rPr/>
            </w:pPr>
            <w:r>
              <w:rPr/>
              <w:t>Goodwill and other intangibles</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100</w:t>
            </w:r>
          </w:p>
        </w:tc>
        <w:tc>
          <w:tcPr>
            <w:tcW w:w="360" w:type="dxa"/>
            <w:tcBorders/>
            <w:shd w:fill="CCEEFF" w:val="clear"/>
            <w:vAlign w:val="center"/>
          </w:tcPr>
          <w:p>
            <w:pPr>
              <w:pStyle w:val="TableContents"/>
              <w:bidi w:val="0"/>
              <w:spacing w:before="0" w:after="283"/>
              <w:jc w:val="left"/>
              <w:rPr/>
            </w:pPr>
            <w:r>
              <w:rPr/>
              <w:t> </w:t>
            </w:r>
          </w:p>
        </w:tc>
      </w:tr>
      <w:tr>
        <w:trPr/>
        <w:tc>
          <w:tcPr>
            <w:tcW w:w="6439" w:type="dxa"/>
            <w:tcBorders/>
            <w:vAlign w:val="center"/>
          </w:tcPr>
          <w:p>
            <w:pPr>
              <w:pStyle w:val="TableContents"/>
              <w:bidi w:val="0"/>
              <w:spacing w:before="0" w:after="283"/>
              <w:jc w:val="left"/>
              <w:rPr/>
            </w:pPr>
            <w:r>
              <w:rPr/>
              <w:t>Other assets</w:t>
            </w:r>
          </w:p>
        </w:tc>
        <w:tc>
          <w:tcPr>
            <w:tcW w:w="90" w:type="dxa"/>
            <w:tcBorders/>
            <w:vAlign w:val="center"/>
          </w:tcPr>
          <w:p>
            <w:pPr>
              <w:pStyle w:val="TableContents"/>
              <w:bidi w:val="0"/>
              <w:spacing w:before="0" w:after="283"/>
              <w:jc w:val="left"/>
              <w:rPr/>
            </w:pPr>
            <w:r>
              <w:rPr/>
              <w:t> </w:t>
            </w:r>
          </w:p>
        </w:tc>
        <w:tc>
          <w:tcPr>
            <w:tcW w:w="248" w:type="dxa"/>
            <w:tcBorders>
              <w:bottom w:val="single" w:sz="8" w:space="0" w:color="000000"/>
            </w:tcBorders>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tcMar>
              <w:bottom w:w="28" w:type="dxa"/>
            </w:tcMar>
            <w:vAlign w:val="center"/>
          </w:tcPr>
          <w:p>
            <w:pPr>
              <w:pStyle w:val="TableContents"/>
              <w:bidi w:val="0"/>
              <w:spacing w:before="0" w:after="283"/>
              <w:jc w:val="right"/>
              <w:rPr/>
            </w:pPr>
            <w:r>
              <w:rPr/>
              <w:t>11,166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 w:type="dxa"/>
            <w:tcBorders>
              <w:bottom w:val="single" w:sz="8" w:space="0" w:color="000000"/>
            </w:tcBorders>
            <w:tcMar>
              <w:bottom w:w="28" w:type="dxa"/>
            </w:tcMar>
            <w:vAlign w:val="center"/>
          </w:tcPr>
          <w:p>
            <w:pPr>
              <w:pStyle w:val="TableContents"/>
              <w:bidi w:val="0"/>
              <w:spacing w:before="0" w:after="283"/>
              <w:jc w:val="left"/>
              <w:rPr/>
            </w:pPr>
            <w:r>
              <w:rPr/>
              <w:t> </w:t>
            </w:r>
          </w:p>
        </w:tc>
        <w:tc>
          <w:tcPr>
            <w:tcW w:w="1359" w:type="dxa"/>
            <w:tcBorders>
              <w:bottom w:val="single" w:sz="8" w:space="0" w:color="000000"/>
            </w:tcBorders>
            <w:tcMar>
              <w:bottom w:w="28" w:type="dxa"/>
            </w:tcMar>
            <w:vAlign w:val="center"/>
          </w:tcPr>
          <w:p>
            <w:pPr>
              <w:pStyle w:val="TableContents"/>
              <w:bidi w:val="0"/>
              <w:spacing w:before="0" w:after="283"/>
              <w:jc w:val="right"/>
              <w:rPr/>
            </w:pPr>
            <w:r>
              <w:rPr/>
              <w:t>11,097</w:t>
            </w:r>
          </w:p>
        </w:tc>
        <w:tc>
          <w:tcPr>
            <w:tcW w:w="360" w:type="dxa"/>
            <w:tcBorders/>
            <w:vAlign w:val="center"/>
          </w:tcPr>
          <w:p>
            <w:pPr>
              <w:pStyle w:val="TableContents"/>
              <w:bidi w:val="0"/>
              <w:spacing w:before="0" w:after="283"/>
              <w:jc w:val="left"/>
              <w:rPr/>
            </w:pPr>
            <w:r>
              <w:rPr/>
              <w:t> </w:t>
            </w:r>
          </w:p>
        </w:tc>
      </w:tr>
      <w:tr>
        <w:trPr/>
        <w:tc>
          <w:tcPr>
            <w:tcW w:w="6439"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7" w:type="dxa"/>
            <w:tcBorders>
              <w:bottom w:val="double" w:sz="6" w:space="0" w:color="000000"/>
            </w:tcBorders>
            <w:shd w:fill="CCEEFF" w:val="clear"/>
            <w:tcMar>
              <w:bottom w:w="28" w:type="dxa"/>
            </w:tcMar>
            <w:vAlign w:val="center"/>
          </w:tcPr>
          <w:p>
            <w:pPr>
              <w:pStyle w:val="TableContents"/>
              <w:bidi w:val="0"/>
              <w:spacing w:before="0" w:after="283"/>
              <w:jc w:val="right"/>
              <w:rPr/>
            </w:pPr>
            <w:r>
              <w:rPr/>
              <w:t>543,815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9" w:type="dxa"/>
            <w:tcBorders>
              <w:bottom w:val="double" w:sz="6" w:space="0" w:color="000000"/>
            </w:tcBorders>
            <w:shd w:fill="CCEEFF" w:val="clear"/>
            <w:tcMar>
              <w:bottom w:w="28" w:type="dxa"/>
            </w:tcMar>
            <w:vAlign w:val="center"/>
          </w:tcPr>
          <w:p>
            <w:pPr>
              <w:pStyle w:val="TableContents"/>
              <w:bidi w:val="0"/>
              <w:spacing w:before="0" w:after="283"/>
              <w:jc w:val="right"/>
              <w:rPr/>
            </w:pPr>
            <w:r>
              <w:rPr/>
              <w:t>526,545</w:t>
            </w:r>
          </w:p>
        </w:tc>
        <w:tc>
          <w:tcPr>
            <w:tcW w:w="360" w:type="dxa"/>
            <w:tcBorders/>
            <w:shd w:fill="CCEEFF" w:val="clear"/>
            <w:vAlign w:val="center"/>
          </w:tcPr>
          <w:p>
            <w:pPr>
              <w:pStyle w:val="TableContents"/>
              <w:bidi w:val="0"/>
              <w:spacing w:before="0" w:after="283"/>
              <w:ind w:left="0" w:right="0" w:hanging="216"/>
              <w:jc w:val="left"/>
              <w:rPr/>
            </w:pPr>
            <w:r>
              <w:rPr/>
              <w:t> </w:t>
            </w:r>
          </w:p>
        </w:tc>
      </w:tr>
      <w:tr>
        <w:trPr/>
        <w:tc>
          <w:tcPr>
            <w:tcW w:w="64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360" w:type="dxa"/>
            <w:tcBorders/>
            <w:vAlign w:val="center"/>
          </w:tcPr>
          <w:p>
            <w:pPr>
              <w:pStyle w:val="TableContents"/>
              <w:bidi w:val="0"/>
              <w:spacing w:before="0" w:after="283"/>
              <w:ind w:left="0" w:right="0" w:hanging="216"/>
              <w:jc w:val="left"/>
              <w:rPr/>
            </w:pPr>
            <w:r>
              <w:rPr/>
              <w:t> </w:t>
            </w:r>
          </w:p>
        </w:tc>
      </w:tr>
      <w:tr>
        <w:trPr/>
        <w:tc>
          <w:tcPr>
            <w:tcW w:w="6439" w:type="dxa"/>
            <w:tcBorders/>
            <w:shd w:fill="CCEEFF" w:val="clear"/>
            <w:vAlign w:val="center"/>
          </w:tcPr>
          <w:p>
            <w:pPr>
              <w:pStyle w:val="TableContents"/>
              <w:bidi w:val="0"/>
              <w:spacing w:before="0" w:after="283"/>
              <w:jc w:val="left"/>
              <w:rPr/>
            </w:pPr>
            <w:r>
              <w:rPr/>
              <w:t>Liabilities:</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360" w:type="dxa"/>
            <w:tcBorders/>
            <w:shd w:fill="CCEEFF" w:val="clear"/>
            <w:vAlign w:val="center"/>
          </w:tcPr>
          <w:p>
            <w:pPr>
              <w:pStyle w:val="TableContents"/>
              <w:bidi w:val="0"/>
              <w:spacing w:before="0" w:after="283"/>
              <w:jc w:val="left"/>
              <w:rPr/>
            </w:pPr>
            <w:r>
              <w:rPr/>
              <w:t> </w:t>
            </w:r>
          </w:p>
        </w:tc>
      </w:tr>
      <w:tr>
        <w:trPr/>
        <w:tc>
          <w:tcPr>
            <w:tcW w:w="6439" w:type="dxa"/>
            <w:tcBorders/>
            <w:vAlign w:val="center"/>
          </w:tcPr>
          <w:p>
            <w:pPr>
              <w:pStyle w:val="TableContents"/>
              <w:bidi w:val="0"/>
              <w:spacing w:before="0" w:after="283"/>
              <w:jc w:val="left"/>
              <w:rPr/>
            </w:pPr>
            <w:r>
              <w:rPr/>
              <w:t>Unpaid losses and loss adjustment expenses</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jc w:val="right"/>
              <w:rPr/>
            </w:pPr>
            <w:r>
              <w:rPr/>
              <w:t>157,383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137,288</w:t>
            </w:r>
          </w:p>
        </w:tc>
        <w:tc>
          <w:tcPr>
            <w:tcW w:w="360" w:type="dxa"/>
            <w:tcBorders/>
            <w:vAlign w:val="center"/>
          </w:tcPr>
          <w:p>
            <w:pPr>
              <w:pStyle w:val="TableContents"/>
              <w:bidi w:val="0"/>
              <w:spacing w:before="0" w:after="283"/>
              <w:jc w:val="left"/>
              <w:rPr/>
            </w:pPr>
            <w:r>
              <w:rPr/>
              <w:t> </w:t>
            </w:r>
          </w:p>
        </w:tc>
      </w:tr>
      <w:tr>
        <w:trPr/>
        <w:tc>
          <w:tcPr>
            <w:tcW w:w="6439" w:type="dxa"/>
            <w:tcBorders/>
            <w:shd w:fill="CCEEFF" w:val="clear"/>
            <w:vAlign w:val="center"/>
          </w:tcPr>
          <w:p>
            <w:pPr>
              <w:pStyle w:val="TableContents"/>
              <w:bidi w:val="0"/>
              <w:spacing w:before="0" w:after="283"/>
              <w:jc w:val="left"/>
              <w:rPr/>
            </w:pPr>
            <w:r>
              <w:rPr/>
              <w:t>Unearned premiums</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122,460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126,498</w:t>
            </w:r>
          </w:p>
        </w:tc>
        <w:tc>
          <w:tcPr>
            <w:tcW w:w="360" w:type="dxa"/>
            <w:tcBorders/>
            <w:shd w:fill="CCEEFF" w:val="clear"/>
            <w:vAlign w:val="center"/>
          </w:tcPr>
          <w:p>
            <w:pPr>
              <w:pStyle w:val="TableContents"/>
              <w:bidi w:val="0"/>
              <w:spacing w:before="0" w:after="283"/>
              <w:jc w:val="left"/>
              <w:rPr/>
            </w:pPr>
            <w:r>
              <w:rPr/>
              <w:t> </w:t>
            </w:r>
          </w:p>
        </w:tc>
      </w:tr>
      <w:tr>
        <w:trPr/>
        <w:tc>
          <w:tcPr>
            <w:tcW w:w="6439" w:type="dxa"/>
            <w:tcBorders/>
            <w:vAlign w:val="center"/>
          </w:tcPr>
          <w:p>
            <w:pPr>
              <w:pStyle w:val="TableContents"/>
              <w:bidi w:val="0"/>
              <w:spacing w:before="0" w:after="283"/>
              <w:jc w:val="left"/>
              <w:rPr/>
            </w:pPr>
            <w:r>
              <w:rPr/>
              <w:t>Reinsurance premiums payable</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1,497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0"/>
              <w:jc w:val="right"/>
              <w:rPr/>
            </w:pPr>
            <w:r>
              <w:rPr/>
              <w:t>—</w:t>
            </w:r>
          </w:p>
        </w:tc>
        <w:tc>
          <w:tcPr>
            <w:tcW w:w="360" w:type="dxa"/>
            <w:tcBorders/>
            <w:vAlign w:val="center"/>
          </w:tcPr>
          <w:p>
            <w:pPr>
              <w:pStyle w:val="TableContents"/>
              <w:bidi w:val="0"/>
              <w:spacing w:before="0" w:after="283"/>
              <w:jc w:val="left"/>
              <w:rPr/>
            </w:pPr>
            <w:r>
              <w:rPr/>
              <w:t> </w:t>
            </w:r>
          </w:p>
        </w:tc>
      </w:tr>
      <w:tr>
        <w:trPr/>
        <w:tc>
          <w:tcPr>
            <w:tcW w:w="6439" w:type="dxa"/>
            <w:tcBorders/>
            <w:shd w:fill="CCEEFF" w:val="clear"/>
            <w:vAlign w:val="center"/>
          </w:tcPr>
          <w:p>
            <w:pPr>
              <w:pStyle w:val="TableContents"/>
              <w:bidi w:val="0"/>
              <w:spacing w:before="0" w:after="283"/>
              <w:jc w:val="left"/>
              <w:rPr/>
            </w:pPr>
            <w:r>
              <w:rPr/>
              <w:t>Accrued expenses and other liabilities</w:t>
            </w:r>
          </w:p>
        </w:tc>
        <w:tc>
          <w:tcPr>
            <w:tcW w:w="90" w:type="dxa"/>
            <w:tcBorders/>
            <w:shd w:fill="CCEEFF" w:val="clear"/>
            <w:vAlign w:val="center"/>
          </w:tcPr>
          <w:p>
            <w:pPr>
              <w:pStyle w:val="TableContents"/>
              <w:bidi w:val="0"/>
              <w:spacing w:before="0" w:after="283"/>
              <w:jc w:val="left"/>
              <w:rPr/>
            </w:pPr>
            <w:r>
              <w:rPr/>
              <w:t> </w:t>
            </w:r>
          </w:p>
        </w:tc>
        <w:tc>
          <w:tcPr>
            <w:tcW w:w="2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shd w:fill="CCEEFF" w:val="clear"/>
            <w:tcMar>
              <w:bottom w:w="28" w:type="dxa"/>
            </w:tcMar>
            <w:vAlign w:val="center"/>
          </w:tcPr>
          <w:p>
            <w:pPr>
              <w:pStyle w:val="TableContents"/>
              <w:bidi w:val="0"/>
              <w:spacing w:before="0" w:after="283"/>
              <w:jc w:val="right"/>
              <w:rPr/>
            </w:pPr>
            <w:r>
              <w:rPr/>
              <w:t>18,675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9" w:type="dxa"/>
            <w:tcBorders>
              <w:bottom w:val="single" w:sz="8" w:space="0" w:color="000000"/>
            </w:tcBorders>
            <w:shd w:fill="CCEEFF" w:val="clear"/>
            <w:tcMar>
              <w:bottom w:w="28" w:type="dxa"/>
            </w:tcMar>
            <w:vAlign w:val="center"/>
          </w:tcPr>
          <w:p>
            <w:pPr>
              <w:pStyle w:val="TableContents"/>
              <w:bidi w:val="0"/>
              <w:spacing w:before="0" w:after="283"/>
              <w:jc w:val="right"/>
              <w:rPr/>
            </w:pPr>
            <w:r>
              <w:rPr/>
              <w:t>18,128</w:t>
            </w:r>
          </w:p>
        </w:tc>
        <w:tc>
          <w:tcPr>
            <w:tcW w:w="360" w:type="dxa"/>
            <w:tcBorders/>
            <w:shd w:fill="CCEEFF" w:val="clear"/>
            <w:vAlign w:val="center"/>
          </w:tcPr>
          <w:p>
            <w:pPr>
              <w:pStyle w:val="TableContents"/>
              <w:bidi w:val="0"/>
              <w:spacing w:before="0" w:after="283"/>
              <w:ind w:left="0" w:right="0" w:firstLine="187"/>
              <w:jc w:val="left"/>
              <w:rPr/>
            </w:pPr>
            <w:r>
              <w:rPr/>
              <w:t> </w:t>
            </w:r>
          </w:p>
        </w:tc>
      </w:tr>
      <w:tr>
        <w:trPr/>
        <w:tc>
          <w:tcPr>
            <w:tcW w:w="6439"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300,015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281,914</w:t>
            </w:r>
          </w:p>
        </w:tc>
        <w:tc>
          <w:tcPr>
            <w:tcW w:w="360" w:type="dxa"/>
            <w:tcBorders/>
            <w:vAlign w:val="center"/>
          </w:tcPr>
          <w:p>
            <w:pPr>
              <w:pStyle w:val="TableContents"/>
              <w:bidi w:val="0"/>
              <w:spacing w:before="0" w:after="283"/>
              <w:jc w:val="left"/>
              <w:rPr/>
            </w:pPr>
            <w:r>
              <w:rPr/>
              <w:t> </w:t>
            </w:r>
          </w:p>
        </w:tc>
      </w:tr>
      <w:tr>
        <w:trPr/>
        <w:tc>
          <w:tcPr>
            <w:tcW w:w="643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360" w:type="dxa"/>
            <w:tcBorders/>
            <w:shd w:fill="CCEEFF" w:val="clear"/>
            <w:vAlign w:val="center"/>
          </w:tcPr>
          <w:p>
            <w:pPr>
              <w:pStyle w:val="TableContents"/>
              <w:bidi w:val="0"/>
              <w:spacing w:before="0" w:after="283"/>
              <w:ind w:left="0" w:right="0" w:hanging="216"/>
              <w:jc w:val="left"/>
              <w:rPr/>
            </w:pPr>
            <w:r>
              <w:rPr/>
              <w:t> </w:t>
            </w:r>
          </w:p>
        </w:tc>
      </w:tr>
      <w:tr>
        <w:trPr/>
        <w:tc>
          <w:tcPr>
            <w:tcW w:w="6439" w:type="dxa"/>
            <w:tcBorders/>
            <w:vAlign w:val="center"/>
          </w:tcPr>
          <w:p>
            <w:pPr>
              <w:pStyle w:val="TableContents"/>
              <w:bidi w:val="0"/>
              <w:spacing w:before="0" w:after="283"/>
              <w:jc w:val="left"/>
              <w:rPr/>
            </w:pPr>
            <w:r>
              <w:rPr/>
              <w:t>Shareholders’ equity:</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360" w:type="dxa"/>
            <w:tcBorders/>
            <w:vAlign w:val="center"/>
          </w:tcPr>
          <w:p>
            <w:pPr>
              <w:pStyle w:val="TableContents"/>
              <w:bidi w:val="0"/>
              <w:spacing w:before="0" w:after="283"/>
              <w:jc w:val="left"/>
              <w:rPr/>
            </w:pPr>
            <w:r>
              <w:rPr/>
              <w:t> </w:t>
            </w:r>
          </w:p>
        </w:tc>
      </w:tr>
      <w:tr>
        <w:trPr/>
        <w:tc>
          <w:tcPr>
            <w:tcW w:w="6439" w:type="dxa"/>
            <w:tcBorders/>
            <w:shd w:fill="CCEEFF" w:val="clear"/>
            <w:vAlign w:val="center"/>
          </w:tcPr>
          <w:p>
            <w:pPr>
              <w:pStyle w:val="TableContents"/>
              <w:bidi w:val="0"/>
              <w:spacing w:before="0" w:after="283"/>
              <w:jc w:val="left"/>
              <w:rPr/>
            </w:pPr>
            <w:r>
              <w:rPr/>
              <w:t>Common stock, $0.01 par value, authorized: 25,000,000 shares; issued: 23,000,000 shares; and outstanding: 2025 – 20,629,737 shares, 2024 – 20,673,268 shares</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230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230</w:t>
            </w:r>
          </w:p>
        </w:tc>
        <w:tc>
          <w:tcPr>
            <w:tcW w:w="360" w:type="dxa"/>
            <w:tcBorders/>
            <w:shd w:fill="CCEEFF" w:val="clear"/>
            <w:vAlign w:val="center"/>
          </w:tcPr>
          <w:p>
            <w:pPr>
              <w:pStyle w:val="TableContents"/>
              <w:bidi w:val="0"/>
              <w:spacing w:before="0" w:after="283"/>
              <w:jc w:val="left"/>
              <w:rPr/>
            </w:pPr>
            <w:r>
              <w:rPr/>
              <w:t> </w:t>
            </w:r>
          </w:p>
        </w:tc>
      </w:tr>
      <w:tr>
        <w:trPr/>
        <w:tc>
          <w:tcPr>
            <w:tcW w:w="6439"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96,067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95,796</w:t>
            </w:r>
          </w:p>
        </w:tc>
        <w:tc>
          <w:tcPr>
            <w:tcW w:w="360" w:type="dxa"/>
            <w:tcBorders/>
            <w:vAlign w:val="center"/>
          </w:tcPr>
          <w:p>
            <w:pPr>
              <w:pStyle w:val="TableContents"/>
              <w:bidi w:val="0"/>
              <w:spacing w:before="0" w:after="283"/>
              <w:jc w:val="left"/>
              <w:rPr/>
            </w:pPr>
            <w:r>
              <w:rPr/>
              <w:t> </w:t>
            </w:r>
          </w:p>
        </w:tc>
      </w:tr>
      <w:tr>
        <w:trPr/>
        <w:tc>
          <w:tcPr>
            <w:tcW w:w="6439" w:type="dxa"/>
            <w:tcBorders/>
            <w:shd w:fill="CCEEFF" w:val="clear"/>
            <w:vAlign w:val="center"/>
          </w:tcPr>
          <w:p>
            <w:pPr>
              <w:pStyle w:val="TableContents"/>
              <w:bidi w:val="0"/>
              <w:spacing w:before="0" w:after="283"/>
              <w:jc w:val="left"/>
              <w:rPr/>
            </w:pPr>
            <w:r>
              <w:rPr/>
              <w:t>Unearned employee stock ownership plan shares</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(455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(455</w:t>
            </w:r>
          </w:p>
        </w:tc>
        <w:tc>
          <w:tcPr>
            <w:tcW w:w="360" w:type="dxa"/>
            <w:tcBorders/>
            <w:shd w:fill="CCEEFF" w:val="clear"/>
            <w:vAlign w:val="center"/>
          </w:tcPr>
          <w:p>
            <w:pPr>
              <w:pStyle w:val="TableContents"/>
              <w:bidi w:val="0"/>
              <w:spacing w:before="0" w:after="283"/>
              <w:jc w:val="left"/>
              <w:rPr/>
            </w:pPr>
            <w:r>
              <w:rPr/>
              <w:t>)</w:t>
            </w:r>
          </w:p>
        </w:tc>
      </w:tr>
      <w:tr>
        <w:trPr/>
        <w:tc>
          <w:tcPr>
            <w:tcW w:w="6439" w:type="dxa"/>
            <w:tcBorders/>
            <w:vAlign w:val="center"/>
          </w:tcPr>
          <w:p>
            <w:pPr>
              <w:pStyle w:val="TableContents"/>
              <w:bidi w:val="0"/>
              <w:spacing w:before="0" w:after="283"/>
              <w:jc w:val="left"/>
              <w:rPr/>
            </w:pPr>
            <w:r>
              <w:rPr/>
              <w:t>Retained earnings</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194,233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201,584</w:t>
            </w:r>
          </w:p>
        </w:tc>
        <w:tc>
          <w:tcPr>
            <w:tcW w:w="360" w:type="dxa"/>
            <w:tcBorders/>
            <w:vAlign w:val="center"/>
          </w:tcPr>
          <w:p>
            <w:pPr>
              <w:pStyle w:val="TableContents"/>
              <w:bidi w:val="0"/>
              <w:spacing w:before="0" w:after="283"/>
              <w:jc w:val="left"/>
              <w:rPr/>
            </w:pPr>
            <w:r>
              <w:rPr/>
              <w:t> </w:t>
            </w:r>
          </w:p>
        </w:tc>
      </w:tr>
      <w:tr>
        <w:trPr/>
        <w:tc>
          <w:tcPr>
            <w:tcW w:w="6439" w:type="dxa"/>
            <w:tcBorders/>
            <w:shd w:fill="CCEEFF" w:val="clear"/>
            <w:vAlign w:val="center"/>
          </w:tcPr>
          <w:p>
            <w:pPr>
              <w:pStyle w:val="TableContents"/>
              <w:bidi w:val="0"/>
              <w:spacing w:before="0" w:after="283"/>
              <w:jc w:val="left"/>
              <w:rPr/>
            </w:pPr>
            <w:r>
              <w:rPr/>
              <w:t>Accumulated other comprehensive loss, net of income taxes</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(11,526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(18,231</w:t>
            </w:r>
          </w:p>
        </w:tc>
        <w:tc>
          <w:tcPr>
            <w:tcW w:w="360" w:type="dxa"/>
            <w:tcBorders/>
            <w:shd w:fill="CCEEFF" w:val="clear"/>
            <w:vAlign w:val="center"/>
          </w:tcPr>
          <w:p>
            <w:pPr>
              <w:pStyle w:val="TableContents"/>
              <w:bidi w:val="0"/>
              <w:spacing w:before="0" w:after="283"/>
              <w:jc w:val="left"/>
              <w:rPr/>
            </w:pPr>
            <w:r>
              <w:rPr/>
              <w:t>)</w:t>
            </w:r>
          </w:p>
        </w:tc>
      </w:tr>
      <w:tr>
        <w:trPr/>
        <w:tc>
          <w:tcPr>
            <w:tcW w:w="6439" w:type="dxa"/>
            <w:tcBorders/>
            <w:vAlign w:val="center"/>
          </w:tcPr>
          <w:p>
            <w:pPr>
              <w:pStyle w:val="TableContents"/>
              <w:bidi w:val="0"/>
              <w:spacing w:before="0" w:after="283"/>
              <w:jc w:val="left"/>
              <w:rPr/>
            </w:pPr>
            <w:r>
              <w:rPr/>
              <w:t>Treasury stock, at cost, 2025 – 2,324,783 shares, 2024 – 2,281,252 shares</w:t>
            </w:r>
          </w:p>
        </w:tc>
        <w:tc>
          <w:tcPr>
            <w:tcW w:w="90" w:type="dxa"/>
            <w:tcBorders/>
            <w:vAlign w:val="center"/>
          </w:tcPr>
          <w:p>
            <w:pPr>
              <w:pStyle w:val="TableContents"/>
              <w:bidi w:val="0"/>
              <w:spacing w:before="0" w:after="283"/>
              <w:jc w:val="left"/>
              <w:rPr/>
            </w:pPr>
            <w:r>
              <w:rPr/>
              <w:t> </w:t>
            </w:r>
          </w:p>
        </w:tc>
        <w:tc>
          <w:tcPr>
            <w:tcW w:w="248" w:type="dxa"/>
            <w:tcBorders>
              <w:bottom w:val="single" w:sz="8" w:space="0" w:color="000000"/>
            </w:tcBorders>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tcMar>
              <w:bottom w:w="28" w:type="dxa"/>
            </w:tcMar>
            <w:vAlign w:val="center"/>
          </w:tcPr>
          <w:p>
            <w:pPr>
              <w:pStyle w:val="TableContents"/>
              <w:bidi w:val="0"/>
              <w:spacing w:before="0" w:after="283"/>
              <w:jc w:val="right"/>
              <w:rPr/>
            </w:pPr>
            <w:r>
              <w:rPr/>
              <w:t>(34,749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7" w:type="dxa"/>
            <w:tcBorders>
              <w:bottom w:val="single" w:sz="8" w:space="0" w:color="000000"/>
            </w:tcBorders>
            <w:tcMar>
              <w:bottom w:w="28" w:type="dxa"/>
            </w:tcMar>
            <w:vAlign w:val="center"/>
          </w:tcPr>
          <w:p>
            <w:pPr>
              <w:pStyle w:val="TableContents"/>
              <w:bidi w:val="0"/>
              <w:spacing w:before="0" w:after="283"/>
              <w:jc w:val="left"/>
              <w:rPr/>
            </w:pPr>
            <w:r>
              <w:rPr/>
              <w:t> </w:t>
            </w:r>
          </w:p>
        </w:tc>
        <w:tc>
          <w:tcPr>
            <w:tcW w:w="1359" w:type="dxa"/>
            <w:tcBorders>
              <w:bottom w:val="single" w:sz="8" w:space="0" w:color="000000"/>
            </w:tcBorders>
            <w:tcMar>
              <w:bottom w:w="28" w:type="dxa"/>
            </w:tcMar>
            <w:vAlign w:val="center"/>
          </w:tcPr>
          <w:p>
            <w:pPr>
              <w:pStyle w:val="TableContents"/>
              <w:bidi w:val="0"/>
              <w:spacing w:before="0" w:after="283"/>
              <w:jc w:val="right"/>
              <w:rPr/>
            </w:pPr>
            <w:r>
              <w:rPr/>
              <w:t>(34,293</w:t>
            </w:r>
          </w:p>
        </w:tc>
        <w:tc>
          <w:tcPr>
            <w:tcW w:w="360" w:type="dxa"/>
            <w:tcBorders/>
            <w:vAlign w:val="center"/>
          </w:tcPr>
          <w:p>
            <w:pPr>
              <w:pStyle w:val="TableContents"/>
              <w:bidi w:val="0"/>
              <w:spacing w:before="0" w:after="283"/>
              <w:ind w:left="0" w:right="0" w:firstLine="187"/>
              <w:jc w:val="left"/>
              <w:rPr/>
            </w:pPr>
            <w:r>
              <w:rPr/>
              <w:t>)</w:t>
            </w:r>
          </w:p>
        </w:tc>
      </w:tr>
      <w:tr>
        <w:trPr/>
        <w:tc>
          <w:tcPr>
            <w:tcW w:w="6439" w:type="dxa"/>
            <w:tcBorders/>
            <w:shd w:fill="CCEEFF" w:val="clear"/>
            <w:vAlign w:val="center"/>
          </w:tcPr>
          <w:p>
            <w:pPr>
              <w:pStyle w:val="TableContents"/>
              <w:bidi w:val="0"/>
              <w:spacing w:before="0" w:after="283"/>
              <w:jc w:val="left"/>
              <w:rPr/>
            </w:pPr>
            <w:r>
              <w:rPr/>
              <w:t>Total shareholders’ equity</w:t>
            </w:r>
          </w:p>
        </w:tc>
        <w:tc>
          <w:tcPr>
            <w:tcW w:w="90" w:type="dxa"/>
            <w:tcBorders/>
            <w:shd w:fill="CCEEFF" w:val="clear"/>
            <w:vAlign w:val="center"/>
          </w:tcPr>
          <w:p>
            <w:pPr>
              <w:pStyle w:val="TableContents"/>
              <w:bidi w:val="0"/>
              <w:spacing w:before="0" w:after="283"/>
              <w:jc w:val="left"/>
              <w:rPr/>
            </w:pPr>
            <w:r>
              <w:rPr/>
              <w:t> </w:t>
            </w:r>
          </w:p>
        </w:tc>
        <w:tc>
          <w:tcPr>
            <w:tcW w:w="2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shd w:fill="CCEEFF" w:val="clear"/>
            <w:tcMar>
              <w:bottom w:w="28" w:type="dxa"/>
            </w:tcMar>
            <w:vAlign w:val="center"/>
          </w:tcPr>
          <w:p>
            <w:pPr>
              <w:pStyle w:val="TableContents"/>
              <w:bidi w:val="0"/>
              <w:spacing w:before="0" w:after="283"/>
              <w:jc w:val="right"/>
              <w:rPr/>
            </w:pPr>
            <w:r>
              <w:rPr/>
              <w:t>243,800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9" w:type="dxa"/>
            <w:tcBorders>
              <w:bottom w:val="single" w:sz="8" w:space="0" w:color="000000"/>
            </w:tcBorders>
            <w:shd w:fill="CCEEFF" w:val="clear"/>
            <w:tcMar>
              <w:bottom w:w="28" w:type="dxa"/>
            </w:tcMar>
            <w:vAlign w:val="center"/>
          </w:tcPr>
          <w:p>
            <w:pPr>
              <w:pStyle w:val="TableContents"/>
              <w:bidi w:val="0"/>
              <w:spacing w:before="0" w:after="283"/>
              <w:jc w:val="right"/>
              <w:rPr/>
            </w:pPr>
            <w:r>
              <w:rPr/>
              <w:t>244,631</w:t>
            </w:r>
          </w:p>
        </w:tc>
        <w:tc>
          <w:tcPr>
            <w:tcW w:w="360" w:type="dxa"/>
            <w:tcBorders/>
            <w:shd w:fill="CCEEFF" w:val="clear"/>
            <w:vAlign w:val="center"/>
          </w:tcPr>
          <w:p>
            <w:pPr>
              <w:pStyle w:val="TableContents"/>
              <w:bidi w:val="0"/>
              <w:spacing w:before="0" w:after="283"/>
              <w:jc w:val="left"/>
              <w:rPr/>
            </w:pPr>
            <w:r>
              <w:rPr/>
              <w:t> </w:t>
            </w:r>
          </w:p>
        </w:tc>
      </w:tr>
      <w:tr>
        <w:trPr/>
        <w:tc>
          <w:tcPr>
            <w:tcW w:w="64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360" w:type="dxa"/>
            <w:tcBorders/>
            <w:vAlign w:val="center"/>
          </w:tcPr>
          <w:p>
            <w:pPr>
              <w:pStyle w:val="TableContents"/>
              <w:bidi w:val="0"/>
              <w:spacing w:before="0" w:after="283"/>
              <w:jc w:val="left"/>
              <w:rPr/>
            </w:pPr>
            <w:r>
              <w:rPr/>
              <w:t> </w:t>
            </w:r>
          </w:p>
        </w:tc>
      </w:tr>
      <w:tr>
        <w:trPr/>
        <w:tc>
          <w:tcPr>
            <w:tcW w:w="6439" w:type="dxa"/>
            <w:tcBorders/>
            <w:shd w:fill="CCEEFF" w:val="clear"/>
            <w:vAlign w:val="center"/>
          </w:tcPr>
          <w:p>
            <w:pPr>
              <w:pStyle w:val="TableContents"/>
              <w:bidi w:val="0"/>
              <w:spacing w:before="0" w:after="283"/>
              <w:jc w:val="left"/>
              <w:rPr/>
            </w:pPr>
            <w:r>
              <w:rPr/>
              <w:t>Total liabilities and shareholders’ equity</w:t>
            </w:r>
          </w:p>
        </w:tc>
        <w:tc>
          <w:tcPr>
            <w:tcW w:w="90" w:type="dxa"/>
            <w:tcBorders/>
            <w:shd w:fill="CCEEFF" w:val="clear"/>
            <w:vAlign w:val="center"/>
          </w:tcPr>
          <w:p>
            <w:pPr>
              <w:pStyle w:val="TableContents"/>
              <w:bidi w:val="0"/>
              <w:spacing w:before="0" w:after="283"/>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7" w:type="dxa"/>
            <w:tcBorders>
              <w:bottom w:val="double" w:sz="6" w:space="0" w:color="000000"/>
            </w:tcBorders>
            <w:shd w:fill="CCEEFF" w:val="clear"/>
            <w:tcMar>
              <w:bottom w:w="28" w:type="dxa"/>
            </w:tcMar>
            <w:vAlign w:val="center"/>
          </w:tcPr>
          <w:p>
            <w:pPr>
              <w:pStyle w:val="TableContents"/>
              <w:bidi w:val="0"/>
              <w:spacing w:before="0" w:after="283"/>
              <w:jc w:val="right"/>
              <w:rPr/>
            </w:pPr>
            <w:r>
              <w:rPr/>
              <w:t>543,815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9" w:type="dxa"/>
            <w:tcBorders>
              <w:bottom w:val="double" w:sz="6" w:space="0" w:color="000000"/>
            </w:tcBorders>
            <w:shd w:fill="CCEEFF" w:val="clear"/>
            <w:tcMar>
              <w:bottom w:w="28" w:type="dxa"/>
            </w:tcMar>
            <w:vAlign w:val="center"/>
          </w:tcPr>
          <w:p>
            <w:pPr>
              <w:pStyle w:val="TableContents"/>
              <w:bidi w:val="0"/>
              <w:spacing w:before="0" w:after="283"/>
              <w:jc w:val="right"/>
              <w:rPr/>
            </w:pPr>
            <w:r>
              <w:rPr/>
              <w:t>526,545</w:t>
            </w:r>
          </w:p>
        </w:tc>
        <w:tc>
          <w:tcPr>
            <w:tcW w:w="36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Consolidated Statements of Operations (Unaudited)</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except per share data)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20"/>
        <w:gridCol w:w="90"/>
        <w:gridCol w:w="170"/>
        <w:gridCol w:w="1130"/>
        <w:gridCol w:w="125"/>
        <w:gridCol w:w="90"/>
        <w:gridCol w:w="170"/>
        <w:gridCol w:w="1130"/>
        <w:gridCol w:w="125"/>
        <w:gridCol w:w="90"/>
        <w:gridCol w:w="170"/>
        <w:gridCol w:w="1130"/>
        <w:gridCol w:w="125"/>
        <w:gridCol w:w="90"/>
        <w:gridCol w:w="170"/>
        <w:gridCol w:w="1130"/>
        <w:gridCol w:w="350"/>
      </w:tblGrid>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w:t>
              <w:br/>
              <w:t>September 30,</w:t>
            </w:r>
          </w:p>
        </w:tc>
        <w:tc>
          <w:tcPr>
            <w:tcW w:w="35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35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1300" w:type="dxa"/>
            <w:gridSpan w:val="2"/>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0" w:type="dxa"/>
            <w:gridSpan w:val="2"/>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0" w:type="dxa"/>
            <w:gridSpan w:val="2"/>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0" w:type="dxa"/>
            <w:gridSpan w:val="2"/>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Net premiums earned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71,905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83,270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212,407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238,323</w:t>
            </w:r>
          </w:p>
        </w:tc>
        <w:tc>
          <w:tcPr>
            <w:tcW w:w="35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Fee and other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1,590</w:t>
            </w:r>
          </w:p>
        </w:tc>
        <w:tc>
          <w:tcPr>
            <w:tcW w:w="35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Net investment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3,040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2,811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9,024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8,089</w:t>
            </w:r>
          </w:p>
        </w:tc>
        <w:tc>
          <w:tcPr>
            <w:tcW w:w="35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Net investment gains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1,362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2,412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1,821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3,288</w:t>
            </w:r>
          </w:p>
        </w:tc>
        <w:tc>
          <w:tcPr>
            <w:tcW w:w="35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Total revenues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76,568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88,984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224,059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251,290</w:t>
            </w:r>
          </w:p>
        </w:tc>
        <w:tc>
          <w:tcPr>
            <w:tcW w:w="350" w:type="dxa"/>
            <w:tcBorders/>
            <w:vAlign w:val="center"/>
          </w:tcPr>
          <w:p>
            <w:pPr>
              <w:pStyle w:val="TableContents"/>
              <w:bidi w:val="0"/>
              <w:spacing w:before="0" w:after="283"/>
              <w:ind w:left="0" w:right="0" w:hanging="216"/>
              <w:jc w:val="left"/>
              <w:rPr/>
            </w:pPr>
            <w:r>
              <w:rPr/>
              <w:t> </w:t>
            </w:r>
          </w:p>
        </w:tc>
      </w:tr>
      <w:tr>
        <w:trPr/>
        <w:tc>
          <w:tcPr>
            <w:tcW w:w="39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Losses and loss adjustment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56,197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65,100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161,329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174,602</w:t>
            </w:r>
          </w:p>
        </w:tc>
        <w:tc>
          <w:tcPr>
            <w:tcW w:w="35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Amortization of deferred policy acquisition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13,725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17,616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46,627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53,723</w:t>
            </w:r>
          </w:p>
        </w:tc>
        <w:tc>
          <w:tcPr>
            <w:tcW w:w="35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Other underwriting and general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8,504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9,724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25,536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26,658</w:t>
            </w:r>
          </w:p>
        </w:tc>
        <w:tc>
          <w:tcPr>
            <w:tcW w:w="350" w:type="dxa"/>
            <w:tcBorders/>
            <w:shd w:fill="CCEEFF" w:val="clear"/>
            <w:vAlign w:val="center"/>
          </w:tcPr>
          <w:p>
            <w:pPr>
              <w:pStyle w:val="TableContents"/>
              <w:bidi w:val="0"/>
              <w:spacing w:before="0" w:after="283"/>
              <w:ind w:left="0" w:right="0" w:firstLine="187"/>
              <w:jc w:val="left"/>
              <w:rPr/>
            </w:pPr>
            <w:r>
              <w:rPr/>
              <w:t> </w:t>
            </w:r>
          </w:p>
        </w:tc>
      </w:tr>
      <w:tr>
        <w:trPr/>
        <w:tc>
          <w:tcPr>
            <w:tcW w:w="3920" w:type="dxa"/>
            <w:tcBorders/>
            <w:vAlign w:val="center"/>
          </w:tcPr>
          <w:p>
            <w:pPr>
              <w:pStyle w:val="TableContents"/>
              <w:bidi w:val="0"/>
              <w:spacing w:before="0" w:after="283"/>
              <w:jc w:val="left"/>
              <w:rPr/>
            </w:pPr>
            <w:r>
              <w:rPr/>
              <w:t>Total expenses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78,426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92,440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233,492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254,983</w:t>
            </w:r>
          </w:p>
        </w:tc>
        <w:tc>
          <w:tcPr>
            <w:tcW w:w="350" w:type="dxa"/>
            <w:tcBorders/>
            <w:vAlign w:val="center"/>
          </w:tcPr>
          <w:p>
            <w:pPr>
              <w:pStyle w:val="TableContents"/>
              <w:bidi w:val="0"/>
              <w:spacing w:before="0" w:after="283"/>
              <w:ind w:left="0" w:right="0" w:hanging="216"/>
              <w:jc w:val="left"/>
              <w:rPr/>
            </w:pPr>
            <w:r>
              <w:rPr/>
              <w:t> </w:t>
            </w:r>
          </w:p>
        </w:tc>
      </w:tr>
      <w:tr>
        <w:trPr/>
        <w:tc>
          <w:tcPr>
            <w:tcW w:w="39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Loss from continuing operations before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(1,858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(3,456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(9,433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(3,693</w:t>
            </w:r>
          </w:p>
        </w:tc>
        <w:tc>
          <w:tcPr>
            <w:tcW w:w="350" w:type="dxa"/>
            <w:tcBorders/>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left"/>
              <w:rPr/>
            </w:pPr>
            <w:r>
              <w:rPr/>
              <w:t>Income tax benefit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(751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(2,176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(445</w:t>
            </w:r>
          </w:p>
        </w:tc>
        <w:tc>
          <w:tcPr>
            <w:tcW w:w="350" w:type="dxa"/>
            <w:tcBorders/>
            <w:shd w:fill="CCEEFF" w:val="clear"/>
            <w:vAlign w:val="center"/>
          </w:tcPr>
          <w:p>
            <w:pPr>
              <w:pStyle w:val="TableContents"/>
              <w:bidi w:val="0"/>
              <w:spacing w:before="0" w:after="283"/>
              <w:jc w:val="left"/>
              <w:rPr/>
            </w:pPr>
            <w:r>
              <w:rPr/>
              <w:t>)</w:t>
            </w:r>
          </w:p>
        </w:tc>
      </w:tr>
      <w:tr>
        <w:trPr/>
        <w:tc>
          <w:tcPr>
            <w:tcW w:w="3920" w:type="dxa"/>
            <w:tcBorders/>
            <w:vAlign w:val="center"/>
          </w:tcPr>
          <w:p>
            <w:pPr>
              <w:pStyle w:val="TableContents"/>
              <w:bidi w:val="0"/>
              <w:spacing w:before="0" w:after="283"/>
              <w:jc w:val="left"/>
              <w:rPr/>
            </w:pPr>
            <w:r>
              <w:rPr/>
              <w:t>Loss from continuing operations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(1,666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(2,705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(7,257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(3,248</w:t>
            </w:r>
          </w:p>
        </w:tc>
        <w:tc>
          <w:tcPr>
            <w:tcW w:w="350" w:type="dxa"/>
            <w:tcBorders/>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left"/>
              <w:rPr/>
            </w:pPr>
            <w:r>
              <w:rPr/>
              <w:t>Loss from discontinued operations, net of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(1,512</w:t>
            </w:r>
          </w:p>
        </w:tc>
        <w:tc>
          <w:tcPr>
            <w:tcW w:w="350" w:type="dxa"/>
            <w:tcBorders/>
            <w:shd w:fill="CCEEFF" w:val="clear"/>
            <w:vAlign w:val="center"/>
          </w:tcPr>
          <w:p>
            <w:pPr>
              <w:pStyle w:val="TableContents"/>
              <w:bidi w:val="0"/>
              <w:spacing w:before="0" w:after="283"/>
              <w:jc w:val="left"/>
              <w:rPr/>
            </w:pPr>
            <w:r>
              <w:rPr/>
              <w:t>)</w:t>
            </w:r>
          </w:p>
        </w:tc>
      </w:tr>
      <w:tr>
        <w:trPr/>
        <w:tc>
          <w:tcPr>
            <w:tcW w:w="3920" w:type="dxa"/>
            <w:tcBorders/>
            <w:vAlign w:val="center"/>
          </w:tcPr>
          <w:p>
            <w:pPr>
              <w:pStyle w:val="TableContents"/>
              <w:bidi w:val="0"/>
              <w:spacing w:before="0" w:after="283"/>
              <w:jc w:val="left"/>
              <w:rPr/>
            </w:pPr>
            <w:r>
              <w:rPr/>
              <w:t>Loss on sale of discontinued operations, net of taxes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(11,148</w:t>
            </w:r>
          </w:p>
        </w:tc>
        <w:tc>
          <w:tcPr>
            <w:tcW w:w="350" w:type="dxa"/>
            <w:tcBorders/>
            <w:vAlign w:val="center"/>
          </w:tcPr>
          <w:p>
            <w:pPr>
              <w:pStyle w:val="TableContents"/>
              <w:bidi w:val="0"/>
              <w:spacing w:before="0" w:after="283"/>
              <w:ind w:left="0" w:right="0" w:firstLine="180"/>
              <w:jc w:val="left"/>
              <w:rPr/>
            </w:pPr>
            <w:r>
              <w:rPr/>
              <w:t>)</w:t>
            </w:r>
          </w:p>
        </w:tc>
      </w:tr>
      <w:tr>
        <w:trPr/>
        <w:tc>
          <w:tcPr>
            <w:tcW w:w="392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(1,666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(2,705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(7,257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(15,908</w:t>
            </w:r>
          </w:p>
        </w:tc>
        <w:tc>
          <w:tcPr>
            <w:tcW w:w="350" w:type="dxa"/>
            <w:tcBorders/>
            <w:shd w:fill="CCEEFF" w:val="clear"/>
            <w:vAlign w:val="center"/>
          </w:tcPr>
          <w:p>
            <w:pPr>
              <w:pStyle w:val="TableContents"/>
              <w:bidi w:val="0"/>
              <w:spacing w:before="0" w:after="283"/>
              <w:jc w:val="left"/>
              <w:rPr/>
            </w:pPr>
            <w:r>
              <w:rPr/>
              <w:t>)</w:t>
            </w:r>
          </w:p>
        </w:tc>
      </w:tr>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Loss per common share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ind w:left="0" w:right="0" w:firstLine="180"/>
              <w:jc w:val="left"/>
              <w:rPr/>
            </w:pPr>
            <w:r>
              <w:rPr/>
              <w:t> </w:t>
            </w:r>
          </w:p>
        </w:tc>
      </w:tr>
      <w:tr>
        <w:trPr/>
        <w:tc>
          <w:tcPr>
            <w:tcW w:w="3920" w:type="dxa"/>
            <w:tcBorders/>
            <w:vAlign w:val="center"/>
          </w:tcPr>
          <w:p>
            <w:pPr>
              <w:pStyle w:val="TableContents"/>
              <w:bidi w:val="0"/>
              <w:spacing w:before="0" w:after="283"/>
              <w:jc w:val="left"/>
              <w:rPr/>
            </w:pPr>
            <w:r>
              <w:rPr/>
              <w:t>Basic</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(0.08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(0.13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(0.35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(0.15</w:t>
            </w:r>
          </w:p>
        </w:tc>
        <w:tc>
          <w:tcPr>
            <w:tcW w:w="350" w:type="dxa"/>
            <w:tcBorders/>
            <w:vAlign w:val="center"/>
          </w:tcPr>
          <w:p>
            <w:pPr>
              <w:pStyle w:val="TableContents"/>
              <w:bidi w:val="0"/>
              <w:spacing w:before="0" w:after="283"/>
              <w:ind w:left="0" w:right="0" w:firstLine="180"/>
              <w:jc w:val="left"/>
              <w:rPr/>
            </w:pPr>
            <w:r>
              <w:rPr/>
              <w:t>)</w:t>
            </w:r>
          </w:p>
        </w:tc>
      </w:tr>
      <w:tr>
        <w:trPr/>
        <w:tc>
          <w:tcPr>
            <w:tcW w:w="3920" w:type="dxa"/>
            <w:tcBorders/>
            <w:shd w:fill="CCEEFF" w:val="clear"/>
            <w:vAlign w:val="center"/>
          </w:tcPr>
          <w:p>
            <w:pPr>
              <w:pStyle w:val="TableContents"/>
              <w:bidi w:val="0"/>
              <w:spacing w:before="0" w:after="283"/>
              <w:jc w:val="left"/>
              <w:rPr/>
            </w:pPr>
            <w:r>
              <w:rPr/>
              <w:t>Diluted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(0.08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(0.13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(0.35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(0.15</w:t>
            </w:r>
          </w:p>
        </w:tc>
        <w:tc>
          <w:tcPr>
            <w:tcW w:w="350" w:type="dxa"/>
            <w:tcBorders/>
            <w:shd w:fill="CCEEFF" w:val="clear"/>
            <w:vAlign w:val="center"/>
          </w:tcPr>
          <w:p>
            <w:pPr>
              <w:pStyle w:val="TableContents"/>
              <w:bidi w:val="0"/>
              <w:spacing w:before="0" w:after="283"/>
              <w:jc w:val="left"/>
              <w:rPr/>
            </w:pPr>
            <w:r>
              <w:rPr/>
              <w:t>)</w:t>
            </w:r>
          </w:p>
        </w:tc>
      </w:tr>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Loss per common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Basic</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(0.08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(0.13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(0.35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(0.76</w:t>
            </w:r>
          </w:p>
        </w:tc>
        <w:tc>
          <w:tcPr>
            <w:tcW w:w="350" w:type="dxa"/>
            <w:tcBorders/>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left"/>
              <w:rPr/>
            </w:pPr>
            <w:r>
              <w:rPr/>
              <w:t>Diluted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(0.08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(0.13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(0.35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(0.76</w:t>
            </w:r>
          </w:p>
        </w:tc>
        <w:tc>
          <w:tcPr>
            <w:tcW w:w="350" w:type="dxa"/>
            <w:tcBorders/>
            <w:shd w:fill="CCEEFF" w:val="clear"/>
            <w:vAlign w:val="center"/>
          </w:tcPr>
          <w:p>
            <w:pPr>
              <w:pStyle w:val="TableContents"/>
              <w:bidi w:val="0"/>
              <w:spacing w:before="0" w:after="283"/>
              <w:ind w:left="0" w:right="0" w:hanging="216"/>
              <w:jc w:val="left"/>
              <w:rPr/>
            </w:pPr>
            <w:r>
              <w:rPr/>
              <w:t>)</w:t>
            </w:r>
          </w:p>
        </w:tc>
      </w:tr>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ind w:left="0" w:right="0" w:hanging="216"/>
              <w:jc w:val="left"/>
              <w:rPr/>
            </w:pPr>
            <w:r>
              <w:rPr/>
              <w:t> </w:t>
            </w:r>
          </w:p>
        </w:tc>
      </w:tr>
      <w:tr>
        <w:trPr/>
        <w:tc>
          <w:tcPr>
            <w:tcW w:w="3920" w:type="dxa"/>
            <w:tcBorders/>
            <w:shd w:fill="CCEEFF" w:val="clear"/>
            <w:vAlign w:val="center"/>
          </w:tcPr>
          <w:p>
            <w:pPr>
              <w:pStyle w:val="TableContents"/>
              <w:bidi w:val="0"/>
              <w:spacing w:before="0" w:after="283"/>
              <w:jc w:val="left"/>
              <w:rPr/>
            </w:pPr>
            <w:r>
              <w:rPr/>
              <w:t>Share data: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Weighted average common shares outstanding used in basic per common share calculations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21,001,396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20,985,213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21,018,420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20,962,872</w:t>
            </w:r>
          </w:p>
        </w:tc>
        <w:tc>
          <w:tcPr>
            <w:tcW w:w="35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Dilutive securities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35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Weighted average common shares used in diluted per common share calculations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21,001,396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20,985,213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21,018,420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20,962,872</w:t>
            </w:r>
          </w:p>
        </w:tc>
        <w:tc>
          <w:tcPr>
            <w:tcW w:w="35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Consolidated Statements of Comprehensive Income (Loss) (Unaudited)</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29"/>
        <w:gridCol w:w="90"/>
        <w:gridCol w:w="243"/>
        <w:gridCol w:w="954"/>
        <w:gridCol w:w="179"/>
        <w:gridCol w:w="129"/>
        <w:gridCol w:w="243"/>
        <w:gridCol w:w="1019"/>
        <w:gridCol w:w="125"/>
        <w:gridCol w:w="90"/>
        <w:gridCol w:w="232"/>
        <w:gridCol w:w="911"/>
        <w:gridCol w:w="171"/>
        <w:gridCol w:w="123"/>
        <w:gridCol w:w="232"/>
        <w:gridCol w:w="1076"/>
        <w:gridCol w:w="359"/>
      </w:tblGrid>
      <w:tr>
        <w:trPr/>
        <w:tc>
          <w:tcPr>
            <w:tcW w:w="402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6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359" w:type="dxa"/>
            <w:tcBorders/>
            <w:vAlign w:val="center"/>
          </w:tcPr>
          <w:p>
            <w:pPr>
              <w:pStyle w:val="TableContents"/>
              <w:bidi w:val="0"/>
              <w:spacing w:before="0" w:after="283"/>
              <w:jc w:val="left"/>
              <w:rPr/>
            </w:pPr>
            <w:r>
              <w:rPr/>
              <w:t> </w:t>
            </w:r>
          </w:p>
        </w:tc>
      </w:tr>
      <w:tr>
        <w:trPr/>
        <w:tc>
          <w:tcPr>
            <w:tcW w:w="402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359" w:type="dxa"/>
            <w:tcBorders/>
            <w:vAlign w:val="center"/>
          </w:tcPr>
          <w:p>
            <w:pPr>
              <w:pStyle w:val="TableContents"/>
              <w:bidi w:val="0"/>
              <w:spacing w:before="0" w:after="283"/>
              <w:ind w:left="0" w:right="0" w:hanging="180"/>
              <w:jc w:val="left"/>
              <w:rPr/>
            </w:pPr>
            <w:r>
              <w:rPr/>
              <w:t> </w:t>
            </w:r>
          </w:p>
        </w:tc>
      </w:tr>
      <w:tr>
        <w:trPr/>
        <w:tc>
          <w:tcPr>
            <w:tcW w:w="4029"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(1,666</w:t>
            </w:r>
          </w:p>
        </w:tc>
        <w:tc>
          <w:tcPr>
            <w:tcW w:w="179" w:type="dxa"/>
            <w:tcBorders/>
            <w:shd w:fill="CCEEFF" w:val="clear"/>
            <w:vAlign w:val="center"/>
          </w:tcPr>
          <w:p>
            <w:pPr>
              <w:pStyle w:val="TableContents"/>
              <w:bidi w:val="0"/>
              <w:spacing w:before="0" w:after="283"/>
              <w:jc w:val="left"/>
              <w:rPr/>
            </w:pPr>
            <w:r>
              <w:rPr/>
              <w:t>)</w:t>
            </w:r>
          </w:p>
        </w:tc>
        <w:tc>
          <w:tcPr>
            <w:tcW w:w="129"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(2,705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11" w:type="dxa"/>
            <w:tcBorders>
              <w:bottom w:val="single" w:sz="8" w:space="0" w:color="000000"/>
            </w:tcBorders>
            <w:shd w:fill="CCEEFF" w:val="clear"/>
            <w:tcMar>
              <w:bottom w:w="28" w:type="dxa"/>
            </w:tcMar>
            <w:vAlign w:val="center"/>
          </w:tcPr>
          <w:p>
            <w:pPr>
              <w:pStyle w:val="TableContents"/>
              <w:bidi w:val="0"/>
              <w:spacing w:before="0" w:after="283"/>
              <w:jc w:val="right"/>
              <w:rPr/>
            </w:pPr>
            <w:r>
              <w:rPr/>
              <w:t>(7,257</w:t>
            </w:r>
          </w:p>
        </w:tc>
        <w:tc>
          <w:tcPr>
            <w:tcW w:w="171" w:type="dxa"/>
            <w:tcBorders/>
            <w:shd w:fill="CCEEFF" w:val="clear"/>
            <w:vAlign w:val="center"/>
          </w:tcPr>
          <w:p>
            <w:pPr>
              <w:pStyle w:val="TableContents"/>
              <w:bidi w:val="0"/>
              <w:spacing w:before="0" w:after="283"/>
              <w:jc w:val="left"/>
              <w:rPr/>
            </w:pPr>
            <w:r>
              <w:rPr/>
              <w:t>)</w:t>
            </w:r>
          </w:p>
        </w:tc>
        <w:tc>
          <w:tcPr>
            <w:tcW w:w="123"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pPr>
            <w:r>
              <w:rPr/>
              <w:t>(15,908</w:t>
            </w:r>
          </w:p>
        </w:tc>
        <w:tc>
          <w:tcPr>
            <w:tcW w:w="359" w:type="dxa"/>
            <w:tcBorders/>
            <w:shd w:fill="CCEEFF" w:val="clear"/>
            <w:vAlign w:val="center"/>
          </w:tcPr>
          <w:p>
            <w:pPr>
              <w:pStyle w:val="TableContents"/>
              <w:bidi w:val="0"/>
              <w:spacing w:before="0" w:after="283"/>
              <w:jc w:val="left"/>
              <w:rPr/>
            </w:pPr>
            <w:r>
              <w:rPr/>
              <w:t>)</w:t>
            </w:r>
          </w:p>
        </w:tc>
      </w:tr>
      <w:tr>
        <w:trPr/>
        <w:tc>
          <w:tcPr>
            <w:tcW w:w="402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right"/>
              <w:rPr/>
            </w:pPr>
            <w:r>
              <w:rPr/>
              <w:t> </w:t>
            </w:r>
          </w:p>
        </w:tc>
        <w:tc>
          <w:tcPr>
            <w:tcW w:w="359" w:type="dxa"/>
            <w:tcBorders/>
            <w:vAlign w:val="center"/>
          </w:tcPr>
          <w:p>
            <w:pPr>
              <w:pStyle w:val="TableContents"/>
              <w:bidi w:val="0"/>
              <w:spacing w:before="0" w:after="283"/>
              <w:jc w:val="left"/>
              <w:rPr/>
            </w:pPr>
            <w:r>
              <w:rPr/>
              <w:t> </w:t>
            </w:r>
          </w:p>
        </w:tc>
      </w:tr>
      <w:tr>
        <w:trPr/>
        <w:tc>
          <w:tcPr>
            <w:tcW w:w="4029" w:type="dxa"/>
            <w:tcBorders/>
            <w:shd w:fill="CCEEFF" w:val="clear"/>
            <w:vAlign w:val="center"/>
          </w:tcPr>
          <w:p>
            <w:pPr>
              <w:pStyle w:val="TableContents"/>
              <w:bidi w:val="0"/>
              <w:spacing w:before="0" w:after="283"/>
              <w:jc w:val="left"/>
              <w:rPr/>
            </w:pPr>
            <w:r>
              <w:rPr/>
              <w:t>Other comprehensive income, before income taxes:</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359" w:type="dxa"/>
            <w:tcBorders/>
            <w:shd w:fill="CCEEFF" w:val="clear"/>
            <w:vAlign w:val="center"/>
          </w:tcPr>
          <w:p>
            <w:pPr>
              <w:pStyle w:val="TableContents"/>
              <w:bidi w:val="0"/>
              <w:spacing w:before="0" w:after="283"/>
              <w:ind w:left="0" w:right="0" w:firstLine="36"/>
              <w:jc w:val="left"/>
              <w:rPr/>
            </w:pPr>
            <w:r>
              <w:rPr/>
              <w:t> </w:t>
            </w:r>
          </w:p>
        </w:tc>
      </w:tr>
      <w:tr>
        <w:trPr/>
        <w:tc>
          <w:tcPr>
            <w:tcW w:w="4029" w:type="dxa"/>
            <w:tcBorders/>
            <w:vAlign w:val="center"/>
          </w:tcPr>
          <w:p>
            <w:pPr>
              <w:pStyle w:val="TableContents"/>
              <w:bidi w:val="0"/>
              <w:spacing w:before="0" w:after="283"/>
              <w:jc w:val="left"/>
              <w:rPr/>
            </w:pPr>
            <w:r>
              <w:rPr/>
              <w:t>Holding gains on investments</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3,785</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10,935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8,434</w:t>
            </w:r>
          </w:p>
        </w:tc>
        <w:tc>
          <w:tcPr>
            <w:tcW w:w="17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right"/>
              <w:rPr/>
            </w:pPr>
            <w:r>
              <w:rPr/>
              <w:t>8,165</w:t>
            </w:r>
          </w:p>
        </w:tc>
        <w:tc>
          <w:tcPr>
            <w:tcW w:w="359" w:type="dxa"/>
            <w:tcBorders/>
            <w:vAlign w:val="center"/>
          </w:tcPr>
          <w:p>
            <w:pPr>
              <w:pStyle w:val="TableContents"/>
              <w:bidi w:val="0"/>
              <w:spacing w:before="0" w:after="283"/>
              <w:jc w:val="left"/>
              <w:rPr/>
            </w:pPr>
            <w:r>
              <w:rPr/>
              <w:t> </w:t>
            </w:r>
          </w:p>
        </w:tc>
      </w:tr>
      <w:tr>
        <w:trPr/>
        <w:tc>
          <w:tcPr>
            <w:tcW w:w="4029" w:type="dxa"/>
            <w:tcBorders/>
            <w:shd w:fill="CCEEFF" w:val="clear"/>
            <w:vAlign w:val="center"/>
          </w:tcPr>
          <w:p>
            <w:pPr>
              <w:pStyle w:val="TableContents"/>
              <w:bidi w:val="0"/>
              <w:spacing w:before="0" w:after="283"/>
              <w:jc w:val="left"/>
              <w:rPr/>
            </w:pPr>
            <w:r>
              <w:rPr/>
              <w:t>Reclassification adjustment for net realized losses included in net income</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110</w:t>
            </w:r>
          </w:p>
        </w:tc>
        <w:tc>
          <w:tcPr>
            <w:tcW w:w="17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203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8" w:space="0" w:color="000000"/>
            </w:tcBorders>
            <w:shd w:fill="CCEEFF" w:val="clear"/>
            <w:tcMar>
              <w:bottom w:w="28" w:type="dxa"/>
            </w:tcMar>
            <w:vAlign w:val="center"/>
          </w:tcPr>
          <w:p>
            <w:pPr>
              <w:pStyle w:val="TableContents"/>
              <w:bidi w:val="0"/>
              <w:spacing w:before="0" w:after="283"/>
              <w:jc w:val="right"/>
              <w:rPr/>
            </w:pPr>
            <w:r>
              <w:rPr/>
              <w:t>243</w:t>
            </w:r>
          </w:p>
        </w:tc>
        <w:tc>
          <w:tcPr>
            <w:tcW w:w="17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pPr>
            <w:r>
              <w:rPr/>
              <w:t>243</w:t>
            </w:r>
          </w:p>
        </w:tc>
        <w:tc>
          <w:tcPr>
            <w:tcW w:w="359" w:type="dxa"/>
            <w:tcBorders/>
            <w:shd w:fill="CCEEFF" w:val="clear"/>
            <w:vAlign w:val="center"/>
          </w:tcPr>
          <w:p>
            <w:pPr>
              <w:pStyle w:val="TableContents"/>
              <w:bidi w:val="0"/>
              <w:spacing w:before="0" w:after="283"/>
              <w:jc w:val="left"/>
              <w:rPr/>
            </w:pPr>
            <w:r>
              <w:rPr/>
              <w:t> </w:t>
            </w:r>
          </w:p>
        </w:tc>
      </w:tr>
      <w:tr>
        <w:trPr/>
        <w:tc>
          <w:tcPr>
            <w:tcW w:w="4029" w:type="dxa"/>
            <w:tcBorders/>
            <w:vAlign w:val="center"/>
          </w:tcPr>
          <w:p>
            <w:pPr>
              <w:pStyle w:val="TableContents"/>
              <w:bidi w:val="0"/>
              <w:spacing w:before="0" w:after="283"/>
              <w:jc w:val="left"/>
              <w:rPr/>
            </w:pPr>
            <w:r>
              <w:rPr/>
              <w:t>Other comprehensive income, before income taxes</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3,895</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11,138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8,677</w:t>
            </w:r>
          </w:p>
        </w:tc>
        <w:tc>
          <w:tcPr>
            <w:tcW w:w="17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right"/>
              <w:rPr/>
            </w:pPr>
            <w:r>
              <w:rPr/>
              <w:t>8,408</w:t>
            </w:r>
          </w:p>
        </w:tc>
        <w:tc>
          <w:tcPr>
            <w:tcW w:w="359" w:type="dxa"/>
            <w:tcBorders/>
            <w:vAlign w:val="center"/>
          </w:tcPr>
          <w:p>
            <w:pPr>
              <w:pStyle w:val="TableContents"/>
              <w:bidi w:val="0"/>
              <w:spacing w:before="0" w:after="283"/>
              <w:jc w:val="left"/>
              <w:rPr/>
            </w:pPr>
            <w:r>
              <w:rPr/>
              <w:t> </w:t>
            </w:r>
          </w:p>
        </w:tc>
      </w:tr>
      <w:tr>
        <w:trPr/>
        <w:tc>
          <w:tcPr>
            <w:tcW w:w="4029" w:type="dxa"/>
            <w:tcBorders/>
            <w:shd w:fill="CCEEFF" w:val="clear"/>
            <w:vAlign w:val="center"/>
          </w:tcPr>
          <w:p>
            <w:pPr>
              <w:pStyle w:val="TableContents"/>
              <w:bidi w:val="0"/>
              <w:spacing w:before="0" w:after="283"/>
              <w:jc w:val="left"/>
              <w:rPr/>
            </w:pPr>
            <w:r>
              <w:rPr/>
              <w:t>Income tax expense related to items of other comprehensive income</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(885</w:t>
            </w:r>
          </w:p>
        </w:tc>
        <w:tc>
          <w:tcPr>
            <w:tcW w:w="179" w:type="dxa"/>
            <w:tcBorders/>
            <w:shd w:fill="CCEEFF" w:val="clear"/>
            <w:vAlign w:val="center"/>
          </w:tcPr>
          <w:p>
            <w:pPr>
              <w:pStyle w:val="TableContents"/>
              <w:bidi w:val="0"/>
              <w:spacing w:before="0" w:after="283"/>
              <w:jc w:val="left"/>
              <w:rPr/>
            </w:pPr>
            <w:r>
              <w:rPr/>
              <w:t>)</w:t>
            </w:r>
          </w:p>
        </w:tc>
        <w:tc>
          <w:tcPr>
            <w:tcW w:w="129"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(2,512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8" w:space="0" w:color="000000"/>
            </w:tcBorders>
            <w:shd w:fill="CCEEFF" w:val="clear"/>
            <w:tcMar>
              <w:bottom w:w="28" w:type="dxa"/>
            </w:tcMar>
            <w:vAlign w:val="center"/>
          </w:tcPr>
          <w:p>
            <w:pPr>
              <w:pStyle w:val="TableContents"/>
              <w:bidi w:val="0"/>
              <w:spacing w:before="0" w:after="283"/>
              <w:jc w:val="right"/>
              <w:rPr/>
            </w:pPr>
            <w:r>
              <w:rPr/>
              <w:t>(1,972</w:t>
            </w:r>
          </w:p>
        </w:tc>
        <w:tc>
          <w:tcPr>
            <w:tcW w:w="171" w:type="dxa"/>
            <w:tcBorders/>
            <w:shd w:fill="CCEEFF" w:val="clear"/>
            <w:vAlign w:val="center"/>
          </w:tcPr>
          <w:p>
            <w:pPr>
              <w:pStyle w:val="TableContents"/>
              <w:bidi w:val="0"/>
              <w:spacing w:before="0" w:after="283"/>
              <w:jc w:val="left"/>
              <w:rPr/>
            </w:pPr>
            <w:r>
              <w:rPr/>
              <w:t>)</w:t>
            </w:r>
          </w:p>
        </w:tc>
        <w:tc>
          <w:tcPr>
            <w:tcW w:w="123"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pPr>
            <w:r>
              <w:rPr/>
              <w:t>(1,896</w:t>
            </w:r>
          </w:p>
        </w:tc>
        <w:tc>
          <w:tcPr>
            <w:tcW w:w="359" w:type="dxa"/>
            <w:tcBorders/>
            <w:shd w:fill="CCEEFF" w:val="clear"/>
            <w:vAlign w:val="center"/>
          </w:tcPr>
          <w:p>
            <w:pPr>
              <w:pStyle w:val="TableContents"/>
              <w:bidi w:val="0"/>
              <w:spacing w:before="0" w:after="283"/>
              <w:jc w:val="left"/>
              <w:rPr/>
            </w:pPr>
            <w:r>
              <w:rPr/>
              <w:t>)</w:t>
            </w:r>
          </w:p>
        </w:tc>
      </w:tr>
      <w:tr>
        <w:trPr/>
        <w:tc>
          <w:tcPr>
            <w:tcW w:w="4029" w:type="dxa"/>
            <w:tcBorders/>
            <w:vAlign w:val="center"/>
          </w:tcPr>
          <w:p>
            <w:pPr>
              <w:pStyle w:val="TableContents"/>
              <w:bidi w:val="0"/>
              <w:spacing w:before="0" w:after="283"/>
              <w:jc w:val="left"/>
              <w:rPr/>
            </w:pPr>
            <w:r>
              <w:rPr/>
              <w:t>Other comprehensive income, net of income taxes</w:t>
            </w:r>
          </w:p>
        </w:tc>
        <w:tc>
          <w:tcPr>
            <w:tcW w:w="90" w:type="dxa"/>
            <w:tcBorders/>
            <w:vAlign w:val="center"/>
          </w:tcPr>
          <w:p>
            <w:pPr>
              <w:pStyle w:val="TableContents"/>
              <w:bidi w:val="0"/>
              <w:spacing w:before="0" w:after="283"/>
              <w:jc w:val="left"/>
              <w:rPr/>
            </w:pPr>
            <w:r>
              <w:rPr/>
              <w:t> </w:t>
            </w:r>
          </w:p>
        </w:tc>
        <w:tc>
          <w:tcPr>
            <w:tcW w:w="243" w:type="dxa"/>
            <w:tcBorders>
              <w:bottom w:val="single" w:sz="8" w:space="0" w:color="000000"/>
            </w:tcBorders>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tcMar>
              <w:bottom w:w="28" w:type="dxa"/>
            </w:tcMar>
            <w:vAlign w:val="center"/>
          </w:tcPr>
          <w:p>
            <w:pPr>
              <w:pStyle w:val="TableContents"/>
              <w:bidi w:val="0"/>
              <w:spacing w:before="0" w:after="283"/>
              <w:jc w:val="right"/>
              <w:rPr/>
            </w:pPr>
            <w:r>
              <w:rPr/>
              <w:t>3,010</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3"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right"/>
              <w:rPr/>
            </w:pPr>
            <w:r>
              <w:rPr/>
              <w:t>8,626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bottom w:val="single" w:sz="8" w:space="0" w:color="000000"/>
            </w:tcBorders>
            <w:tcMar>
              <w:bottom w:w="28" w:type="dxa"/>
            </w:tcMar>
            <w:vAlign w:val="center"/>
          </w:tcPr>
          <w:p>
            <w:pPr>
              <w:pStyle w:val="TableContents"/>
              <w:bidi w:val="0"/>
              <w:spacing w:before="0" w:after="283"/>
              <w:jc w:val="left"/>
              <w:rPr/>
            </w:pPr>
            <w:r>
              <w:rPr/>
              <w:t> </w:t>
            </w:r>
          </w:p>
        </w:tc>
        <w:tc>
          <w:tcPr>
            <w:tcW w:w="911" w:type="dxa"/>
            <w:tcBorders>
              <w:bottom w:val="single" w:sz="8" w:space="0" w:color="000000"/>
            </w:tcBorders>
            <w:tcMar>
              <w:bottom w:w="28" w:type="dxa"/>
            </w:tcMar>
            <w:vAlign w:val="center"/>
          </w:tcPr>
          <w:p>
            <w:pPr>
              <w:pStyle w:val="TableContents"/>
              <w:bidi w:val="0"/>
              <w:spacing w:before="0" w:after="283"/>
              <w:jc w:val="right"/>
              <w:rPr/>
            </w:pPr>
            <w:r>
              <w:rPr/>
              <w:t>6,705</w:t>
            </w:r>
          </w:p>
        </w:tc>
        <w:tc>
          <w:tcPr>
            <w:tcW w:w="17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32" w:type="dxa"/>
            <w:tcBorders>
              <w:bottom w:val="single" w:sz="8" w:space="0" w:color="000000"/>
            </w:tcBorders>
            <w:tcMar>
              <w:bottom w:w="28" w:type="dxa"/>
            </w:tcMar>
            <w:vAlign w:val="center"/>
          </w:tcPr>
          <w:p>
            <w:pPr>
              <w:pStyle w:val="TableContents"/>
              <w:bidi w:val="0"/>
              <w:spacing w:before="0" w:after="283"/>
              <w:jc w:val="left"/>
              <w:rPr/>
            </w:pPr>
            <w:r>
              <w:rPr/>
              <w:t> </w:t>
            </w:r>
          </w:p>
        </w:tc>
        <w:tc>
          <w:tcPr>
            <w:tcW w:w="1076" w:type="dxa"/>
            <w:tcBorders>
              <w:bottom w:val="single" w:sz="8" w:space="0" w:color="000000"/>
            </w:tcBorders>
            <w:tcMar>
              <w:bottom w:w="28" w:type="dxa"/>
            </w:tcMar>
            <w:vAlign w:val="center"/>
          </w:tcPr>
          <w:p>
            <w:pPr>
              <w:pStyle w:val="TableContents"/>
              <w:bidi w:val="0"/>
              <w:spacing w:before="0" w:after="283"/>
              <w:jc w:val="right"/>
              <w:rPr/>
            </w:pPr>
            <w:r>
              <w:rPr/>
              <w:t>6,512</w:t>
            </w:r>
          </w:p>
        </w:tc>
        <w:tc>
          <w:tcPr>
            <w:tcW w:w="359" w:type="dxa"/>
            <w:tcBorders/>
            <w:vAlign w:val="center"/>
          </w:tcPr>
          <w:p>
            <w:pPr>
              <w:pStyle w:val="TableContents"/>
              <w:bidi w:val="0"/>
              <w:spacing w:before="0" w:after="283"/>
              <w:ind w:left="0" w:right="0" w:firstLine="216"/>
              <w:jc w:val="left"/>
              <w:rPr/>
            </w:pPr>
            <w:r>
              <w:rPr/>
              <w:t> </w:t>
            </w:r>
          </w:p>
        </w:tc>
      </w:tr>
      <w:tr>
        <w:trPr/>
        <w:tc>
          <w:tcPr>
            <w:tcW w:w="402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359" w:type="dxa"/>
            <w:tcBorders/>
            <w:shd w:fill="CCEEFF" w:val="clear"/>
            <w:vAlign w:val="center"/>
          </w:tcPr>
          <w:p>
            <w:pPr>
              <w:pStyle w:val="TableContents"/>
              <w:bidi w:val="0"/>
              <w:spacing w:before="0" w:after="283"/>
              <w:ind w:left="0" w:right="0" w:hanging="288"/>
              <w:jc w:val="left"/>
              <w:rPr/>
            </w:pPr>
            <w:r>
              <w:rPr/>
              <w:t> </w:t>
            </w:r>
          </w:p>
        </w:tc>
      </w:tr>
      <w:tr>
        <w:trPr/>
        <w:tc>
          <w:tcPr>
            <w:tcW w:w="4029" w:type="dxa"/>
            <w:tcBorders/>
            <w:vAlign w:val="center"/>
          </w:tcPr>
          <w:p>
            <w:pPr>
              <w:pStyle w:val="TableContents"/>
              <w:bidi w:val="0"/>
              <w:spacing w:before="0" w:after="283"/>
              <w:jc w:val="left"/>
              <w:rPr/>
            </w:pPr>
            <w:r>
              <w:rPr/>
              <w:t>Comprehensive income (loss)</w:t>
            </w:r>
          </w:p>
        </w:tc>
        <w:tc>
          <w:tcPr>
            <w:tcW w:w="90" w:type="dxa"/>
            <w:tcBorders/>
            <w:vAlign w:val="center"/>
          </w:tcPr>
          <w:p>
            <w:pPr>
              <w:pStyle w:val="TableContents"/>
              <w:bidi w:val="0"/>
              <w:spacing w:before="0" w:after="283"/>
              <w:jc w:val="left"/>
              <w:rPr/>
            </w:pPr>
            <w:r>
              <w:rPr/>
              <w:t> </w:t>
            </w:r>
          </w:p>
        </w:tc>
        <w:tc>
          <w:tcPr>
            <w:tcW w:w="243" w:type="dxa"/>
            <w:tcBorders>
              <w:bottom w:val="double" w:sz="6" w:space="0" w:color="000000"/>
            </w:tcBorders>
            <w:tcMar>
              <w:bottom w:w="28" w:type="dxa"/>
            </w:tcMar>
            <w:vAlign w:val="center"/>
          </w:tcPr>
          <w:p>
            <w:pPr>
              <w:pStyle w:val="TableContents"/>
              <w:bidi w:val="0"/>
              <w:spacing w:before="0" w:after="283"/>
              <w:jc w:val="left"/>
              <w:rPr/>
            </w:pPr>
            <w:r>
              <w:rPr/>
              <w:t>$</w:t>
            </w:r>
          </w:p>
        </w:tc>
        <w:tc>
          <w:tcPr>
            <w:tcW w:w="954" w:type="dxa"/>
            <w:tcBorders>
              <w:bottom w:val="double" w:sz="6" w:space="0" w:color="000000"/>
            </w:tcBorders>
            <w:tcMar>
              <w:bottom w:w="28" w:type="dxa"/>
            </w:tcMar>
            <w:vAlign w:val="center"/>
          </w:tcPr>
          <w:p>
            <w:pPr>
              <w:pStyle w:val="TableContents"/>
              <w:bidi w:val="0"/>
              <w:spacing w:before="0" w:after="283"/>
              <w:jc w:val="right"/>
              <w:rPr/>
            </w:pPr>
            <w:r>
              <w:rPr/>
              <w:t>1,344</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3" w:type="dxa"/>
            <w:tcBorders>
              <w:bottom w:val="double" w:sz="6" w:space="0" w:color="000000"/>
            </w:tcBorders>
            <w:tcMar>
              <w:bottom w:w="28" w:type="dxa"/>
            </w:tcMar>
            <w:vAlign w:val="center"/>
          </w:tcPr>
          <w:p>
            <w:pPr>
              <w:pStyle w:val="TableContents"/>
              <w:bidi w:val="0"/>
              <w:spacing w:before="0" w:after="283"/>
              <w:jc w:val="left"/>
              <w:rPr/>
            </w:pPr>
            <w:r>
              <w:rPr/>
              <w:t>$</w:t>
            </w:r>
          </w:p>
        </w:tc>
        <w:tc>
          <w:tcPr>
            <w:tcW w:w="1019" w:type="dxa"/>
            <w:tcBorders>
              <w:bottom w:val="double" w:sz="6" w:space="0" w:color="000000"/>
            </w:tcBorders>
            <w:tcMar>
              <w:bottom w:w="28" w:type="dxa"/>
            </w:tcMar>
            <w:vAlign w:val="center"/>
          </w:tcPr>
          <w:p>
            <w:pPr>
              <w:pStyle w:val="TableContents"/>
              <w:bidi w:val="0"/>
              <w:spacing w:before="0" w:after="283"/>
              <w:jc w:val="right"/>
              <w:rPr/>
            </w:pPr>
            <w:r>
              <w:rPr/>
              <w:t>5,921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bottom w:val="double" w:sz="6" w:space="0" w:color="000000"/>
            </w:tcBorders>
            <w:tcMar>
              <w:bottom w:w="28" w:type="dxa"/>
            </w:tcMar>
            <w:vAlign w:val="center"/>
          </w:tcPr>
          <w:p>
            <w:pPr>
              <w:pStyle w:val="TableContents"/>
              <w:bidi w:val="0"/>
              <w:spacing w:before="0" w:after="283"/>
              <w:jc w:val="left"/>
              <w:rPr/>
            </w:pPr>
            <w:r>
              <w:rPr/>
              <w:t>$</w:t>
            </w:r>
          </w:p>
        </w:tc>
        <w:tc>
          <w:tcPr>
            <w:tcW w:w="911" w:type="dxa"/>
            <w:tcBorders>
              <w:bottom w:val="double" w:sz="6" w:space="0" w:color="000000"/>
            </w:tcBorders>
            <w:tcMar>
              <w:bottom w:w="28" w:type="dxa"/>
            </w:tcMar>
            <w:vAlign w:val="center"/>
          </w:tcPr>
          <w:p>
            <w:pPr>
              <w:pStyle w:val="TableContents"/>
              <w:bidi w:val="0"/>
              <w:spacing w:before="0" w:after="283"/>
              <w:jc w:val="right"/>
              <w:rPr/>
            </w:pPr>
            <w:r>
              <w:rPr/>
              <w:t>(552</w:t>
            </w:r>
          </w:p>
        </w:tc>
        <w:tc>
          <w:tcPr>
            <w:tcW w:w="171" w:type="dxa"/>
            <w:tcBorders/>
            <w:vAlign w:val="center"/>
          </w:tcPr>
          <w:p>
            <w:pPr>
              <w:pStyle w:val="TableContents"/>
              <w:bidi w:val="0"/>
              <w:spacing w:before="0" w:after="283"/>
              <w:jc w:val="left"/>
              <w:rPr/>
            </w:pPr>
            <w:r>
              <w:rPr/>
              <w:t>)</w:t>
            </w:r>
          </w:p>
        </w:tc>
        <w:tc>
          <w:tcPr>
            <w:tcW w:w="123" w:type="dxa"/>
            <w:tcBorders/>
            <w:vAlign w:val="center"/>
          </w:tcPr>
          <w:p>
            <w:pPr>
              <w:pStyle w:val="TableContents"/>
              <w:bidi w:val="0"/>
              <w:spacing w:before="0" w:after="283"/>
              <w:jc w:val="left"/>
              <w:rPr/>
            </w:pPr>
            <w:r>
              <w:rPr/>
              <w:t> </w:t>
            </w:r>
          </w:p>
        </w:tc>
        <w:tc>
          <w:tcPr>
            <w:tcW w:w="232" w:type="dxa"/>
            <w:tcBorders>
              <w:bottom w:val="double" w:sz="6" w:space="0" w:color="000000"/>
            </w:tcBorders>
            <w:tcMar>
              <w:bottom w:w="28" w:type="dxa"/>
            </w:tcMar>
            <w:vAlign w:val="center"/>
          </w:tcPr>
          <w:p>
            <w:pPr>
              <w:pStyle w:val="TableContents"/>
              <w:bidi w:val="0"/>
              <w:spacing w:before="0" w:after="283"/>
              <w:jc w:val="left"/>
              <w:rPr/>
            </w:pPr>
            <w:r>
              <w:rPr/>
              <w:t>$</w:t>
            </w:r>
          </w:p>
        </w:tc>
        <w:tc>
          <w:tcPr>
            <w:tcW w:w="1076" w:type="dxa"/>
            <w:tcBorders>
              <w:bottom w:val="double" w:sz="6" w:space="0" w:color="000000"/>
            </w:tcBorders>
            <w:tcMar>
              <w:bottom w:w="28" w:type="dxa"/>
            </w:tcMar>
            <w:vAlign w:val="center"/>
          </w:tcPr>
          <w:p>
            <w:pPr>
              <w:pStyle w:val="TableContents"/>
              <w:bidi w:val="0"/>
              <w:spacing w:before="0" w:after="283"/>
              <w:jc w:val="right"/>
              <w:rPr/>
            </w:pPr>
            <w:r>
              <w:rPr/>
              <w:t>(9,396</w:t>
            </w:r>
          </w:p>
        </w:tc>
        <w:tc>
          <w:tcPr>
            <w:tcW w:w="359" w:type="dxa"/>
            <w:tcBorders/>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Consolidated Statements of Changes in Shareholders’ Equity (Unaudited)</w:t>
      </w:r>
    </w:p>
    <w:p>
      <w:pPr>
        <w:pStyle w:val="TextBody"/>
        <w:bidi w:val="0"/>
        <w:spacing w:before="0" w:after="6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w:t>
      </w:r>
    </w:p>
    <w:tbl>
      <w:tblPr>
        <w:tblW w:w="13400" w:type="dxa"/>
        <w:jc w:val="left"/>
        <w:tblInd w:w="0" w:type="dxa"/>
        <w:tblLayout w:type="fixed"/>
        <w:tblCellMar>
          <w:top w:w="0" w:type="dxa"/>
          <w:left w:w="0" w:type="dxa"/>
          <w:bottom w:w="28" w:type="dxa"/>
          <w:right w:w="0" w:type="dxa"/>
        </w:tblCellMar>
      </w:tblPr>
      <w:tblGrid>
        <w:gridCol w:w="1565"/>
        <w:gridCol w:w="90"/>
        <w:gridCol w:w="291"/>
        <w:gridCol w:w="704"/>
        <w:gridCol w:w="90"/>
        <w:gridCol w:w="90"/>
        <w:gridCol w:w="218"/>
        <w:gridCol w:w="912"/>
        <w:gridCol w:w="125"/>
        <w:gridCol w:w="90"/>
        <w:gridCol w:w="304"/>
        <w:gridCol w:w="871"/>
        <w:gridCol w:w="125"/>
        <w:gridCol w:w="90"/>
        <w:gridCol w:w="170"/>
        <w:gridCol w:w="830"/>
        <w:gridCol w:w="125"/>
        <w:gridCol w:w="90"/>
        <w:gridCol w:w="291"/>
        <w:gridCol w:w="1349"/>
        <w:gridCol w:w="125"/>
        <w:gridCol w:w="90"/>
        <w:gridCol w:w="177"/>
        <w:gridCol w:w="818"/>
        <w:gridCol w:w="125"/>
        <w:gridCol w:w="90"/>
        <w:gridCol w:w="639"/>
        <w:gridCol w:w="1091"/>
        <w:gridCol w:w="90"/>
        <w:gridCol w:w="90"/>
        <w:gridCol w:w="250"/>
        <w:gridCol w:w="1225"/>
        <w:gridCol w:w="170"/>
      </w:tblGrid>
      <w:tr>
        <w:trPr/>
        <w:tc>
          <w:tcPr>
            <w:tcW w:w="13400" w:type="dxa"/>
            <w:gridSpan w:val="33"/>
            <w:tcBorders>
              <w:bottom w:val="single" w:sz="8" w:space="0" w:color="000000"/>
            </w:tcBorders>
            <w:vAlign w:val="center"/>
          </w:tcPr>
          <w:p>
            <w:pPr>
              <w:pStyle w:val="TableContents"/>
              <w:bidi w:val="0"/>
              <w:spacing w:before="0" w:after="283"/>
              <w:jc w:val="center"/>
              <w:rPr>
                <w:b/>
              </w:rPr>
            </w:pPr>
            <w:r>
              <w:rPr>
                <w:b/>
              </w:rPr>
              <w:t>Three Months Ended September 30, 2025</w:t>
            </w:r>
          </w:p>
        </w:tc>
      </w:tr>
      <w:tr>
        <w:trPr/>
        <w:tc>
          <w:tcPr>
            <w:tcW w:w="15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b/>
              </w:rPr>
            </w:pPr>
            <w:r>
              <w:rPr>
                <w:b/>
              </w:rPr>
              <w:t>Common</w:t>
              <w:br/>
              <w:t>Stock</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gridSpan w:val="2"/>
            <w:tcBorders>
              <w:bottom w:val="single" w:sz="8" w:space="0" w:color="000000"/>
            </w:tcBorders>
            <w:vAlign w:val="center"/>
          </w:tcPr>
          <w:p>
            <w:pPr>
              <w:pStyle w:val="TableContents"/>
              <w:bidi w:val="0"/>
              <w:spacing w:before="0" w:after="283"/>
              <w:jc w:val="center"/>
              <w:rPr>
                <w:b/>
              </w:rPr>
            </w:pPr>
            <w:r>
              <w:rPr>
                <w:b/>
              </w:rPr>
              <w:t>Additional</w:t>
              <w:br/>
              <w:t xml:space="preserve">Paid-in </w:t>
              <w:br/>
              <w:t>Capital</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8" w:space="0" w:color="000000"/>
            </w:tcBorders>
            <w:vAlign w:val="center"/>
          </w:tcPr>
          <w:p>
            <w:pPr>
              <w:pStyle w:val="TableContents"/>
              <w:bidi w:val="0"/>
              <w:spacing w:before="0" w:after="283"/>
              <w:jc w:val="center"/>
              <w:rPr>
                <w:b/>
              </w:rPr>
            </w:pPr>
            <w:r>
              <w:rPr>
                <w:b/>
              </w:rPr>
              <w:t xml:space="preserve">Unearned </w:t>
              <w:br/>
              <w:t>Employee</w:t>
              <w:br/>
              <w:t xml:space="preserve">Stock </w:t>
              <w:br/>
              <w:t>Ownership</w:t>
              <w:br/>
              <w:t>Plan Shares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8" w:space="0" w:color="000000"/>
            </w:tcBorders>
            <w:vAlign w:val="center"/>
          </w:tcPr>
          <w:p>
            <w:pPr>
              <w:pStyle w:val="TableContents"/>
              <w:bidi w:val="0"/>
              <w:spacing w:before="0" w:after="283"/>
              <w:jc w:val="center"/>
              <w:rPr>
                <w:b/>
              </w:rPr>
            </w:pPr>
            <w:r>
              <w:rPr>
                <w:b/>
              </w:rPr>
              <w:t xml:space="preserve">Retained </w:t>
              <w:br/>
              <w:t>Earnings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40" w:type="dxa"/>
            <w:gridSpan w:val="2"/>
            <w:tcBorders>
              <w:bottom w:val="single" w:sz="8" w:space="0" w:color="000000"/>
            </w:tcBorders>
            <w:vAlign w:val="center"/>
          </w:tcPr>
          <w:p>
            <w:pPr>
              <w:pStyle w:val="TableContents"/>
              <w:bidi w:val="0"/>
              <w:spacing w:before="0" w:after="283"/>
              <w:jc w:val="center"/>
              <w:rPr>
                <w:b/>
              </w:rPr>
            </w:pPr>
            <w:r>
              <w:rPr>
                <w:b/>
              </w:rPr>
              <w:t xml:space="preserve">Accumulated </w:t>
              <w:br/>
              <w:t xml:space="preserve">Other </w:t>
              <w:br/>
              <w:t xml:space="preserve">Comprehensive </w:t>
              <w:br/>
              <w:t xml:space="preserve">Loss, Net of </w:t>
              <w:br/>
              <w:t>Income Taxes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b/>
              </w:rPr>
            </w:pPr>
            <w:r>
              <w:rPr>
                <w:b/>
              </w:rPr>
              <w:t xml:space="preserve">Treasury </w:t>
              <w:br/>
              <w:t>Stock</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0" w:type="dxa"/>
            <w:gridSpan w:val="2"/>
            <w:tcBorders>
              <w:bottom w:val="single" w:sz="8" w:space="0" w:color="000000"/>
            </w:tcBorders>
            <w:vAlign w:val="center"/>
          </w:tcPr>
          <w:p>
            <w:pPr>
              <w:pStyle w:val="TableContents"/>
              <w:bidi w:val="0"/>
              <w:spacing w:before="0" w:after="283"/>
              <w:jc w:val="center"/>
              <w:rPr>
                <w:b/>
              </w:rPr>
            </w:pPr>
            <w:r>
              <w:rPr>
                <w:b/>
              </w:rPr>
              <w:t xml:space="preserve">Non-Controlling </w:t>
              <w:br/>
              <w:t>Interest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gridSpan w:val="2"/>
            <w:tcBorders>
              <w:bottom w:val="single" w:sz="8" w:space="0" w:color="000000"/>
            </w:tcBorders>
            <w:vAlign w:val="center"/>
          </w:tcPr>
          <w:p>
            <w:pPr>
              <w:pStyle w:val="TableContents"/>
              <w:bidi w:val="0"/>
              <w:spacing w:before="0" w:after="283"/>
              <w:jc w:val="center"/>
              <w:rPr>
                <w:b/>
              </w:rPr>
            </w:pPr>
            <w:r>
              <w:rPr>
                <w:b/>
              </w:rPr>
              <w:t xml:space="preserve">Total </w:t>
              <w:br/>
              <w:t xml:space="preserve">Shareholders’ </w:t>
              <w:br/>
              <w:t>Equity</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 xml:space="preserve">Balance, </w:t>
              <w:br/>
              <w:t>July 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w:t>
            </w:r>
          </w:p>
        </w:tc>
        <w:tc>
          <w:tcPr>
            <w:tcW w:w="704" w:type="dxa"/>
            <w:tcBorders/>
            <w:shd w:fill="CCEEFF" w:val="clear"/>
            <w:tcMar>
              <w:bottom w:w="0" w:type="dxa"/>
            </w:tcMar>
            <w:vAlign w:val="center"/>
          </w:tcPr>
          <w:p>
            <w:pPr>
              <w:pStyle w:val="TableContents"/>
              <w:bidi w:val="0"/>
              <w:spacing w:before="0" w:after="283"/>
              <w:jc w:val="right"/>
              <w:rPr/>
            </w:pPr>
            <w:r>
              <w:rPr/>
              <w:t>230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w:t>
            </w:r>
          </w:p>
        </w:tc>
        <w:tc>
          <w:tcPr>
            <w:tcW w:w="912" w:type="dxa"/>
            <w:tcBorders/>
            <w:shd w:fill="CCEEFF" w:val="clear"/>
            <w:tcMar>
              <w:bottom w:w="0" w:type="dxa"/>
            </w:tcMar>
            <w:vAlign w:val="center"/>
          </w:tcPr>
          <w:p>
            <w:pPr>
              <w:pStyle w:val="TableContents"/>
              <w:bidi w:val="0"/>
              <w:spacing w:before="0" w:after="283"/>
              <w:jc w:val="right"/>
              <w:rPr/>
            </w:pPr>
            <w:r>
              <w:rPr/>
              <w:t>95,824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w:t>
            </w:r>
          </w:p>
        </w:tc>
        <w:tc>
          <w:tcPr>
            <w:tcW w:w="871" w:type="dxa"/>
            <w:tcBorders/>
            <w:shd w:fill="CCEEFF" w:val="clear"/>
            <w:tcMar>
              <w:bottom w:w="0" w:type="dxa"/>
            </w:tcMar>
            <w:vAlign w:val="center"/>
          </w:tcPr>
          <w:p>
            <w:pPr>
              <w:pStyle w:val="TableContents"/>
              <w:bidi w:val="0"/>
              <w:spacing w:before="0" w:after="283"/>
              <w:jc w:val="right"/>
              <w:rPr/>
            </w:pPr>
            <w:r>
              <w:rPr/>
              <w:t>(455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195,912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w:t>
            </w:r>
          </w:p>
        </w:tc>
        <w:tc>
          <w:tcPr>
            <w:tcW w:w="1349" w:type="dxa"/>
            <w:tcBorders/>
            <w:shd w:fill="CCEEFF" w:val="clear"/>
            <w:tcMar>
              <w:bottom w:w="0" w:type="dxa"/>
            </w:tcMar>
            <w:vAlign w:val="center"/>
          </w:tcPr>
          <w:p>
            <w:pPr>
              <w:pStyle w:val="TableContents"/>
              <w:bidi w:val="0"/>
              <w:spacing w:before="0" w:after="283"/>
              <w:jc w:val="right"/>
              <w:rPr/>
            </w:pPr>
            <w:r>
              <w:rPr/>
              <w:t>(14,536</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w:t>
            </w:r>
          </w:p>
        </w:tc>
        <w:tc>
          <w:tcPr>
            <w:tcW w:w="818" w:type="dxa"/>
            <w:tcBorders/>
            <w:shd w:fill="CCEEFF" w:val="clear"/>
            <w:tcMar>
              <w:bottom w:w="0" w:type="dxa"/>
            </w:tcMar>
            <w:vAlign w:val="center"/>
          </w:tcPr>
          <w:p>
            <w:pPr>
              <w:pStyle w:val="TableContents"/>
              <w:bidi w:val="0"/>
              <w:spacing w:before="0" w:after="283"/>
              <w:jc w:val="right"/>
              <w:rPr/>
            </w:pPr>
            <w:r>
              <w:rPr/>
              <w:t>(33,652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shd w:fill="CCEEFF" w:val="clear"/>
            <w:tcMar>
              <w:bottom w:w="0" w:type="dxa"/>
            </w:tcMar>
            <w:vAlign w:val="center"/>
          </w:tcPr>
          <w:p>
            <w:pPr>
              <w:pStyle w:val="TableContents"/>
              <w:bidi w:val="0"/>
              <w:spacing w:before="0" w:after="283"/>
              <w:jc w:val="left"/>
              <w:rPr/>
            </w:pPr>
            <w:r>
              <w:rPr/>
              <w:t>$</w:t>
            </w:r>
          </w:p>
        </w:tc>
        <w:tc>
          <w:tcPr>
            <w:tcW w:w="109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w:t>
            </w:r>
          </w:p>
        </w:tc>
        <w:tc>
          <w:tcPr>
            <w:tcW w:w="1225" w:type="dxa"/>
            <w:tcBorders/>
            <w:shd w:fill="CCEEFF" w:val="clear"/>
            <w:tcMar>
              <w:bottom w:w="0" w:type="dxa"/>
            </w:tcMar>
            <w:vAlign w:val="center"/>
          </w:tcPr>
          <w:p>
            <w:pPr>
              <w:pStyle w:val="TableContents"/>
              <w:bidi w:val="0"/>
              <w:spacing w:before="0" w:after="283"/>
              <w:jc w:val="right"/>
              <w:rPr/>
            </w:pPr>
            <w:r>
              <w:rPr/>
              <w:t>243,323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9"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Battle Creek demutualization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shd w:fill="CCEEFF" w:val="clear"/>
            <w:tcMar>
              <w:bottom w:w="0" w:type="dxa"/>
            </w:tcMar>
            <w:vAlign w:val="center"/>
          </w:tcPr>
          <w:p>
            <w:pPr>
              <w:pStyle w:val="TableContents"/>
              <w:bidi w:val="0"/>
              <w:spacing w:before="0" w:after="283"/>
              <w:jc w:val="left"/>
              <w:rPr/>
            </w:pPr>
            <w:r>
              <w:rPr/>
              <w:t> </w:t>
            </w:r>
          </w:p>
        </w:tc>
        <w:tc>
          <w:tcPr>
            <w:tcW w:w="109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Net loss</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(1,666</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9"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(1,666</w:t>
            </w:r>
          </w:p>
        </w:tc>
        <w:tc>
          <w:tcPr>
            <w:tcW w:w="170" w:type="dxa"/>
            <w:tcBorders/>
            <w:tcMar>
              <w:bottom w:w="0" w:type="dxa"/>
            </w:tcMar>
            <w:vAlign w:val="center"/>
          </w:tcPr>
          <w:p>
            <w:pPr>
              <w:pStyle w:val="TableContents"/>
              <w:bidi w:val="0"/>
              <w:spacing w:before="0" w:after="283"/>
              <w:jc w:val="left"/>
              <w:rPr/>
            </w:pPr>
            <w:r>
              <w:rPr/>
              <w:t>)</w:t>
            </w:r>
          </w:p>
        </w:tc>
      </w:tr>
      <w:tr>
        <w:trPr/>
        <w:tc>
          <w:tcPr>
            <w:tcW w:w="1565" w:type="dxa"/>
            <w:tcBorders/>
            <w:shd w:fill="CCEEFF" w:val="clear"/>
            <w:tcMar>
              <w:bottom w:w="0" w:type="dxa"/>
            </w:tcMar>
            <w:vAlign w:val="center"/>
          </w:tcPr>
          <w:p>
            <w:pPr>
              <w:pStyle w:val="TableContents"/>
              <w:bidi w:val="0"/>
              <w:spacing w:before="0" w:after="283"/>
              <w:jc w:val="left"/>
              <w:rPr/>
            </w:pPr>
            <w:r>
              <w:rPr/>
              <w:t>Impact of Westminster unrealized investment gains/losses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shd w:fill="CCEEFF" w:val="clear"/>
            <w:tcMar>
              <w:bottom w:w="0" w:type="dxa"/>
            </w:tcMar>
            <w:vAlign w:val="center"/>
          </w:tcPr>
          <w:p>
            <w:pPr>
              <w:pStyle w:val="TableContents"/>
              <w:bidi w:val="0"/>
              <w:spacing w:before="0" w:after="283"/>
              <w:jc w:val="left"/>
              <w:rPr/>
            </w:pPr>
            <w:r>
              <w:rPr/>
              <w:t> </w:t>
            </w:r>
          </w:p>
        </w:tc>
        <w:tc>
          <w:tcPr>
            <w:tcW w:w="109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Other comprehensive income, net of income taxes</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right"/>
              <w:rPr/>
            </w:pPr>
            <w:r>
              <w:rPr/>
              <w:t>3,010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9"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3,010</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Purchase of treasury stock</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(1,156</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shd w:fill="CCEEFF" w:val="clear"/>
            <w:tcMar>
              <w:bottom w:w="0" w:type="dxa"/>
            </w:tcMar>
            <w:vAlign w:val="center"/>
          </w:tcPr>
          <w:p>
            <w:pPr>
              <w:pStyle w:val="TableContents"/>
              <w:bidi w:val="0"/>
              <w:spacing w:before="0" w:after="283"/>
              <w:jc w:val="left"/>
              <w:rPr/>
            </w:pPr>
            <w:r>
              <w:rPr/>
              <w:t> </w:t>
            </w:r>
          </w:p>
        </w:tc>
        <w:tc>
          <w:tcPr>
            <w:tcW w:w="109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(1,156</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1565" w:type="dxa"/>
            <w:tcBorders/>
            <w:tcMar>
              <w:bottom w:w="0" w:type="dxa"/>
            </w:tcMar>
            <w:vAlign w:val="center"/>
          </w:tcPr>
          <w:p>
            <w:pPr>
              <w:pStyle w:val="TableContents"/>
              <w:bidi w:val="0"/>
              <w:spacing w:before="0" w:after="283"/>
              <w:jc w:val="left"/>
              <w:rPr/>
            </w:pPr>
            <w:r>
              <w:rPr/>
              <w:t>Share-based compensation</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283"/>
              <w:jc w:val="right"/>
              <w:rPr/>
            </w:pPr>
            <w:r>
              <w:rPr/>
              <w:t>304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9"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304</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Issuance of vested award shares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bottom w:val="single" w:sz="8" w:space="0" w:color="000000"/>
            </w:tcBorders>
            <w:shd w:fill="CCEEFF" w:val="clear"/>
            <w:vAlign w:val="center"/>
          </w:tcPr>
          <w:p>
            <w:pPr>
              <w:pStyle w:val="TableContents"/>
              <w:bidi w:val="0"/>
              <w:spacing w:before="0" w:after="283"/>
              <w:jc w:val="left"/>
              <w:rPr/>
            </w:pPr>
            <w:r>
              <w:rPr/>
              <w:t> </w:t>
            </w:r>
          </w:p>
        </w:tc>
        <w:tc>
          <w:tcPr>
            <w:tcW w:w="704" w:type="dxa"/>
            <w:tcBorders>
              <w:bottom w:val="single" w:sz="8"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bottom w:val="single" w:sz="8" w:space="0" w:color="000000"/>
            </w:tcBorders>
            <w:shd w:fill="CCEEFF" w:val="clear"/>
            <w:vAlign w:val="center"/>
          </w:tcPr>
          <w:p>
            <w:pPr>
              <w:pStyle w:val="TableContents"/>
              <w:bidi w:val="0"/>
              <w:spacing w:before="0" w:after="283"/>
              <w:jc w:val="left"/>
              <w:rPr/>
            </w:pPr>
            <w:r>
              <w:rPr/>
              <w:t> </w:t>
            </w:r>
          </w:p>
        </w:tc>
        <w:tc>
          <w:tcPr>
            <w:tcW w:w="912" w:type="dxa"/>
            <w:tcBorders>
              <w:bottom w:val="single" w:sz="8" w:space="0" w:color="000000"/>
            </w:tcBorders>
            <w:shd w:fill="CCEEFF" w:val="clear"/>
            <w:vAlign w:val="center"/>
          </w:tcPr>
          <w:p>
            <w:pPr>
              <w:pStyle w:val="TableContents"/>
              <w:bidi w:val="0"/>
              <w:spacing w:before="0" w:after="283"/>
              <w:jc w:val="right"/>
              <w:rPr/>
            </w:pPr>
            <w:r>
              <w:rPr/>
              <w:t>(61</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bottom w:val="single" w:sz="8" w:space="0" w:color="000000"/>
            </w:tcBorders>
            <w:shd w:fill="CCEEFF" w:val="clear"/>
            <w:vAlign w:val="center"/>
          </w:tcPr>
          <w:p>
            <w:pPr>
              <w:pStyle w:val="TableContents"/>
              <w:bidi w:val="0"/>
              <w:spacing w:before="0" w:after="283"/>
              <w:jc w:val="left"/>
              <w:rPr/>
            </w:pPr>
            <w:r>
              <w:rPr/>
              <w:t> </w:t>
            </w:r>
          </w:p>
        </w:tc>
        <w:tc>
          <w:tcPr>
            <w:tcW w:w="871"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(13</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bottom w:val="single" w:sz="8" w:space="0" w:color="000000"/>
            </w:tcBorders>
            <w:shd w:fill="CCEEFF" w:val="clear"/>
            <w:vAlign w:val="center"/>
          </w:tcPr>
          <w:p>
            <w:pPr>
              <w:pStyle w:val="TableContents"/>
              <w:bidi w:val="0"/>
              <w:spacing w:before="0" w:after="283"/>
              <w:jc w:val="left"/>
              <w:rPr/>
            </w:pPr>
            <w:r>
              <w:rPr/>
              <w:t> </w:t>
            </w:r>
          </w:p>
        </w:tc>
        <w:tc>
          <w:tcPr>
            <w:tcW w:w="1349"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bottom w:val="single" w:sz="8" w:space="0" w:color="000000"/>
            </w:tcBorders>
            <w:shd w:fill="CCEEFF" w:val="clear"/>
            <w:vAlign w:val="center"/>
          </w:tcPr>
          <w:p>
            <w:pPr>
              <w:pStyle w:val="TableContents"/>
              <w:bidi w:val="0"/>
              <w:spacing w:before="0" w:after="283"/>
              <w:jc w:val="left"/>
              <w:rPr/>
            </w:pPr>
            <w:r>
              <w:rPr/>
              <w:t> </w:t>
            </w:r>
          </w:p>
        </w:tc>
        <w:tc>
          <w:tcPr>
            <w:tcW w:w="818" w:type="dxa"/>
            <w:tcBorders>
              <w:bottom w:val="single" w:sz="8" w:space="0" w:color="000000"/>
            </w:tcBorders>
            <w:shd w:fill="CCEEFF" w:val="clear"/>
            <w:vAlign w:val="center"/>
          </w:tcPr>
          <w:p>
            <w:pPr>
              <w:pStyle w:val="TableContents"/>
              <w:bidi w:val="0"/>
              <w:spacing w:before="0" w:after="283"/>
              <w:jc w:val="right"/>
              <w:rPr/>
            </w:pPr>
            <w:r>
              <w:rPr/>
              <w:t>59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bottom w:val="single" w:sz="8" w:space="0" w:color="000000"/>
            </w:tcBorders>
            <w:shd w:fill="CCEEFF" w:val="clear"/>
            <w:vAlign w:val="center"/>
          </w:tcPr>
          <w:p>
            <w:pPr>
              <w:pStyle w:val="TableContents"/>
              <w:bidi w:val="0"/>
              <w:spacing w:before="0" w:after="283"/>
              <w:jc w:val="left"/>
              <w:rPr/>
            </w:pPr>
            <w:r>
              <w:rPr/>
              <w:t> </w:t>
            </w:r>
          </w:p>
        </w:tc>
        <w:tc>
          <w:tcPr>
            <w:tcW w:w="1091" w:type="dxa"/>
            <w:tcBorders>
              <w:bottom w:val="single" w:sz="8"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bottom w:val="single" w:sz="8" w:space="0" w:color="000000"/>
            </w:tcBorders>
            <w:shd w:fill="CCEEFF" w:val="clear"/>
            <w:vAlign w:val="center"/>
          </w:tcPr>
          <w:p>
            <w:pPr>
              <w:pStyle w:val="TableContents"/>
              <w:bidi w:val="0"/>
              <w:spacing w:before="0" w:after="283"/>
              <w:jc w:val="left"/>
              <w:rPr/>
            </w:pPr>
            <w:r>
              <w:rPr/>
              <w:t> </w:t>
            </w:r>
          </w:p>
        </w:tc>
        <w:tc>
          <w:tcPr>
            <w:tcW w:w="1225" w:type="dxa"/>
            <w:tcBorders>
              <w:bottom w:val="single" w:sz="8" w:space="0" w:color="000000"/>
            </w:tcBorders>
            <w:shd w:fill="CCEEFF" w:val="clear"/>
            <w:vAlign w:val="center"/>
          </w:tcPr>
          <w:p>
            <w:pPr>
              <w:pStyle w:val="TableContents"/>
              <w:bidi w:val="0"/>
              <w:spacing w:before="0" w:after="283"/>
              <w:jc w:val="right"/>
              <w:rPr/>
            </w:pPr>
            <w:r>
              <w:rPr/>
              <w:t>(15</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1565" w:type="dxa"/>
            <w:tcBorders/>
            <w:tcMar>
              <w:bottom w:w="0" w:type="dxa"/>
            </w:tcMar>
            <w:vAlign w:val="center"/>
          </w:tcPr>
          <w:p>
            <w:pPr>
              <w:pStyle w:val="TableContents"/>
              <w:bidi w:val="0"/>
              <w:spacing w:before="0" w:after="283"/>
              <w:jc w:val="left"/>
              <w:rPr/>
            </w:pPr>
            <w:r>
              <w:rPr/>
              <w:t>Balance,</w:t>
              <w:br/>
              <w:t>September 30, 2025</w:t>
            </w:r>
          </w:p>
        </w:tc>
        <w:tc>
          <w:tcPr>
            <w:tcW w:w="90" w:type="dxa"/>
            <w:tcBorders/>
            <w:tcMar>
              <w:bottom w:w="0" w:type="dxa"/>
            </w:tcMar>
            <w:vAlign w:val="center"/>
          </w:tcPr>
          <w:p>
            <w:pPr>
              <w:pStyle w:val="TableContents"/>
              <w:bidi w:val="0"/>
              <w:spacing w:before="0" w:after="283"/>
              <w:jc w:val="left"/>
              <w:rPr/>
            </w:pPr>
            <w:r>
              <w:rPr/>
              <w:t> </w:t>
            </w:r>
          </w:p>
        </w:tc>
        <w:tc>
          <w:tcPr>
            <w:tcW w:w="291" w:type="dxa"/>
            <w:tcBorders>
              <w:bottom w:val="double" w:sz="6" w:space="0" w:color="000000"/>
            </w:tcBorders>
            <w:vAlign w:val="center"/>
          </w:tcPr>
          <w:p>
            <w:pPr>
              <w:pStyle w:val="TableContents"/>
              <w:bidi w:val="0"/>
              <w:spacing w:before="0" w:after="283"/>
              <w:jc w:val="left"/>
              <w:rPr/>
            </w:pPr>
            <w:r>
              <w:rPr/>
              <w:t>$</w:t>
            </w:r>
          </w:p>
        </w:tc>
        <w:tc>
          <w:tcPr>
            <w:tcW w:w="704" w:type="dxa"/>
            <w:tcBorders>
              <w:bottom w:val="double" w:sz="6" w:space="0" w:color="000000"/>
            </w:tcBorders>
            <w:vAlign w:val="center"/>
          </w:tcPr>
          <w:p>
            <w:pPr>
              <w:pStyle w:val="TableContents"/>
              <w:bidi w:val="0"/>
              <w:spacing w:before="0" w:after="283"/>
              <w:jc w:val="right"/>
              <w:rPr/>
            </w:pPr>
            <w:r>
              <w:rPr/>
              <w:t>230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bottom w:val="double" w:sz="6" w:space="0" w:color="000000"/>
            </w:tcBorders>
            <w:vAlign w:val="center"/>
          </w:tcPr>
          <w:p>
            <w:pPr>
              <w:pStyle w:val="TableContents"/>
              <w:bidi w:val="0"/>
              <w:spacing w:before="0" w:after="283"/>
              <w:jc w:val="left"/>
              <w:rPr/>
            </w:pPr>
            <w:r>
              <w:rPr/>
              <w:t>$</w:t>
            </w:r>
          </w:p>
        </w:tc>
        <w:tc>
          <w:tcPr>
            <w:tcW w:w="912" w:type="dxa"/>
            <w:tcBorders>
              <w:bottom w:val="double" w:sz="6" w:space="0" w:color="000000"/>
            </w:tcBorders>
            <w:vAlign w:val="center"/>
          </w:tcPr>
          <w:p>
            <w:pPr>
              <w:pStyle w:val="TableContents"/>
              <w:bidi w:val="0"/>
              <w:spacing w:before="0" w:after="283"/>
              <w:jc w:val="right"/>
              <w:rPr/>
            </w:pPr>
            <w:r>
              <w:rPr/>
              <w:t>96,067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bottom w:val="double" w:sz="6" w:space="0" w:color="000000"/>
            </w:tcBorders>
            <w:vAlign w:val="center"/>
          </w:tcPr>
          <w:p>
            <w:pPr>
              <w:pStyle w:val="TableContents"/>
              <w:bidi w:val="0"/>
              <w:spacing w:before="0" w:after="283"/>
              <w:jc w:val="left"/>
              <w:rPr/>
            </w:pPr>
            <w:r>
              <w:rPr/>
              <w:t>$</w:t>
            </w:r>
          </w:p>
        </w:tc>
        <w:tc>
          <w:tcPr>
            <w:tcW w:w="871" w:type="dxa"/>
            <w:tcBorders>
              <w:bottom w:val="double" w:sz="6" w:space="0" w:color="000000"/>
            </w:tcBorders>
            <w:vAlign w:val="center"/>
          </w:tcPr>
          <w:p>
            <w:pPr>
              <w:pStyle w:val="TableContents"/>
              <w:bidi w:val="0"/>
              <w:spacing w:before="0" w:after="283"/>
              <w:jc w:val="right"/>
              <w:rPr/>
            </w:pPr>
            <w:r>
              <w:rPr/>
              <w:t>(455</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vAlign w:val="center"/>
          </w:tcPr>
          <w:p>
            <w:pPr>
              <w:pStyle w:val="TableContents"/>
              <w:bidi w:val="0"/>
              <w:spacing w:before="0" w:after="283"/>
              <w:jc w:val="left"/>
              <w:rPr/>
            </w:pPr>
            <w:r>
              <w:rPr/>
              <w:t>$</w:t>
            </w:r>
          </w:p>
        </w:tc>
        <w:tc>
          <w:tcPr>
            <w:tcW w:w="830" w:type="dxa"/>
            <w:tcBorders>
              <w:bottom w:val="double" w:sz="6" w:space="0" w:color="000000"/>
            </w:tcBorders>
            <w:vAlign w:val="center"/>
          </w:tcPr>
          <w:p>
            <w:pPr>
              <w:pStyle w:val="TableContents"/>
              <w:bidi w:val="0"/>
              <w:spacing w:before="0" w:after="283"/>
              <w:jc w:val="right"/>
              <w:rPr/>
            </w:pPr>
            <w:r>
              <w:rPr/>
              <w:t>194,233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bottom w:val="double" w:sz="6" w:space="0" w:color="000000"/>
            </w:tcBorders>
            <w:vAlign w:val="center"/>
          </w:tcPr>
          <w:p>
            <w:pPr>
              <w:pStyle w:val="TableContents"/>
              <w:bidi w:val="0"/>
              <w:spacing w:before="0" w:after="283"/>
              <w:jc w:val="left"/>
              <w:rPr/>
            </w:pPr>
            <w:r>
              <w:rPr/>
              <w:t>$</w:t>
            </w:r>
          </w:p>
        </w:tc>
        <w:tc>
          <w:tcPr>
            <w:tcW w:w="1349" w:type="dxa"/>
            <w:tcBorders>
              <w:bottom w:val="double" w:sz="6" w:space="0" w:color="000000"/>
            </w:tcBorders>
            <w:vAlign w:val="center"/>
          </w:tcPr>
          <w:p>
            <w:pPr>
              <w:pStyle w:val="TableContents"/>
              <w:bidi w:val="0"/>
              <w:spacing w:before="0" w:after="283"/>
              <w:jc w:val="right"/>
              <w:rPr/>
            </w:pPr>
            <w:r>
              <w:rPr/>
              <w:t>(11,526</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7" w:type="dxa"/>
            <w:tcBorders>
              <w:bottom w:val="double" w:sz="6" w:space="0" w:color="000000"/>
            </w:tcBorders>
            <w:vAlign w:val="center"/>
          </w:tcPr>
          <w:p>
            <w:pPr>
              <w:pStyle w:val="TableContents"/>
              <w:bidi w:val="0"/>
              <w:spacing w:before="0" w:after="283"/>
              <w:jc w:val="left"/>
              <w:rPr/>
            </w:pPr>
            <w:r>
              <w:rPr/>
              <w:t>$</w:t>
            </w:r>
          </w:p>
        </w:tc>
        <w:tc>
          <w:tcPr>
            <w:tcW w:w="818" w:type="dxa"/>
            <w:tcBorders>
              <w:bottom w:val="double" w:sz="6" w:space="0" w:color="000000"/>
            </w:tcBorders>
            <w:vAlign w:val="center"/>
          </w:tcPr>
          <w:p>
            <w:pPr>
              <w:pStyle w:val="TableContents"/>
              <w:bidi w:val="0"/>
              <w:spacing w:before="0" w:after="283"/>
              <w:jc w:val="right"/>
              <w:rPr/>
            </w:pPr>
            <w:r>
              <w:rPr/>
              <w:t>(34,749</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639" w:type="dxa"/>
            <w:tcBorders>
              <w:bottom w:val="double" w:sz="6" w:space="0" w:color="000000"/>
            </w:tcBorders>
            <w:vAlign w:val="center"/>
          </w:tcPr>
          <w:p>
            <w:pPr>
              <w:pStyle w:val="TableContents"/>
              <w:bidi w:val="0"/>
              <w:spacing w:before="0" w:after="283"/>
              <w:jc w:val="left"/>
              <w:rPr/>
            </w:pPr>
            <w:r>
              <w:rPr/>
              <w:t>$</w:t>
            </w:r>
          </w:p>
        </w:tc>
        <w:tc>
          <w:tcPr>
            <w:tcW w:w="1091" w:type="dxa"/>
            <w:tcBorders>
              <w:bottom w:val="double" w:sz="6"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bottom w:val="double" w:sz="6" w:space="0" w:color="000000"/>
            </w:tcBorders>
            <w:vAlign w:val="center"/>
          </w:tcPr>
          <w:p>
            <w:pPr>
              <w:pStyle w:val="TableContents"/>
              <w:bidi w:val="0"/>
              <w:spacing w:before="0" w:after="283"/>
              <w:jc w:val="left"/>
              <w:rPr/>
            </w:pPr>
            <w:r>
              <w:rPr/>
              <w:t>$</w:t>
            </w:r>
          </w:p>
        </w:tc>
        <w:tc>
          <w:tcPr>
            <w:tcW w:w="1225" w:type="dxa"/>
            <w:tcBorders>
              <w:bottom w:val="double" w:sz="6" w:space="0" w:color="000000"/>
            </w:tcBorders>
            <w:vAlign w:val="center"/>
          </w:tcPr>
          <w:p>
            <w:pPr>
              <w:pStyle w:val="TableContents"/>
              <w:bidi w:val="0"/>
              <w:spacing w:before="0" w:after="283"/>
              <w:jc w:val="right"/>
              <w:rPr/>
            </w:pPr>
            <w:r>
              <w:rPr/>
              <w:t>243,800</w:t>
            </w:r>
          </w:p>
        </w:tc>
        <w:tc>
          <w:tcPr>
            <w:tcW w:w="1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3400" w:type="dxa"/>
        <w:jc w:val="left"/>
        <w:tblInd w:w="0" w:type="dxa"/>
        <w:tblLayout w:type="fixed"/>
        <w:tblCellMar>
          <w:top w:w="0" w:type="dxa"/>
          <w:left w:w="0" w:type="dxa"/>
          <w:bottom w:w="28" w:type="dxa"/>
          <w:right w:w="0" w:type="dxa"/>
        </w:tblCellMar>
      </w:tblPr>
      <w:tblGrid>
        <w:gridCol w:w="1565"/>
        <w:gridCol w:w="90"/>
        <w:gridCol w:w="291"/>
        <w:gridCol w:w="704"/>
        <w:gridCol w:w="90"/>
        <w:gridCol w:w="90"/>
        <w:gridCol w:w="218"/>
        <w:gridCol w:w="912"/>
        <w:gridCol w:w="125"/>
        <w:gridCol w:w="90"/>
        <w:gridCol w:w="304"/>
        <w:gridCol w:w="871"/>
        <w:gridCol w:w="125"/>
        <w:gridCol w:w="90"/>
        <w:gridCol w:w="170"/>
        <w:gridCol w:w="830"/>
        <w:gridCol w:w="125"/>
        <w:gridCol w:w="90"/>
        <w:gridCol w:w="291"/>
        <w:gridCol w:w="1349"/>
        <w:gridCol w:w="125"/>
        <w:gridCol w:w="90"/>
        <w:gridCol w:w="177"/>
        <w:gridCol w:w="818"/>
        <w:gridCol w:w="125"/>
        <w:gridCol w:w="90"/>
        <w:gridCol w:w="639"/>
        <w:gridCol w:w="1091"/>
        <w:gridCol w:w="90"/>
        <w:gridCol w:w="90"/>
        <w:gridCol w:w="250"/>
        <w:gridCol w:w="1225"/>
        <w:gridCol w:w="170"/>
      </w:tblGrid>
      <w:tr>
        <w:trPr/>
        <w:tc>
          <w:tcPr>
            <w:tcW w:w="13400" w:type="dxa"/>
            <w:gridSpan w:val="33"/>
            <w:tcBorders>
              <w:bottom w:val="single" w:sz="8" w:space="0" w:color="000000"/>
            </w:tcBorders>
            <w:vAlign w:val="center"/>
          </w:tcPr>
          <w:p>
            <w:pPr>
              <w:pStyle w:val="TableContents"/>
              <w:bidi w:val="0"/>
              <w:spacing w:before="0" w:after="283"/>
              <w:jc w:val="center"/>
              <w:rPr>
                <w:b/>
              </w:rPr>
            </w:pPr>
            <w:r>
              <w:rPr>
                <w:b/>
              </w:rPr>
              <w:t>Nine Months Ended September 30, 2025</w:t>
            </w:r>
          </w:p>
        </w:tc>
      </w:tr>
      <w:tr>
        <w:trPr/>
        <w:tc>
          <w:tcPr>
            <w:tcW w:w="15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b/>
              </w:rPr>
            </w:pPr>
            <w:r>
              <w:rPr>
                <w:b/>
              </w:rPr>
              <w:t>Common</w:t>
              <w:br/>
              <w:t>Stock</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gridSpan w:val="2"/>
            <w:tcBorders>
              <w:bottom w:val="single" w:sz="8" w:space="0" w:color="000000"/>
            </w:tcBorders>
            <w:vAlign w:val="center"/>
          </w:tcPr>
          <w:p>
            <w:pPr>
              <w:pStyle w:val="TableContents"/>
              <w:bidi w:val="0"/>
              <w:spacing w:before="0" w:after="283"/>
              <w:jc w:val="center"/>
              <w:rPr>
                <w:b/>
              </w:rPr>
            </w:pPr>
            <w:r>
              <w:rPr>
                <w:b/>
              </w:rPr>
              <w:t>Additional</w:t>
              <w:br/>
              <w:t>Paid-in</w:t>
              <w:br/>
              <w:t>Capital</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8" w:space="0" w:color="000000"/>
            </w:tcBorders>
            <w:vAlign w:val="center"/>
          </w:tcPr>
          <w:p>
            <w:pPr>
              <w:pStyle w:val="TableContents"/>
              <w:bidi w:val="0"/>
              <w:spacing w:before="0" w:after="283"/>
              <w:jc w:val="center"/>
              <w:rPr>
                <w:b/>
              </w:rPr>
            </w:pPr>
            <w:r>
              <w:rPr>
                <w:b/>
              </w:rPr>
              <w:t xml:space="preserve">Unearned </w:t>
              <w:br/>
              <w:t>Employee</w:t>
              <w:br/>
              <w:t>Stock</w:t>
              <w:br/>
              <w:t xml:space="preserve">Ownership </w:t>
              <w:br/>
              <w:t>Plan Shares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8" w:space="0" w:color="000000"/>
            </w:tcBorders>
            <w:vAlign w:val="center"/>
          </w:tcPr>
          <w:p>
            <w:pPr>
              <w:pStyle w:val="TableContents"/>
              <w:bidi w:val="0"/>
              <w:spacing w:before="0" w:after="283"/>
              <w:jc w:val="center"/>
              <w:rPr>
                <w:b/>
              </w:rPr>
            </w:pPr>
            <w:r>
              <w:rPr>
                <w:b/>
              </w:rPr>
              <w:t>Retained</w:t>
              <w:br/>
              <w:t>Earnings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40" w:type="dxa"/>
            <w:gridSpan w:val="2"/>
            <w:tcBorders>
              <w:bottom w:val="single" w:sz="8" w:space="0" w:color="000000"/>
            </w:tcBorders>
            <w:vAlign w:val="center"/>
          </w:tcPr>
          <w:p>
            <w:pPr>
              <w:pStyle w:val="TableContents"/>
              <w:bidi w:val="0"/>
              <w:spacing w:before="0" w:after="283"/>
              <w:jc w:val="center"/>
              <w:rPr>
                <w:b/>
              </w:rPr>
            </w:pPr>
            <w:r>
              <w:rPr>
                <w:b/>
              </w:rPr>
              <w:t>Accumulated</w:t>
              <w:br/>
              <w:t>Other</w:t>
              <w:br/>
              <w:t>Comprehensive</w:t>
              <w:br/>
              <w:t>Loss, Net of</w:t>
              <w:br/>
              <w:t>Income Taxes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b/>
              </w:rPr>
            </w:pPr>
            <w:r>
              <w:rPr>
                <w:b/>
              </w:rPr>
              <w:t xml:space="preserve">Treasury </w:t>
              <w:br/>
              <w:t>Stock</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0" w:type="dxa"/>
            <w:gridSpan w:val="2"/>
            <w:tcBorders>
              <w:bottom w:val="single" w:sz="8" w:space="0" w:color="000000"/>
            </w:tcBorders>
            <w:vAlign w:val="center"/>
          </w:tcPr>
          <w:p>
            <w:pPr>
              <w:pStyle w:val="TableContents"/>
              <w:bidi w:val="0"/>
              <w:spacing w:before="0" w:after="283"/>
              <w:jc w:val="center"/>
              <w:rPr>
                <w:b/>
              </w:rPr>
            </w:pPr>
            <w:r>
              <w:rPr>
                <w:b/>
              </w:rPr>
              <w:t xml:space="preserve">Non-Controlling </w:t>
              <w:br/>
              <w:t>Interest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gridSpan w:val="2"/>
            <w:tcBorders>
              <w:bottom w:val="single" w:sz="8" w:space="0" w:color="000000"/>
            </w:tcBorders>
            <w:vAlign w:val="center"/>
          </w:tcPr>
          <w:p>
            <w:pPr>
              <w:pStyle w:val="TableContents"/>
              <w:bidi w:val="0"/>
              <w:spacing w:before="0" w:after="283"/>
              <w:jc w:val="center"/>
              <w:rPr>
                <w:b/>
              </w:rPr>
            </w:pPr>
            <w:r>
              <w:rPr>
                <w:b/>
              </w:rPr>
              <w:t>Total</w:t>
              <w:br/>
              <w:t xml:space="preserve">Shareholders’ </w:t>
              <w:br/>
              <w:t>Equity</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Balance,</w:t>
              <w:br/>
              <w:t>January 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w:t>
            </w:r>
          </w:p>
        </w:tc>
        <w:tc>
          <w:tcPr>
            <w:tcW w:w="704" w:type="dxa"/>
            <w:tcBorders/>
            <w:shd w:fill="CCEEFF" w:val="clear"/>
            <w:tcMar>
              <w:bottom w:w="0" w:type="dxa"/>
            </w:tcMar>
            <w:vAlign w:val="center"/>
          </w:tcPr>
          <w:p>
            <w:pPr>
              <w:pStyle w:val="TableContents"/>
              <w:bidi w:val="0"/>
              <w:spacing w:before="0" w:after="283"/>
              <w:jc w:val="right"/>
              <w:rPr/>
            </w:pPr>
            <w:r>
              <w:rPr/>
              <w:t>230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w:t>
            </w:r>
          </w:p>
        </w:tc>
        <w:tc>
          <w:tcPr>
            <w:tcW w:w="912" w:type="dxa"/>
            <w:tcBorders/>
            <w:shd w:fill="CCEEFF" w:val="clear"/>
            <w:tcMar>
              <w:bottom w:w="0" w:type="dxa"/>
            </w:tcMar>
            <w:vAlign w:val="center"/>
          </w:tcPr>
          <w:p>
            <w:pPr>
              <w:pStyle w:val="TableContents"/>
              <w:bidi w:val="0"/>
              <w:spacing w:before="0" w:after="283"/>
              <w:jc w:val="right"/>
              <w:rPr/>
            </w:pPr>
            <w:r>
              <w:rPr/>
              <w:t>95,796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w:t>
            </w:r>
          </w:p>
        </w:tc>
        <w:tc>
          <w:tcPr>
            <w:tcW w:w="871" w:type="dxa"/>
            <w:tcBorders/>
            <w:shd w:fill="CCEEFF" w:val="clear"/>
            <w:tcMar>
              <w:bottom w:w="0" w:type="dxa"/>
            </w:tcMar>
            <w:vAlign w:val="center"/>
          </w:tcPr>
          <w:p>
            <w:pPr>
              <w:pStyle w:val="TableContents"/>
              <w:bidi w:val="0"/>
              <w:spacing w:before="0" w:after="283"/>
              <w:jc w:val="right"/>
              <w:rPr/>
            </w:pPr>
            <w:r>
              <w:rPr/>
              <w:t>(455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201,584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w:t>
            </w:r>
          </w:p>
        </w:tc>
        <w:tc>
          <w:tcPr>
            <w:tcW w:w="1349" w:type="dxa"/>
            <w:tcBorders/>
            <w:shd w:fill="CCEEFF" w:val="clear"/>
            <w:tcMar>
              <w:bottom w:w="0" w:type="dxa"/>
            </w:tcMar>
            <w:vAlign w:val="center"/>
          </w:tcPr>
          <w:p>
            <w:pPr>
              <w:pStyle w:val="TableContents"/>
              <w:bidi w:val="0"/>
              <w:spacing w:before="0" w:after="283"/>
              <w:jc w:val="right"/>
              <w:rPr/>
            </w:pPr>
            <w:r>
              <w:rPr/>
              <w:t>(18,231</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w:t>
            </w:r>
          </w:p>
        </w:tc>
        <w:tc>
          <w:tcPr>
            <w:tcW w:w="818" w:type="dxa"/>
            <w:tcBorders/>
            <w:shd w:fill="CCEEFF" w:val="clear"/>
            <w:tcMar>
              <w:bottom w:w="0" w:type="dxa"/>
            </w:tcMar>
            <w:vAlign w:val="center"/>
          </w:tcPr>
          <w:p>
            <w:pPr>
              <w:pStyle w:val="TableContents"/>
              <w:bidi w:val="0"/>
              <w:spacing w:before="0" w:after="283"/>
              <w:jc w:val="right"/>
              <w:rPr/>
            </w:pPr>
            <w:r>
              <w:rPr/>
              <w:t>(34,293</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shd w:fill="CCEEFF" w:val="clear"/>
            <w:tcMar>
              <w:bottom w:w="0" w:type="dxa"/>
            </w:tcMar>
            <w:vAlign w:val="center"/>
          </w:tcPr>
          <w:p>
            <w:pPr>
              <w:pStyle w:val="TableContents"/>
              <w:bidi w:val="0"/>
              <w:spacing w:before="0" w:after="283"/>
              <w:jc w:val="left"/>
              <w:rPr/>
            </w:pPr>
            <w:r>
              <w:rPr/>
              <w:t>$</w:t>
            </w:r>
          </w:p>
        </w:tc>
        <w:tc>
          <w:tcPr>
            <w:tcW w:w="109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w:t>
            </w:r>
          </w:p>
        </w:tc>
        <w:tc>
          <w:tcPr>
            <w:tcW w:w="1225" w:type="dxa"/>
            <w:tcBorders/>
            <w:shd w:fill="CCEEFF" w:val="clear"/>
            <w:tcMar>
              <w:bottom w:w="0" w:type="dxa"/>
            </w:tcMar>
            <w:vAlign w:val="center"/>
          </w:tcPr>
          <w:p>
            <w:pPr>
              <w:pStyle w:val="TableContents"/>
              <w:bidi w:val="0"/>
              <w:spacing w:before="0" w:after="283"/>
              <w:jc w:val="right"/>
              <w:rPr/>
            </w:pPr>
            <w:r>
              <w:rPr/>
              <w:t>244,631</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9"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Battle Creek demutualization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shd w:fill="CCEEFF" w:val="clear"/>
            <w:tcMar>
              <w:bottom w:w="0" w:type="dxa"/>
            </w:tcMar>
            <w:vAlign w:val="center"/>
          </w:tcPr>
          <w:p>
            <w:pPr>
              <w:pStyle w:val="TableContents"/>
              <w:bidi w:val="0"/>
              <w:spacing w:before="0" w:after="283"/>
              <w:jc w:val="left"/>
              <w:rPr/>
            </w:pPr>
            <w:r>
              <w:rPr/>
              <w:t> </w:t>
            </w:r>
          </w:p>
        </w:tc>
        <w:tc>
          <w:tcPr>
            <w:tcW w:w="109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Net loss</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(7,257</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9"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(7,257</w:t>
            </w:r>
          </w:p>
        </w:tc>
        <w:tc>
          <w:tcPr>
            <w:tcW w:w="170" w:type="dxa"/>
            <w:tcBorders/>
            <w:tcMar>
              <w:bottom w:w="0" w:type="dxa"/>
            </w:tcMar>
            <w:vAlign w:val="center"/>
          </w:tcPr>
          <w:p>
            <w:pPr>
              <w:pStyle w:val="TableContents"/>
              <w:bidi w:val="0"/>
              <w:spacing w:before="0" w:after="283"/>
              <w:jc w:val="left"/>
              <w:rPr/>
            </w:pPr>
            <w:r>
              <w:rPr/>
              <w:t>)</w:t>
            </w:r>
          </w:p>
        </w:tc>
      </w:tr>
      <w:tr>
        <w:trPr/>
        <w:tc>
          <w:tcPr>
            <w:tcW w:w="1565" w:type="dxa"/>
            <w:tcBorders/>
            <w:shd w:fill="CCEEFF" w:val="clear"/>
            <w:tcMar>
              <w:bottom w:w="0" w:type="dxa"/>
            </w:tcMar>
            <w:vAlign w:val="center"/>
          </w:tcPr>
          <w:p>
            <w:pPr>
              <w:pStyle w:val="TableContents"/>
              <w:bidi w:val="0"/>
              <w:spacing w:before="0" w:after="283"/>
              <w:jc w:val="left"/>
              <w:rPr/>
            </w:pPr>
            <w:r>
              <w:rPr/>
              <w:t>Impact of Westminster unrealized investment gains/losses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shd w:fill="CCEEFF" w:val="clear"/>
            <w:tcMar>
              <w:bottom w:w="0" w:type="dxa"/>
            </w:tcMar>
            <w:vAlign w:val="center"/>
          </w:tcPr>
          <w:p>
            <w:pPr>
              <w:pStyle w:val="TableContents"/>
              <w:bidi w:val="0"/>
              <w:spacing w:before="0" w:after="283"/>
              <w:jc w:val="left"/>
              <w:rPr/>
            </w:pPr>
            <w:r>
              <w:rPr/>
              <w:t> </w:t>
            </w:r>
          </w:p>
        </w:tc>
        <w:tc>
          <w:tcPr>
            <w:tcW w:w="109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Other comprehensive income, net of income taxes</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right"/>
              <w:rPr/>
            </w:pPr>
            <w:r>
              <w:rPr/>
              <w:t>6,705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9"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6,705</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Purchase of treasury stock</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(1,156</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shd w:fill="CCEEFF" w:val="clear"/>
            <w:tcMar>
              <w:bottom w:w="0" w:type="dxa"/>
            </w:tcMar>
            <w:vAlign w:val="center"/>
          </w:tcPr>
          <w:p>
            <w:pPr>
              <w:pStyle w:val="TableContents"/>
              <w:bidi w:val="0"/>
              <w:spacing w:before="0" w:after="283"/>
              <w:jc w:val="left"/>
              <w:rPr/>
            </w:pPr>
            <w:r>
              <w:rPr/>
              <w:t> </w:t>
            </w:r>
          </w:p>
        </w:tc>
        <w:tc>
          <w:tcPr>
            <w:tcW w:w="109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(1,156</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1565" w:type="dxa"/>
            <w:tcBorders/>
            <w:tcMar>
              <w:bottom w:w="0" w:type="dxa"/>
            </w:tcMar>
            <w:vAlign w:val="center"/>
          </w:tcPr>
          <w:p>
            <w:pPr>
              <w:pStyle w:val="TableContents"/>
              <w:bidi w:val="0"/>
              <w:spacing w:before="0" w:after="283"/>
              <w:jc w:val="left"/>
              <w:rPr/>
            </w:pPr>
            <w:r>
              <w:rPr/>
              <w:t>Share-based compensation</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283"/>
              <w:jc w:val="right"/>
              <w:rPr/>
            </w:pPr>
            <w:r>
              <w:rPr/>
              <w:t>1,028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9"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1,028</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Issuance of vested award shares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bottom w:val="single" w:sz="8" w:space="0" w:color="000000"/>
            </w:tcBorders>
            <w:shd w:fill="CCEEFF" w:val="clear"/>
            <w:vAlign w:val="center"/>
          </w:tcPr>
          <w:p>
            <w:pPr>
              <w:pStyle w:val="TableContents"/>
              <w:bidi w:val="0"/>
              <w:spacing w:before="0" w:after="283"/>
              <w:jc w:val="left"/>
              <w:rPr/>
            </w:pPr>
            <w:r>
              <w:rPr/>
              <w:t> </w:t>
            </w:r>
          </w:p>
        </w:tc>
        <w:tc>
          <w:tcPr>
            <w:tcW w:w="704" w:type="dxa"/>
            <w:tcBorders>
              <w:bottom w:val="single" w:sz="8"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bottom w:val="single" w:sz="8" w:space="0" w:color="000000"/>
            </w:tcBorders>
            <w:shd w:fill="CCEEFF" w:val="clear"/>
            <w:vAlign w:val="center"/>
          </w:tcPr>
          <w:p>
            <w:pPr>
              <w:pStyle w:val="TableContents"/>
              <w:bidi w:val="0"/>
              <w:spacing w:before="0" w:after="283"/>
              <w:jc w:val="left"/>
              <w:rPr/>
            </w:pPr>
            <w:r>
              <w:rPr/>
              <w:t> </w:t>
            </w:r>
          </w:p>
        </w:tc>
        <w:tc>
          <w:tcPr>
            <w:tcW w:w="912" w:type="dxa"/>
            <w:tcBorders>
              <w:bottom w:val="single" w:sz="8" w:space="0" w:color="000000"/>
            </w:tcBorders>
            <w:shd w:fill="CCEEFF" w:val="clear"/>
            <w:vAlign w:val="center"/>
          </w:tcPr>
          <w:p>
            <w:pPr>
              <w:pStyle w:val="TableContents"/>
              <w:bidi w:val="0"/>
              <w:spacing w:before="0" w:after="283"/>
              <w:jc w:val="right"/>
              <w:rPr/>
            </w:pPr>
            <w:r>
              <w:rPr/>
              <w:t>(757</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bottom w:val="single" w:sz="8" w:space="0" w:color="000000"/>
            </w:tcBorders>
            <w:shd w:fill="CCEEFF" w:val="clear"/>
            <w:vAlign w:val="center"/>
          </w:tcPr>
          <w:p>
            <w:pPr>
              <w:pStyle w:val="TableContents"/>
              <w:bidi w:val="0"/>
              <w:spacing w:before="0" w:after="283"/>
              <w:jc w:val="left"/>
              <w:rPr/>
            </w:pPr>
            <w:r>
              <w:rPr/>
              <w:t> </w:t>
            </w:r>
          </w:p>
        </w:tc>
        <w:tc>
          <w:tcPr>
            <w:tcW w:w="871"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(94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bottom w:val="single" w:sz="8" w:space="0" w:color="000000"/>
            </w:tcBorders>
            <w:shd w:fill="CCEEFF" w:val="clear"/>
            <w:vAlign w:val="center"/>
          </w:tcPr>
          <w:p>
            <w:pPr>
              <w:pStyle w:val="TableContents"/>
              <w:bidi w:val="0"/>
              <w:spacing w:before="0" w:after="283"/>
              <w:jc w:val="left"/>
              <w:rPr/>
            </w:pPr>
            <w:r>
              <w:rPr/>
              <w:t> </w:t>
            </w:r>
          </w:p>
        </w:tc>
        <w:tc>
          <w:tcPr>
            <w:tcW w:w="1349"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bottom w:val="single" w:sz="8" w:space="0" w:color="000000"/>
            </w:tcBorders>
            <w:shd w:fill="CCEEFF" w:val="clear"/>
            <w:vAlign w:val="center"/>
          </w:tcPr>
          <w:p>
            <w:pPr>
              <w:pStyle w:val="TableContents"/>
              <w:bidi w:val="0"/>
              <w:spacing w:before="0" w:after="283"/>
              <w:jc w:val="left"/>
              <w:rPr/>
            </w:pPr>
            <w:r>
              <w:rPr/>
              <w:t> </w:t>
            </w:r>
          </w:p>
        </w:tc>
        <w:tc>
          <w:tcPr>
            <w:tcW w:w="818" w:type="dxa"/>
            <w:tcBorders>
              <w:bottom w:val="single" w:sz="8" w:space="0" w:color="000000"/>
            </w:tcBorders>
            <w:shd w:fill="CCEEFF" w:val="clear"/>
            <w:vAlign w:val="center"/>
          </w:tcPr>
          <w:p>
            <w:pPr>
              <w:pStyle w:val="TableContents"/>
              <w:bidi w:val="0"/>
              <w:spacing w:before="0" w:after="283"/>
              <w:jc w:val="right"/>
              <w:rPr/>
            </w:pPr>
            <w:r>
              <w:rPr/>
              <w:t>700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bottom w:val="single" w:sz="8" w:space="0" w:color="000000"/>
            </w:tcBorders>
            <w:shd w:fill="CCEEFF" w:val="clear"/>
            <w:vAlign w:val="center"/>
          </w:tcPr>
          <w:p>
            <w:pPr>
              <w:pStyle w:val="TableContents"/>
              <w:bidi w:val="0"/>
              <w:spacing w:before="0" w:after="283"/>
              <w:jc w:val="left"/>
              <w:rPr/>
            </w:pPr>
            <w:r>
              <w:rPr/>
              <w:t> </w:t>
            </w:r>
          </w:p>
        </w:tc>
        <w:tc>
          <w:tcPr>
            <w:tcW w:w="1091" w:type="dxa"/>
            <w:tcBorders>
              <w:bottom w:val="single" w:sz="8"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bottom w:val="single" w:sz="8" w:space="0" w:color="000000"/>
            </w:tcBorders>
            <w:shd w:fill="CCEEFF" w:val="clear"/>
            <w:vAlign w:val="center"/>
          </w:tcPr>
          <w:p>
            <w:pPr>
              <w:pStyle w:val="TableContents"/>
              <w:bidi w:val="0"/>
              <w:spacing w:before="0" w:after="283"/>
              <w:jc w:val="left"/>
              <w:rPr/>
            </w:pPr>
            <w:r>
              <w:rPr/>
              <w:t> </w:t>
            </w:r>
          </w:p>
        </w:tc>
        <w:tc>
          <w:tcPr>
            <w:tcW w:w="1225" w:type="dxa"/>
            <w:tcBorders>
              <w:bottom w:val="single" w:sz="8" w:space="0" w:color="000000"/>
            </w:tcBorders>
            <w:shd w:fill="CCEEFF" w:val="clear"/>
            <w:vAlign w:val="center"/>
          </w:tcPr>
          <w:p>
            <w:pPr>
              <w:pStyle w:val="TableContents"/>
              <w:bidi w:val="0"/>
              <w:spacing w:before="0" w:after="283"/>
              <w:jc w:val="right"/>
              <w:rPr/>
            </w:pPr>
            <w:r>
              <w:rPr/>
              <w:t>(151</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1565" w:type="dxa"/>
            <w:tcBorders/>
            <w:tcMar>
              <w:bottom w:w="0" w:type="dxa"/>
            </w:tcMar>
            <w:vAlign w:val="center"/>
          </w:tcPr>
          <w:p>
            <w:pPr>
              <w:pStyle w:val="TableContents"/>
              <w:bidi w:val="0"/>
              <w:spacing w:before="0" w:after="283"/>
              <w:jc w:val="left"/>
              <w:rPr/>
            </w:pPr>
            <w:r>
              <w:rPr/>
              <w:t>Balance,</w:t>
              <w:br/>
              <w:t>September 30, 2025</w:t>
            </w:r>
          </w:p>
        </w:tc>
        <w:tc>
          <w:tcPr>
            <w:tcW w:w="90" w:type="dxa"/>
            <w:tcBorders/>
            <w:tcMar>
              <w:bottom w:w="0" w:type="dxa"/>
            </w:tcMar>
            <w:vAlign w:val="center"/>
          </w:tcPr>
          <w:p>
            <w:pPr>
              <w:pStyle w:val="TableContents"/>
              <w:bidi w:val="0"/>
              <w:spacing w:before="0" w:after="283"/>
              <w:jc w:val="left"/>
              <w:rPr/>
            </w:pPr>
            <w:r>
              <w:rPr/>
              <w:t> </w:t>
            </w:r>
          </w:p>
        </w:tc>
        <w:tc>
          <w:tcPr>
            <w:tcW w:w="291" w:type="dxa"/>
            <w:tcBorders>
              <w:bottom w:val="double" w:sz="6" w:space="0" w:color="000000"/>
            </w:tcBorders>
            <w:vAlign w:val="center"/>
          </w:tcPr>
          <w:p>
            <w:pPr>
              <w:pStyle w:val="TableContents"/>
              <w:bidi w:val="0"/>
              <w:spacing w:before="0" w:after="283"/>
              <w:jc w:val="left"/>
              <w:rPr/>
            </w:pPr>
            <w:r>
              <w:rPr/>
              <w:t>$</w:t>
            </w:r>
          </w:p>
        </w:tc>
        <w:tc>
          <w:tcPr>
            <w:tcW w:w="704" w:type="dxa"/>
            <w:tcBorders>
              <w:bottom w:val="double" w:sz="6" w:space="0" w:color="000000"/>
            </w:tcBorders>
            <w:vAlign w:val="center"/>
          </w:tcPr>
          <w:p>
            <w:pPr>
              <w:pStyle w:val="TableContents"/>
              <w:bidi w:val="0"/>
              <w:spacing w:before="0" w:after="283"/>
              <w:jc w:val="right"/>
              <w:rPr/>
            </w:pPr>
            <w:r>
              <w:rPr/>
              <w:t>230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bottom w:val="double" w:sz="6" w:space="0" w:color="000000"/>
            </w:tcBorders>
            <w:vAlign w:val="center"/>
          </w:tcPr>
          <w:p>
            <w:pPr>
              <w:pStyle w:val="TableContents"/>
              <w:bidi w:val="0"/>
              <w:spacing w:before="0" w:after="283"/>
              <w:jc w:val="left"/>
              <w:rPr/>
            </w:pPr>
            <w:r>
              <w:rPr/>
              <w:t>$</w:t>
            </w:r>
          </w:p>
        </w:tc>
        <w:tc>
          <w:tcPr>
            <w:tcW w:w="912" w:type="dxa"/>
            <w:tcBorders>
              <w:bottom w:val="double" w:sz="6" w:space="0" w:color="000000"/>
            </w:tcBorders>
            <w:vAlign w:val="center"/>
          </w:tcPr>
          <w:p>
            <w:pPr>
              <w:pStyle w:val="TableContents"/>
              <w:bidi w:val="0"/>
              <w:spacing w:before="0" w:after="283"/>
              <w:jc w:val="right"/>
              <w:rPr/>
            </w:pPr>
            <w:r>
              <w:rPr/>
              <w:t>96,067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bottom w:val="double" w:sz="6" w:space="0" w:color="000000"/>
            </w:tcBorders>
            <w:vAlign w:val="center"/>
          </w:tcPr>
          <w:p>
            <w:pPr>
              <w:pStyle w:val="TableContents"/>
              <w:bidi w:val="0"/>
              <w:spacing w:before="0" w:after="283"/>
              <w:jc w:val="left"/>
              <w:rPr/>
            </w:pPr>
            <w:r>
              <w:rPr/>
              <w:t>$</w:t>
            </w:r>
          </w:p>
        </w:tc>
        <w:tc>
          <w:tcPr>
            <w:tcW w:w="871" w:type="dxa"/>
            <w:tcBorders>
              <w:bottom w:val="double" w:sz="6" w:space="0" w:color="000000"/>
            </w:tcBorders>
            <w:vAlign w:val="center"/>
          </w:tcPr>
          <w:p>
            <w:pPr>
              <w:pStyle w:val="TableContents"/>
              <w:bidi w:val="0"/>
              <w:spacing w:before="0" w:after="283"/>
              <w:jc w:val="right"/>
              <w:rPr/>
            </w:pPr>
            <w:r>
              <w:rPr/>
              <w:t>(455</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vAlign w:val="center"/>
          </w:tcPr>
          <w:p>
            <w:pPr>
              <w:pStyle w:val="TableContents"/>
              <w:bidi w:val="0"/>
              <w:spacing w:before="0" w:after="283"/>
              <w:jc w:val="left"/>
              <w:rPr/>
            </w:pPr>
            <w:r>
              <w:rPr/>
              <w:t>$</w:t>
            </w:r>
          </w:p>
        </w:tc>
        <w:tc>
          <w:tcPr>
            <w:tcW w:w="830" w:type="dxa"/>
            <w:tcBorders>
              <w:bottom w:val="double" w:sz="6" w:space="0" w:color="000000"/>
            </w:tcBorders>
            <w:vAlign w:val="center"/>
          </w:tcPr>
          <w:p>
            <w:pPr>
              <w:pStyle w:val="TableContents"/>
              <w:bidi w:val="0"/>
              <w:spacing w:before="0" w:after="283"/>
              <w:jc w:val="right"/>
              <w:rPr/>
            </w:pPr>
            <w:r>
              <w:rPr/>
              <w:t>194,233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bottom w:val="double" w:sz="6" w:space="0" w:color="000000"/>
            </w:tcBorders>
            <w:vAlign w:val="center"/>
          </w:tcPr>
          <w:p>
            <w:pPr>
              <w:pStyle w:val="TableContents"/>
              <w:bidi w:val="0"/>
              <w:spacing w:before="0" w:after="283"/>
              <w:jc w:val="left"/>
              <w:rPr/>
            </w:pPr>
            <w:r>
              <w:rPr/>
              <w:t>$</w:t>
            </w:r>
          </w:p>
        </w:tc>
        <w:tc>
          <w:tcPr>
            <w:tcW w:w="1349" w:type="dxa"/>
            <w:tcBorders>
              <w:bottom w:val="double" w:sz="6" w:space="0" w:color="000000"/>
            </w:tcBorders>
            <w:vAlign w:val="center"/>
          </w:tcPr>
          <w:p>
            <w:pPr>
              <w:pStyle w:val="TableContents"/>
              <w:bidi w:val="0"/>
              <w:spacing w:before="0" w:after="283"/>
              <w:jc w:val="right"/>
              <w:rPr/>
            </w:pPr>
            <w:r>
              <w:rPr/>
              <w:t>(11,526</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7" w:type="dxa"/>
            <w:tcBorders>
              <w:bottom w:val="double" w:sz="6" w:space="0" w:color="000000"/>
            </w:tcBorders>
            <w:vAlign w:val="center"/>
          </w:tcPr>
          <w:p>
            <w:pPr>
              <w:pStyle w:val="TableContents"/>
              <w:bidi w:val="0"/>
              <w:spacing w:before="0" w:after="283"/>
              <w:jc w:val="left"/>
              <w:rPr/>
            </w:pPr>
            <w:r>
              <w:rPr/>
              <w:t>$</w:t>
            </w:r>
          </w:p>
        </w:tc>
        <w:tc>
          <w:tcPr>
            <w:tcW w:w="818" w:type="dxa"/>
            <w:tcBorders>
              <w:bottom w:val="double" w:sz="6" w:space="0" w:color="000000"/>
            </w:tcBorders>
            <w:vAlign w:val="center"/>
          </w:tcPr>
          <w:p>
            <w:pPr>
              <w:pStyle w:val="TableContents"/>
              <w:bidi w:val="0"/>
              <w:spacing w:before="0" w:after="283"/>
              <w:jc w:val="right"/>
              <w:rPr/>
            </w:pPr>
            <w:r>
              <w:rPr/>
              <w:t>(34,749</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639" w:type="dxa"/>
            <w:tcBorders>
              <w:bottom w:val="double" w:sz="6" w:space="0" w:color="000000"/>
            </w:tcBorders>
            <w:vAlign w:val="center"/>
          </w:tcPr>
          <w:p>
            <w:pPr>
              <w:pStyle w:val="TableContents"/>
              <w:bidi w:val="0"/>
              <w:spacing w:before="0" w:after="283"/>
              <w:jc w:val="left"/>
              <w:rPr/>
            </w:pPr>
            <w:r>
              <w:rPr/>
              <w:t>$</w:t>
            </w:r>
          </w:p>
        </w:tc>
        <w:tc>
          <w:tcPr>
            <w:tcW w:w="1091" w:type="dxa"/>
            <w:tcBorders>
              <w:bottom w:val="double" w:sz="6"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bottom w:val="double" w:sz="6" w:space="0" w:color="000000"/>
            </w:tcBorders>
            <w:vAlign w:val="center"/>
          </w:tcPr>
          <w:p>
            <w:pPr>
              <w:pStyle w:val="TableContents"/>
              <w:bidi w:val="0"/>
              <w:spacing w:before="0" w:after="283"/>
              <w:jc w:val="left"/>
              <w:rPr/>
            </w:pPr>
            <w:r>
              <w:rPr/>
              <w:t>$</w:t>
            </w:r>
          </w:p>
        </w:tc>
        <w:tc>
          <w:tcPr>
            <w:tcW w:w="1225" w:type="dxa"/>
            <w:tcBorders>
              <w:bottom w:val="double" w:sz="6" w:space="0" w:color="000000"/>
            </w:tcBorders>
            <w:vAlign w:val="center"/>
          </w:tcPr>
          <w:p>
            <w:pPr>
              <w:pStyle w:val="TableContents"/>
              <w:bidi w:val="0"/>
              <w:spacing w:before="0" w:after="283"/>
              <w:jc w:val="right"/>
              <w:rPr/>
            </w:pPr>
            <w:r>
              <w:rPr/>
              <w:t>243,800</w:t>
            </w:r>
          </w:p>
        </w:tc>
        <w:tc>
          <w:tcPr>
            <w:tcW w:w="170" w:type="dxa"/>
            <w:tcBorders/>
            <w:tcMar>
              <w:bottom w:w="0" w:type="dxa"/>
            </w:tcMar>
            <w:vAlign w:val="center"/>
          </w:tcPr>
          <w:p>
            <w:pPr>
              <w:pStyle w:val="TableContents"/>
              <w:bidi w:val="0"/>
              <w:spacing w:before="0" w:after="283"/>
              <w:jc w:val="left"/>
              <w:rPr/>
            </w:pPr>
            <w:r>
              <w:rPr/>
              <w:t> </w:t>
            </w:r>
          </w:p>
        </w:tc>
      </w:tr>
    </w:tbl>
    <w:p>
      <w:pPr>
        <w:pStyle w:val="TextBody"/>
        <w:bidi w:val="0"/>
        <w:spacing w:before="6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 (Unaudited)</w:t>
      </w:r>
    </w:p>
    <w:p>
      <w:pPr>
        <w:pStyle w:val="TextBody"/>
        <w:bidi w:val="0"/>
        <w:spacing w:before="0" w:after="6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w:t>
      </w:r>
    </w:p>
    <w:tbl>
      <w:tblPr>
        <w:tblW w:w="13400" w:type="dxa"/>
        <w:jc w:val="left"/>
        <w:tblInd w:w="0" w:type="dxa"/>
        <w:tblLayout w:type="fixed"/>
        <w:tblCellMar>
          <w:top w:w="0" w:type="dxa"/>
          <w:left w:w="0" w:type="dxa"/>
          <w:bottom w:w="28" w:type="dxa"/>
          <w:right w:w="0" w:type="dxa"/>
        </w:tblCellMar>
      </w:tblPr>
      <w:tblGrid>
        <w:gridCol w:w="1565"/>
        <w:gridCol w:w="90"/>
        <w:gridCol w:w="291"/>
        <w:gridCol w:w="704"/>
        <w:gridCol w:w="90"/>
        <w:gridCol w:w="90"/>
        <w:gridCol w:w="218"/>
        <w:gridCol w:w="912"/>
        <w:gridCol w:w="125"/>
        <w:gridCol w:w="90"/>
        <w:gridCol w:w="304"/>
        <w:gridCol w:w="871"/>
        <w:gridCol w:w="125"/>
        <w:gridCol w:w="90"/>
        <w:gridCol w:w="170"/>
        <w:gridCol w:w="830"/>
        <w:gridCol w:w="125"/>
        <w:gridCol w:w="90"/>
        <w:gridCol w:w="291"/>
        <w:gridCol w:w="1349"/>
        <w:gridCol w:w="125"/>
        <w:gridCol w:w="90"/>
        <w:gridCol w:w="177"/>
        <w:gridCol w:w="818"/>
        <w:gridCol w:w="125"/>
        <w:gridCol w:w="90"/>
        <w:gridCol w:w="639"/>
        <w:gridCol w:w="1091"/>
        <w:gridCol w:w="90"/>
        <w:gridCol w:w="90"/>
        <w:gridCol w:w="250"/>
        <w:gridCol w:w="1225"/>
        <w:gridCol w:w="170"/>
      </w:tblGrid>
      <w:tr>
        <w:trPr/>
        <w:tc>
          <w:tcPr>
            <w:tcW w:w="13400" w:type="dxa"/>
            <w:gridSpan w:val="33"/>
            <w:tcBorders>
              <w:bottom w:val="single" w:sz="8" w:space="0" w:color="000000"/>
            </w:tcBorders>
            <w:vAlign w:val="center"/>
          </w:tcPr>
          <w:p>
            <w:pPr>
              <w:pStyle w:val="TableContents"/>
              <w:bidi w:val="0"/>
              <w:spacing w:before="0" w:after="283"/>
              <w:jc w:val="center"/>
              <w:rPr>
                <w:b/>
              </w:rPr>
            </w:pPr>
            <w:r>
              <w:rPr>
                <w:b/>
              </w:rPr>
              <w:t>Three Months Ended September 30, 2024</w:t>
            </w:r>
          </w:p>
        </w:tc>
      </w:tr>
      <w:tr>
        <w:trPr/>
        <w:tc>
          <w:tcPr>
            <w:tcW w:w="15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b/>
              </w:rPr>
            </w:pPr>
            <w:r>
              <w:rPr>
                <w:b/>
              </w:rPr>
              <w:t>Common</w:t>
              <w:br/>
              <w:t>Stock</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gridSpan w:val="2"/>
            <w:tcBorders>
              <w:bottom w:val="single" w:sz="8" w:space="0" w:color="000000"/>
            </w:tcBorders>
            <w:vAlign w:val="center"/>
          </w:tcPr>
          <w:p>
            <w:pPr>
              <w:pStyle w:val="TableContents"/>
              <w:bidi w:val="0"/>
              <w:spacing w:before="0" w:after="283"/>
              <w:jc w:val="center"/>
              <w:rPr>
                <w:b/>
              </w:rPr>
            </w:pPr>
            <w:r>
              <w:rPr>
                <w:b/>
              </w:rPr>
              <w:t>Additional</w:t>
              <w:br/>
              <w:t xml:space="preserve">Paid-in </w:t>
              <w:br/>
              <w:t>Capital</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8" w:space="0" w:color="000000"/>
            </w:tcBorders>
            <w:vAlign w:val="center"/>
          </w:tcPr>
          <w:p>
            <w:pPr>
              <w:pStyle w:val="TableContents"/>
              <w:bidi w:val="0"/>
              <w:spacing w:before="0" w:after="283"/>
              <w:jc w:val="center"/>
              <w:rPr>
                <w:b/>
              </w:rPr>
            </w:pPr>
            <w:r>
              <w:rPr>
                <w:b/>
              </w:rPr>
              <w:t xml:space="preserve">Unearned </w:t>
              <w:br/>
              <w:t xml:space="preserve">Employee </w:t>
              <w:br/>
              <w:t xml:space="preserve">Stock </w:t>
              <w:br/>
              <w:t xml:space="preserve">Ownership </w:t>
              <w:br/>
              <w:t>Plan Shares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8" w:space="0" w:color="000000"/>
            </w:tcBorders>
            <w:vAlign w:val="center"/>
          </w:tcPr>
          <w:p>
            <w:pPr>
              <w:pStyle w:val="TableContents"/>
              <w:bidi w:val="0"/>
              <w:spacing w:before="0" w:after="283"/>
              <w:jc w:val="center"/>
              <w:rPr>
                <w:b/>
              </w:rPr>
            </w:pPr>
            <w:r>
              <w:rPr>
                <w:b/>
              </w:rPr>
              <w:t xml:space="preserve">Retained </w:t>
              <w:br/>
              <w:t>Earnings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40" w:type="dxa"/>
            <w:gridSpan w:val="2"/>
            <w:tcBorders>
              <w:bottom w:val="single" w:sz="8" w:space="0" w:color="000000"/>
            </w:tcBorders>
            <w:vAlign w:val="center"/>
          </w:tcPr>
          <w:p>
            <w:pPr>
              <w:pStyle w:val="TableContents"/>
              <w:bidi w:val="0"/>
              <w:spacing w:before="0" w:after="283"/>
              <w:jc w:val="center"/>
              <w:rPr>
                <w:b/>
              </w:rPr>
            </w:pPr>
            <w:r>
              <w:rPr>
                <w:b/>
              </w:rPr>
              <w:t>Accumulated</w:t>
              <w:br/>
              <w:t xml:space="preserve">Other </w:t>
              <w:br/>
              <w:t>Comprehensive</w:t>
              <w:br/>
              <w:t>Loss, Net of</w:t>
              <w:br/>
              <w:t>Income Taxes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b/>
              </w:rPr>
            </w:pPr>
            <w:r>
              <w:rPr>
                <w:b/>
              </w:rPr>
              <w:t xml:space="preserve">Treasury </w:t>
              <w:br/>
              <w:t>Stock</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0" w:type="dxa"/>
            <w:gridSpan w:val="2"/>
            <w:tcBorders>
              <w:bottom w:val="single" w:sz="8" w:space="0" w:color="000000"/>
            </w:tcBorders>
            <w:vAlign w:val="center"/>
          </w:tcPr>
          <w:p>
            <w:pPr>
              <w:pStyle w:val="TableContents"/>
              <w:bidi w:val="0"/>
              <w:spacing w:before="0" w:after="283"/>
              <w:jc w:val="center"/>
              <w:rPr>
                <w:b/>
              </w:rPr>
            </w:pPr>
            <w:r>
              <w:rPr>
                <w:b/>
              </w:rPr>
              <w:t xml:space="preserve">Non-Controlling </w:t>
              <w:br/>
              <w:t>Interest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gridSpan w:val="2"/>
            <w:tcBorders>
              <w:bottom w:val="single" w:sz="8" w:space="0" w:color="000000"/>
            </w:tcBorders>
            <w:vAlign w:val="center"/>
          </w:tcPr>
          <w:p>
            <w:pPr>
              <w:pStyle w:val="TableContents"/>
              <w:bidi w:val="0"/>
              <w:spacing w:before="0" w:after="283"/>
              <w:jc w:val="center"/>
              <w:rPr>
                <w:b/>
              </w:rPr>
            </w:pPr>
            <w:r>
              <w:rPr>
                <w:b/>
              </w:rPr>
              <w:t xml:space="preserve">Total </w:t>
              <w:br/>
              <w:t xml:space="preserve">Shareholders’ </w:t>
              <w:br/>
              <w:t>Equity</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 xml:space="preserve">Balance, </w:t>
              <w:br/>
              <w:t>July 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w:t>
            </w:r>
          </w:p>
        </w:tc>
        <w:tc>
          <w:tcPr>
            <w:tcW w:w="704" w:type="dxa"/>
            <w:tcBorders/>
            <w:shd w:fill="CCEEFF" w:val="clear"/>
            <w:tcMar>
              <w:bottom w:w="0" w:type="dxa"/>
            </w:tcMar>
            <w:vAlign w:val="center"/>
          </w:tcPr>
          <w:p>
            <w:pPr>
              <w:pStyle w:val="TableContents"/>
              <w:bidi w:val="0"/>
              <w:spacing w:before="0" w:after="283"/>
              <w:jc w:val="right"/>
              <w:rPr/>
            </w:pPr>
            <w:r>
              <w:rPr/>
              <w:t>230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w:t>
            </w:r>
          </w:p>
        </w:tc>
        <w:tc>
          <w:tcPr>
            <w:tcW w:w="912" w:type="dxa"/>
            <w:tcBorders/>
            <w:shd w:fill="CCEEFF" w:val="clear"/>
            <w:tcMar>
              <w:bottom w:w="0" w:type="dxa"/>
            </w:tcMar>
            <w:vAlign w:val="center"/>
          </w:tcPr>
          <w:p>
            <w:pPr>
              <w:pStyle w:val="TableContents"/>
              <w:bidi w:val="0"/>
              <w:spacing w:before="0" w:after="283"/>
              <w:jc w:val="right"/>
              <w:rPr/>
            </w:pPr>
            <w:r>
              <w:rPr/>
              <w:t>96,581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w:t>
            </w:r>
          </w:p>
        </w:tc>
        <w:tc>
          <w:tcPr>
            <w:tcW w:w="871" w:type="dxa"/>
            <w:tcBorders/>
            <w:shd w:fill="CCEEFF" w:val="clear"/>
            <w:tcMar>
              <w:bottom w:w="0" w:type="dxa"/>
            </w:tcMar>
            <w:vAlign w:val="center"/>
          </w:tcPr>
          <w:p>
            <w:pPr>
              <w:pStyle w:val="TableContents"/>
              <w:bidi w:val="0"/>
              <w:spacing w:before="0" w:after="283"/>
              <w:jc w:val="right"/>
              <w:rPr/>
            </w:pPr>
            <w:r>
              <w:rPr/>
              <w:t>(698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194,441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w:t>
            </w:r>
          </w:p>
        </w:tc>
        <w:tc>
          <w:tcPr>
            <w:tcW w:w="1349" w:type="dxa"/>
            <w:tcBorders/>
            <w:shd w:fill="CCEEFF" w:val="clear"/>
            <w:tcMar>
              <w:bottom w:w="0" w:type="dxa"/>
            </w:tcMar>
            <w:vAlign w:val="center"/>
          </w:tcPr>
          <w:p>
            <w:pPr>
              <w:pStyle w:val="TableContents"/>
              <w:bidi w:val="0"/>
              <w:spacing w:before="0" w:after="283"/>
              <w:jc w:val="right"/>
              <w:rPr/>
            </w:pPr>
            <w:r>
              <w:rPr/>
              <w:t>(20,192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w:t>
            </w:r>
          </w:p>
        </w:tc>
        <w:tc>
          <w:tcPr>
            <w:tcW w:w="818" w:type="dxa"/>
            <w:tcBorders/>
            <w:shd w:fill="CCEEFF" w:val="clear"/>
            <w:tcMar>
              <w:bottom w:w="0" w:type="dxa"/>
            </w:tcMar>
            <w:vAlign w:val="center"/>
          </w:tcPr>
          <w:p>
            <w:pPr>
              <w:pStyle w:val="TableContents"/>
              <w:bidi w:val="0"/>
              <w:spacing w:before="0" w:after="283"/>
              <w:jc w:val="right"/>
              <w:rPr/>
            </w:pPr>
            <w:r>
              <w:rPr/>
              <w:t>(34,298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shd w:fill="CCEEFF" w:val="clear"/>
            <w:tcMar>
              <w:bottom w:w="0" w:type="dxa"/>
            </w:tcMar>
            <w:vAlign w:val="center"/>
          </w:tcPr>
          <w:p>
            <w:pPr>
              <w:pStyle w:val="TableContents"/>
              <w:bidi w:val="0"/>
              <w:spacing w:before="0" w:after="283"/>
              <w:jc w:val="left"/>
              <w:rPr/>
            </w:pPr>
            <w:r>
              <w:rPr/>
              <w:t>$</w:t>
            </w:r>
          </w:p>
        </w:tc>
        <w:tc>
          <w:tcPr>
            <w:tcW w:w="109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w:t>
            </w:r>
          </w:p>
        </w:tc>
        <w:tc>
          <w:tcPr>
            <w:tcW w:w="1225" w:type="dxa"/>
            <w:tcBorders/>
            <w:shd w:fill="CCEEFF" w:val="clear"/>
            <w:tcMar>
              <w:bottom w:w="0" w:type="dxa"/>
            </w:tcMar>
            <w:vAlign w:val="center"/>
          </w:tcPr>
          <w:p>
            <w:pPr>
              <w:pStyle w:val="TableContents"/>
              <w:bidi w:val="0"/>
              <w:spacing w:before="0" w:after="283"/>
              <w:jc w:val="right"/>
              <w:rPr/>
            </w:pPr>
            <w:r>
              <w:rPr/>
              <w:t>236,064</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9"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Battle Creek demutualization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shd w:fill="CCEEFF" w:val="clear"/>
            <w:tcMar>
              <w:bottom w:w="0" w:type="dxa"/>
            </w:tcMar>
            <w:vAlign w:val="center"/>
          </w:tcPr>
          <w:p>
            <w:pPr>
              <w:pStyle w:val="TableContents"/>
              <w:bidi w:val="0"/>
              <w:spacing w:before="0" w:after="283"/>
              <w:jc w:val="left"/>
              <w:rPr/>
            </w:pPr>
            <w:r>
              <w:rPr/>
              <w:t> </w:t>
            </w:r>
          </w:p>
        </w:tc>
        <w:tc>
          <w:tcPr>
            <w:tcW w:w="109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Net loss</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(2,705</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9"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(2,705</w:t>
            </w:r>
          </w:p>
        </w:tc>
        <w:tc>
          <w:tcPr>
            <w:tcW w:w="170" w:type="dxa"/>
            <w:tcBorders/>
            <w:tcMar>
              <w:bottom w:w="0" w:type="dxa"/>
            </w:tcMar>
            <w:vAlign w:val="center"/>
          </w:tcPr>
          <w:p>
            <w:pPr>
              <w:pStyle w:val="TableContents"/>
              <w:bidi w:val="0"/>
              <w:spacing w:before="0" w:after="283"/>
              <w:jc w:val="left"/>
              <w:rPr/>
            </w:pPr>
            <w:r>
              <w:rPr/>
              <w:t>)</w:t>
            </w:r>
          </w:p>
        </w:tc>
      </w:tr>
      <w:tr>
        <w:trPr/>
        <w:tc>
          <w:tcPr>
            <w:tcW w:w="1565" w:type="dxa"/>
            <w:tcBorders/>
            <w:shd w:fill="CCEEFF" w:val="clear"/>
            <w:tcMar>
              <w:bottom w:w="0" w:type="dxa"/>
            </w:tcMar>
            <w:vAlign w:val="center"/>
          </w:tcPr>
          <w:p>
            <w:pPr>
              <w:pStyle w:val="TableContents"/>
              <w:bidi w:val="0"/>
              <w:spacing w:before="0" w:after="283"/>
              <w:jc w:val="left"/>
              <w:rPr/>
            </w:pPr>
            <w:r>
              <w:rPr/>
              <w:t>Impact of Westminster unrealized investment gains/losses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shd w:fill="CCEEFF" w:val="clear"/>
            <w:tcMar>
              <w:bottom w:w="0" w:type="dxa"/>
            </w:tcMar>
            <w:vAlign w:val="center"/>
          </w:tcPr>
          <w:p>
            <w:pPr>
              <w:pStyle w:val="TableContents"/>
              <w:bidi w:val="0"/>
              <w:spacing w:before="0" w:after="283"/>
              <w:jc w:val="left"/>
              <w:rPr/>
            </w:pPr>
            <w:r>
              <w:rPr/>
              <w:t> </w:t>
            </w:r>
          </w:p>
        </w:tc>
        <w:tc>
          <w:tcPr>
            <w:tcW w:w="109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Other comprehensive income, net of income taxes</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right"/>
              <w:rPr/>
            </w:pPr>
            <w:r>
              <w:rPr/>
              <w:t>8,626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9"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8,626</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Purchase of treasury stock</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shd w:fill="CCEEFF" w:val="clear"/>
            <w:tcMar>
              <w:bottom w:w="0" w:type="dxa"/>
            </w:tcMar>
            <w:vAlign w:val="center"/>
          </w:tcPr>
          <w:p>
            <w:pPr>
              <w:pStyle w:val="TableContents"/>
              <w:bidi w:val="0"/>
              <w:spacing w:before="0" w:after="283"/>
              <w:jc w:val="left"/>
              <w:rPr/>
            </w:pPr>
            <w:r>
              <w:rPr/>
              <w:t> </w:t>
            </w:r>
          </w:p>
        </w:tc>
        <w:tc>
          <w:tcPr>
            <w:tcW w:w="109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Share-based compensation</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283"/>
              <w:jc w:val="right"/>
              <w:rPr/>
            </w:pPr>
            <w:r>
              <w:rPr/>
              <w:t>(614</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9"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(614</w:t>
            </w:r>
          </w:p>
        </w:tc>
        <w:tc>
          <w:tcPr>
            <w:tcW w:w="170" w:type="dxa"/>
            <w:tcBorders/>
            <w:tcMar>
              <w:bottom w:w="0" w:type="dxa"/>
            </w:tcMar>
            <w:vAlign w:val="center"/>
          </w:tcPr>
          <w:p>
            <w:pPr>
              <w:pStyle w:val="TableContents"/>
              <w:bidi w:val="0"/>
              <w:spacing w:before="0" w:after="283"/>
              <w:jc w:val="left"/>
              <w:rPr/>
            </w:pPr>
            <w:r>
              <w:rPr/>
              <w:t>)</w:t>
            </w:r>
          </w:p>
        </w:tc>
      </w:tr>
      <w:tr>
        <w:trPr/>
        <w:tc>
          <w:tcPr>
            <w:tcW w:w="1565" w:type="dxa"/>
            <w:tcBorders/>
            <w:shd w:fill="CCEEFF" w:val="clear"/>
            <w:tcMar>
              <w:bottom w:w="0" w:type="dxa"/>
            </w:tcMar>
            <w:vAlign w:val="center"/>
          </w:tcPr>
          <w:p>
            <w:pPr>
              <w:pStyle w:val="TableContents"/>
              <w:bidi w:val="0"/>
              <w:spacing w:before="0" w:after="283"/>
              <w:jc w:val="left"/>
              <w:rPr/>
            </w:pPr>
            <w:r>
              <w:rPr/>
              <w:t>Issuance of vested award shares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bottom w:val="single" w:sz="8" w:space="0" w:color="000000"/>
            </w:tcBorders>
            <w:shd w:fill="CCEEFF" w:val="clear"/>
            <w:vAlign w:val="center"/>
          </w:tcPr>
          <w:p>
            <w:pPr>
              <w:pStyle w:val="TableContents"/>
              <w:bidi w:val="0"/>
              <w:spacing w:before="0" w:after="283"/>
              <w:jc w:val="left"/>
              <w:rPr/>
            </w:pPr>
            <w:r>
              <w:rPr/>
              <w:t> </w:t>
            </w:r>
          </w:p>
        </w:tc>
        <w:tc>
          <w:tcPr>
            <w:tcW w:w="704" w:type="dxa"/>
            <w:tcBorders>
              <w:bottom w:val="single" w:sz="8"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bottom w:val="single" w:sz="8" w:space="0" w:color="000000"/>
            </w:tcBorders>
            <w:shd w:fill="CCEEFF" w:val="clear"/>
            <w:vAlign w:val="center"/>
          </w:tcPr>
          <w:p>
            <w:pPr>
              <w:pStyle w:val="TableContents"/>
              <w:bidi w:val="0"/>
              <w:spacing w:before="0" w:after="283"/>
              <w:jc w:val="left"/>
              <w:rPr/>
            </w:pPr>
            <w:r>
              <w:rPr/>
              <w:t> </w:t>
            </w:r>
          </w:p>
        </w:tc>
        <w:tc>
          <w:tcPr>
            <w:tcW w:w="912"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bottom w:val="single" w:sz="8" w:space="0" w:color="000000"/>
            </w:tcBorders>
            <w:shd w:fill="CCEEFF" w:val="clear"/>
            <w:vAlign w:val="center"/>
          </w:tcPr>
          <w:p>
            <w:pPr>
              <w:pStyle w:val="TableContents"/>
              <w:bidi w:val="0"/>
              <w:spacing w:before="0" w:after="283"/>
              <w:jc w:val="left"/>
              <w:rPr/>
            </w:pPr>
            <w:r>
              <w:rPr/>
              <w:t> </w:t>
            </w:r>
          </w:p>
        </w:tc>
        <w:tc>
          <w:tcPr>
            <w:tcW w:w="871"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bottom w:val="single" w:sz="8" w:space="0" w:color="000000"/>
            </w:tcBorders>
            <w:shd w:fill="CCEEFF" w:val="clear"/>
            <w:vAlign w:val="center"/>
          </w:tcPr>
          <w:p>
            <w:pPr>
              <w:pStyle w:val="TableContents"/>
              <w:bidi w:val="0"/>
              <w:spacing w:before="0" w:after="283"/>
              <w:jc w:val="left"/>
              <w:rPr/>
            </w:pPr>
            <w:r>
              <w:rPr/>
              <w:t> </w:t>
            </w:r>
          </w:p>
        </w:tc>
        <w:tc>
          <w:tcPr>
            <w:tcW w:w="1349"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bottom w:val="single" w:sz="8" w:space="0" w:color="000000"/>
            </w:tcBorders>
            <w:shd w:fill="CCEEFF" w:val="clear"/>
            <w:vAlign w:val="center"/>
          </w:tcPr>
          <w:p>
            <w:pPr>
              <w:pStyle w:val="TableContents"/>
              <w:bidi w:val="0"/>
              <w:spacing w:before="0" w:after="283"/>
              <w:jc w:val="left"/>
              <w:rPr/>
            </w:pPr>
            <w:r>
              <w:rPr/>
              <w:t> </w:t>
            </w:r>
          </w:p>
        </w:tc>
        <w:tc>
          <w:tcPr>
            <w:tcW w:w="818"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9" w:type="dxa"/>
            <w:tcBorders>
              <w:bottom w:val="single" w:sz="8" w:space="0" w:color="000000"/>
            </w:tcBorders>
            <w:shd w:fill="CCEEFF" w:val="clear"/>
            <w:vAlign w:val="center"/>
          </w:tcPr>
          <w:p>
            <w:pPr>
              <w:pStyle w:val="TableContents"/>
              <w:bidi w:val="0"/>
              <w:spacing w:before="0" w:after="283"/>
              <w:jc w:val="left"/>
              <w:rPr/>
            </w:pPr>
            <w:r>
              <w:rPr/>
              <w:t> </w:t>
            </w:r>
          </w:p>
        </w:tc>
        <w:tc>
          <w:tcPr>
            <w:tcW w:w="1091" w:type="dxa"/>
            <w:tcBorders>
              <w:bottom w:val="single" w:sz="8"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bottom w:val="single" w:sz="8" w:space="0" w:color="000000"/>
            </w:tcBorders>
            <w:shd w:fill="CCEEFF" w:val="clear"/>
            <w:vAlign w:val="center"/>
          </w:tcPr>
          <w:p>
            <w:pPr>
              <w:pStyle w:val="TableContents"/>
              <w:bidi w:val="0"/>
              <w:spacing w:before="0" w:after="283"/>
              <w:jc w:val="left"/>
              <w:rPr/>
            </w:pPr>
            <w:r>
              <w:rPr/>
              <w:t> </w:t>
            </w:r>
          </w:p>
        </w:tc>
        <w:tc>
          <w:tcPr>
            <w:tcW w:w="1225" w:type="dxa"/>
            <w:tcBorders>
              <w:bottom w:val="single" w:sz="8" w:space="0" w:color="000000"/>
            </w:tcBorders>
            <w:shd w:fill="CCEEFF" w:val="cle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 xml:space="preserve">Balance, </w:t>
              <w:br/>
              <w:t>September 30, 2024</w:t>
            </w:r>
          </w:p>
        </w:tc>
        <w:tc>
          <w:tcPr>
            <w:tcW w:w="90" w:type="dxa"/>
            <w:tcBorders/>
            <w:tcMar>
              <w:bottom w:w="0" w:type="dxa"/>
            </w:tcMar>
            <w:vAlign w:val="center"/>
          </w:tcPr>
          <w:p>
            <w:pPr>
              <w:pStyle w:val="TableContents"/>
              <w:bidi w:val="0"/>
              <w:spacing w:before="0" w:after="283"/>
              <w:jc w:val="left"/>
              <w:rPr/>
            </w:pPr>
            <w:r>
              <w:rPr/>
              <w:t> </w:t>
            </w:r>
          </w:p>
        </w:tc>
        <w:tc>
          <w:tcPr>
            <w:tcW w:w="291" w:type="dxa"/>
            <w:tcBorders>
              <w:bottom w:val="double" w:sz="6" w:space="0" w:color="000000"/>
            </w:tcBorders>
            <w:vAlign w:val="center"/>
          </w:tcPr>
          <w:p>
            <w:pPr>
              <w:pStyle w:val="TableContents"/>
              <w:bidi w:val="0"/>
              <w:spacing w:before="0" w:after="283"/>
              <w:jc w:val="left"/>
              <w:rPr/>
            </w:pPr>
            <w:r>
              <w:rPr/>
              <w:t>$</w:t>
            </w:r>
          </w:p>
        </w:tc>
        <w:tc>
          <w:tcPr>
            <w:tcW w:w="704" w:type="dxa"/>
            <w:tcBorders>
              <w:bottom w:val="double" w:sz="6" w:space="0" w:color="000000"/>
            </w:tcBorders>
            <w:vAlign w:val="center"/>
          </w:tcPr>
          <w:p>
            <w:pPr>
              <w:pStyle w:val="TableContents"/>
              <w:bidi w:val="0"/>
              <w:spacing w:before="0" w:after="283"/>
              <w:jc w:val="right"/>
              <w:rPr/>
            </w:pPr>
            <w:r>
              <w:rPr/>
              <w:t>230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bottom w:val="double" w:sz="6" w:space="0" w:color="000000"/>
            </w:tcBorders>
            <w:vAlign w:val="center"/>
          </w:tcPr>
          <w:p>
            <w:pPr>
              <w:pStyle w:val="TableContents"/>
              <w:bidi w:val="0"/>
              <w:spacing w:before="0" w:after="283"/>
              <w:jc w:val="left"/>
              <w:rPr/>
            </w:pPr>
            <w:r>
              <w:rPr/>
              <w:t>$</w:t>
            </w:r>
          </w:p>
        </w:tc>
        <w:tc>
          <w:tcPr>
            <w:tcW w:w="912" w:type="dxa"/>
            <w:tcBorders>
              <w:bottom w:val="double" w:sz="6" w:space="0" w:color="000000"/>
            </w:tcBorders>
            <w:vAlign w:val="center"/>
          </w:tcPr>
          <w:p>
            <w:pPr>
              <w:pStyle w:val="TableContents"/>
              <w:bidi w:val="0"/>
              <w:spacing w:before="0" w:after="283"/>
              <w:jc w:val="right"/>
              <w:rPr/>
            </w:pPr>
            <w:r>
              <w:rPr/>
              <w:t>95,967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bottom w:val="double" w:sz="6" w:space="0" w:color="000000"/>
            </w:tcBorders>
            <w:vAlign w:val="center"/>
          </w:tcPr>
          <w:p>
            <w:pPr>
              <w:pStyle w:val="TableContents"/>
              <w:bidi w:val="0"/>
              <w:spacing w:before="0" w:after="283"/>
              <w:jc w:val="left"/>
              <w:rPr/>
            </w:pPr>
            <w:r>
              <w:rPr/>
              <w:t>$</w:t>
            </w:r>
          </w:p>
        </w:tc>
        <w:tc>
          <w:tcPr>
            <w:tcW w:w="871" w:type="dxa"/>
            <w:tcBorders>
              <w:bottom w:val="double" w:sz="6" w:space="0" w:color="000000"/>
            </w:tcBorders>
            <w:vAlign w:val="center"/>
          </w:tcPr>
          <w:p>
            <w:pPr>
              <w:pStyle w:val="TableContents"/>
              <w:bidi w:val="0"/>
              <w:spacing w:before="0" w:after="283"/>
              <w:jc w:val="right"/>
              <w:rPr/>
            </w:pPr>
            <w:r>
              <w:rPr/>
              <w:t>(698</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vAlign w:val="center"/>
          </w:tcPr>
          <w:p>
            <w:pPr>
              <w:pStyle w:val="TableContents"/>
              <w:bidi w:val="0"/>
              <w:spacing w:before="0" w:after="283"/>
              <w:jc w:val="left"/>
              <w:rPr/>
            </w:pPr>
            <w:r>
              <w:rPr/>
              <w:t>$</w:t>
            </w:r>
          </w:p>
        </w:tc>
        <w:tc>
          <w:tcPr>
            <w:tcW w:w="830" w:type="dxa"/>
            <w:tcBorders>
              <w:bottom w:val="double" w:sz="6" w:space="0" w:color="000000"/>
            </w:tcBorders>
            <w:vAlign w:val="center"/>
          </w:tcPr>
          <w:p>
            <w:pPr>
              <w:pStyle w:val="TableContents"/>
              <w:bidi w:val="0"/>
              <w:spacing w:before="0" w:after="283"/>
              <w:jc w:val="right"/>
              <w:rPr/>
            </w:pPr>
            <w:r>
              <w:rPr/>
              <w:t>191,736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bottom w:val="double" w:sz="6" w:space="0" w:color="000000"/>
            </w:tcBorders>
            <w:vAlign w:val="center"/>
          </w:tcPr>
          <w:p>
            <w:pPr>
              <w:pStyle w:val="TableContents"/>
              <w:bidi w:val="0"/>
              <w:spacing w:before="0" w:after="283"/>
              <w:jc w:val="left"/>
              <w:rPr/>
            </w:pPr>
            <w:r>
              <w:rPr/>
              <w:t>$</w:t>
            </w:r>
          </w:p>
        </w:tc>
        <w:tc>
          <w:tcPr>
            <w:tcW w:w="1349" w:type="dxa"/>
            <w:tcBorders>
              <w:bottom w:val="double" w:sz="6" w:space="0" w:color="000000"/>
            </w:tcBorders>
            <w:vAlign w:val="center"/>
          </w:tcPr>
          <w:p>
            <w:pPr>
              <w:pStyle w:val="TableContents"/>
              <w:bidi w:val="0"/>
              <w:spacing w:before="0" w:after="283"/>
              <w:jc w:val="right"/>
              <w:rPr/>
            </w:pPr>
            <w:r>
              <w:rPr/>
              <w:t>(11,566</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7" w:type="dxa"/>
            <w:tcBorders>
              <w:bottom w:val="double" w:sz="6" w:space="0" w:color="000000"/>
            </w:tcBorders>
            <w:vAlign w:val="center"/>
          </w:tcPr>
          <w:p>
            <w:pPr>
              <w:pStyle w:val="TableContents"/>
              <w:bidi w:val="0"/>
              <w:spacing w:before="0" w:after="283"/>
              <w:jc w:val="left"/>
              <w:rPr/>
            </w:pPr>
            <w:r>
              <w:rPr/>
              <w:t>$</w:t>
            </w:r>
          </w:p>
        </w:tc>
        <w:tc>
          <w:tcPr>
            <w:tcW w:w="818" w:type="dxa"/>
            <w:tcBorders>
              <w:bottom w:val="double" w:sz="6" w:space="0" w:color="000000"/>
            </w:tcBorders>
            <w:vAlign w:val="center"/>
          </w:tcPr>
          <w:p>
            <w:pPr>
              <w:pStyle w:val="TableContents"/>
              <w:bidi w:val="0"/>
              <w:spacing w:before="0" w:after="283"/>
              <w:jc w:val="right"/>
              <w:rPr/>
            </w:pPr>
            <w:r>
              <w:rPr/>
              <w:t>(34,298</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639" w:type="dxa"/>
            <w:tcBorders>
              <w:bottom w:val="double" w:sz="6" w:space="0" w:color="000000"/>
            </w:tcBorders>
            <w:vAlign w:val="center"/>
          </w:tcPr>
          <w:p>
            <w:pPr>
              <w:pStyle w:val="TableContents"/>
              <w:bidi w:val="0"/>
              <w:spacing w:before="0" w:after="283"/>
              <w:jc w:val="left"/>
              <w:rPr/>
            </w:pPr>
            <w:r>
              <w:rPr/>
              <w:t>$</w:t>
            </w:r>
          </w:p>
        </w:tc>
        <w:tc>
          <w:tcPr>
            <w:tcW w:w="1091" w:type="dxa"/>
            <w:tcBorders>
              <w:bottom w:val="double" w:sz="6"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bottom w:val="double" w:sz="6" w:space="0" w:color="000000"/>
            </w:tcBorders>
            <w:vAlign w:val="center"/>
          </w:tcPr>
          <w:p>
            <w:pPr>
              <w:pStyle w:val="TableContents"/>
              <w:bidi w:val="0"/>
              <w:spacing w:before="0" w:after="283"/>
              <w:jc w:val="left"/>
              <w:rPr/>
            </w:pPr>
            <w:r>
              <w:rPr/>
              <w:t>$</w:t>
            </w:r>
          </w:p>
        </w:tc>
        <w:tc>
          <w:tcPr>
            <w:tcW w:w="1225" w:type="dxa"/>
            <w:tcBorders>
              <w:bottom w:val="double" w:sz="6" w:space="0" w:color="000000"/>
            </w:tcBorders>
            <w:vAlign w:val="center"/>
          </w:tcPr>
          <w:p>
            <w:pPr>
              <w:pStyle w:val="TableContents"/>
              <w:bidi w:val="0"/>
              <w:spacing w:before="0" w:after="283"/>
              <w:jc w:val="right"/>
              <w:rPr/>
            </w:pPr>
            <w:r>
              <w:rPr/>
              <w:t>241,371</w:t>
            </w:r>
          </w:p>
        </w:tc>
        <w:tc>
          <w:tcPr>
            <w:tcW w:w="1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3435" w:type="dxa"/>
        <w:jc w:val="left"/>
        <w:tblInd w:w="0" w:type="dxa"/>
        <w:tblLayout w:type="fixed"/>
        <w:tblCellMar>
          <w:top w:w="0" w:type="dxa"/>
          <w:left w:w="0" w:type="dxa"/>
          <w:bottom w:w="28" w:type="dxa"/>
          <w:right w:w="0" w:type="dxa"/>
        </w:tblCellMar>
      </w:tblPr>
      <w:tblGrid>
        <w:gridCol w:w="1565"/>
        <w:gridCol w:w="90"/>
        <w:gridCol w:w="291"/>
        <w:gridCol w:w="704"/>
        <w:gridCol w:w="90"/>
        <w:gridCol w:w="90"/>
        <w:gridCol w:w="218"/>
        <w:gridCol w:w="912"/>
        <w:gridCol w:w="125"/>
        <w:gridCol w:w="90"/>
        <w:gridCol w:w="304"/>
        <w:gridCol w:w="871"/>
        <w:gridCol w:w="125"/>
        <w:gridCol w:w="90"/>
        <w:gridCol w:w="170"/>
        <w:gridCol w:w="830"/>
        <w:gridCol w:w="125"/>
        <w:gridCol w:w="90"/>
        <w:gridCol w:w="291"/>
        <w:gridCol w:w="1349"/>
        <w:gridCol w:w="125"/>
        <w:gridCol w:w="90"/>
        <w:gridCol w:w="177"/>
        <w:gridCol w:w="818"/>
        <w:gridCol w:w="125"/>
        <w:gridCol w:w="90"/>
        <w:gridCol w:w="352"/>
        <w:gridCol w:w="1378"/>
        <w:gridCol w:w="125"/>
        <w:gridCol w:w="90"/>
        <w:gridCol w:w="250"/>
        <w:gridCol w:w="1225"/>
        <w:gridCol w:w="170"/>
      </w:tblGrid>
      <w:tr>
        <w:trPr/>
        <w:tc>
          <w:tcPr>
            <w:tcW w:w="13435" w:type="dxa"/>
            <w:gridSpan w:val="33"/>
            <w:tcBorders>
              <w:bottom w:val="single" w:sz="8" w:space="0" w:color="000000"/>
            </w:tcBorders>
            <w:vAlign w:val="center"/>
          </w:tcPr>
          <w:p>
            <w:pPr>
              <w:pStyle w:val="TableContents"/>
              <w:bidi w:val="0"/>
              <w:spacing w:before="0" w:after="283"/>
              <w:jc w:val="center"/>
              <w:rPr>
                <w:b/>
              </w:rPr>
            </w:pPr>
            <w:r>
              <w:rPr>
                <w:b/>
              </w:rPr>
              <w:t>Nine Months Ended September 30, 2024</w:t>
            </w:r>
          </w:p>
        </w:tc>
      </w:tr>
      <w:tr>
        <w:trPr/>
        <w:tc>
          <w:tcPr>
            <w:tcW w:w="15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b/>
              </w:rPr>
            </w:pPr>
            <w:r>
              <w:rPr>
                <w:b/>
              </w:rPr>
              <w:t>Common</w:t>
              <w:br/>
              <w:t>Stock</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gridSpan w:val="2"/>
            <w:tcBorders>
              <w:bottom w:val="single" w:sz="8" w:space="0" w:color="000000"/>
            </w:tcBorders>
            <w:vAlign w:val="center"/>
          </w:tcPr>
          <w:p>
            <w:pPr>
              <w:pStyle w:val="TableContents"/>
              <w:bidi w:val="0"/>
              <w:spacing w:before="0" w:after="283"/>
              <w:jc w:val="center"/>
              <w:rPr>
                <w:b/>
              </w:rPr>
            </w:pPr>
            <w:r>
              <w:rPr>
                <w:b/>
              </w:rPr>
              <w:t xml:space="preserve">Additional </w:t>
              <w:br/>
              <w:t xml:space="preserve">Paid-in </w:t>
              <w:br/>
              <w:t>Capital</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8" w:space="0" w:color="000000"/>
            </w:tcBorders>
            <w:vAlign w:val="center"/>
          </w:tcPr>
          <w:p>
            <w:pPr>
              <w:pStyle w:val="TableContents"/>
              <w:bidi w:val="0"/>
              <w:spacing w:before="0" w:after="283"/>
              <w:jc w:val="center"/>
              <w:rPr>
                <w:b/>
              </w:rPr>
            </w:pPr>
            <w:r>
              <w:rPr>
                <w:b/>
              </w:rPr>
              <w:t xml:space="preserve">Unearned </w:t>
              <w:br/>
              <w:t xml:space="preserve">Employee </w:t>
              <w:br/>
              <w:t xml:space="preserve">Stock </w:t>
              <w:br/>
              <w:t xml:space="preserve">Ownership </w:t>
              <w:br/>
              <w:t>Plan Shares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8" w:space="0" w:color="000000"/>
            </w:tcBorders>
            <w:vAlign w:val="center"/>
          </w:tcPr>
          <w:p>
            <w:pPr>
              <w:pStyle w:val="TableContents"/>
              <w:bidi w:val="0"/>
              <w:spacing w:before="0" w:after="283"/>
              <w:jc w:val="center"/>
              <w:rPr>
                <w:b/>
              </w:rPr>
            </w:pPr>
            <w:r>
              <w:rPr>
                <w:b/>
              </w:rPr>
              <w:t xml:space="preserve">Retained </w:t>
              <w:br/>
              <w:t>Earnings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40" w:type="dxa"/>
            <w:gridSpan w:val="2"/>
            <w:tcBorders>
              <w:bottom w:val="single" w:sz="8" w:space="0" w:color="000000"/>
            </w:tcBorders>
            <w:vAlign w:val="center"/>
          </w:tcPr>
          <w:p>
            <w:pPr>
              <w:pStyle w:val="TableContents"/>
              <w:bidi w:val="0"/>
              <w:spacing w:before="0" w:after="283"/>
              <w:jc w:val="center"/>
              <w:rPr>
                <w:b/>
              </w:rPr>
            </w:pPr>
            <w:r>
              <w:rPr>
                <w:b/>
              </w:rPr>
              <w:t>Accumulated</w:t>
              <w:br/>
              <w:t xml:space="preserve">Other </w:t>
              <w:br/>
              <w:t xml:space="preserve">Comprehensive </w:t>
              <w:br/>
              <w:t xml:space="preserve">Loss, Net of </w:t>
              <w:br/>
              <w:t>Income Taxes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b/>
              </w:rPr>
            </w:pPr>
            <w:r>
              <w:rPr>
                <w:b/>
              </w:rPr>
              <w:t xml:space="preserve">Treasury </w:t>
              <w:br/>
              <w:t>Stock</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0" w:type="dxa"/>
            <w:gridSpan w:val="2"/>
            <w:tcBorders>
              <w:bottom w:val="single" w:sz="8" w:space="0" w:color="000000"/>
            </w:tcBorders>
            <w:vAlign w:val="center"/>
          </w:tcPr>
          <w:p>
            <w:pPr>
              <w:pStyle w:val="TableContents"/>
              <w:bidi w:val="0"/>
              <w:spacing w:before="0" w:after="283"/>
              <w:jc w:val="center"/>
              <w:rPr>
                <w:b/>
              </w:rPr>
            </w:pPr>
            <w:r>
              <w:rPr>
                <w:b/>
              </w:rPr>
              <w:t xml:space="preserve">Non-Controlling </w:t>
              <w:br/>
              <w:t>Interest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gridSpan w:val="2"/>
            <w:tcBorders>
              <w:bottom w:val="single" w:sz="8" w:space="0" w:color="000000"/>
            </w:tcBorders>
            <w:vAlign w:val="center"/>
          </w:tcPr>
          <w:p>
            <w:pPr>
              <w:pStyle w:val="TableContents"/>
              <w:bidi w:val="0"/>
              <w:spacing w:before="0" w:after="283"/>
              <w:jc w:val="center"/>
              <w:rPr>
                <w:b/>
              </w:rPr>
            </w:pPr>
            <w:r>
              <w:rPr>
                <w:b/>
              </w:rPr>
              <w:t xml:space="preserve">Total </w:t>
              <w:br/>
              <w:t xml:space="preserve">Shareholders’ </w:t>
              <w:br/>
              <w:t>Equity</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Balance,</w:t>
              <w:br/>
              <w:t>January 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w:t>
            </w:r>
          </w:p>
        </w:tc>
        <w:tc>
          <w:tcPr>
            <w:tcW w:w="704" w:type="dxa"/>
            <w:tcBorders/>
            <w:shd w:fill="CCEEFF" w:val="clear"/>
            <w:tcMar>
              <w:bottom w:w="0" w:type="dxa"/>
            </w:tcMar>
            <w:vAlign w:val="center"/>
          </w:tcPr>
          <w:p>
            <w:pPr>
              <w:pStyle w:val="TableContents"/>
              <w:bidi w:val="0"/>
              <w:spacing w:before="0" w:after="283"/>
              <w:jc w:val="right"/>
              <w:rPr/>
            </w:pPr>
            <w:r>
              <w:rPr/>
              <w:t>230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w:t>
            </w:r>
          </w:p>
        </w:tc>
        <w:tc>
          <w:tcPr>
            <w:tcW w:w="912" w:type="dxa"/>
            <w:tcBorders/>
            <w:shd w:fill="CCEEFF" w:val="clear"/>
            <w:tcMar>
              <w:bottom w:w="0" w:type="dxa"/>
            </w:tcMar>
            <w:vAlign w:val="center"/>
          </w:tcPr>
          <w:p>
            <w:pPr>
              <w:pStyle w:val="TableContents"/>
              <w:bidi w:val="0"/>
              <w:spacing w:before="0" w:after="283"/>
              <w:jc w:val="right"/>
              <w:rPr/>
            </w:pPr>
            <w:r>
              <w:rPr/>
              <w:t>96,294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w:t>
            </w:r>
          </w:p>
        </w:tc>
        <w:tc>
          <w:tcPr>
            <w:tcW w:w="871" w:type="dxa"/>
            <w:tcBorders/>
            <w:shd w:fill="CCEEFF" w:val="clear"/>
            <w:tcMar>
              <w:bottom w:w="0" w:type="dxa"/>
            </w:tcMar>
            <w:vAlign w:val="center"/>
          </w:tcPr>
          <w:p>
            <w:pPr>
              <w:pStyle w:val="TableContents"/>
              <w:bidi w:val="0"/>
              <w:spacing w:before="0" w:after="283"/>
              <w:jc w:val="right"/>
              <w:rPr/>
            </w:pPr>
            <w:r>
              <w:rPr/>
              <w:t>(698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208,376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w:t>
            </w:r>
          </w:p>
        </w:tc>
        <w:tc>
          <w:tcPr>
            <w:tcW w:w="1349" w:type="dxa"/>
            <w:tcBorders/>
            <w:shd w:fill="CCEEFF" w:val="clear"/>
            <w:tcMar>
              <w:bottom w:w="0" w:type="dxa"/>
            </w:tcMar>
            <w:vAlign w:val="center"/>
          </w:tcPr>
          <w:p>
            <w:pPr>
              <w:pStyle w:val="TableContents"/>
              <w:bidi w:val="0"/>
              <w:spacing w:before="0" w:after="283"/>
              <w:jc w:val="right"/>
              <w:rPr/>
            </w:pPr>
            <w:r>
              <w:rPr/>
              <w:t>(21,384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w:t>
            </w:r>
          </w:p>
        </w:tc>
        <w:tc>
          <w:tcPr>
            <w:tcW w:w="818" w:type="dxa"/>
            <w:tcBorders/>
            <w:shd w:fill="CCEEFF" w:val="clear"/>
            <w:tcMar>
              <w:bottom w:w="0" w:type="dxa"/>
            </w:tcMar>
            <w:vAlign w:val="center"/>
          </w:tcPr>
          <w:p>
            <w:pPr>
              <w:pStyle w:val="TableContents"/>
              <w:bidi w:val="0"/>
              <w:spacing w:before="0" w:after="283"/>
              <w:jc w:val="right"/>
              <w:rPr/>
            </w:pPr>
            <w:r>
              <w:rPr/>
              <w:t>(35,177</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2" w:type="dxa"/>
            <w:tcBorders/>
            <w:shd w:fill="CCEEFF" w:val="clear"/>
            <w:tcMar>
              <w:bottom w:w="0" w:type="dxa"/>
            </w:tcMar>
            <w:vAlign w:val="center"/>
          </w:tcPr>
          <w:p>
            <w:pPr>
              <w:pStyle w:val="TableContents"/>
              <w:bidi w:val="0"/>
              <w:spacing w:before="0" w:after="283"/>
              <w:jc w:val="left"/>
              <w:rPr/>
            </w:pPr>
            <w:r>
              <w:rPr/>
              <w:t>$</w:t>
            </w:r>
          </w:p>
        </w:tc>
        <w:tc>
          <w:tcPr>
            <w:tcW w:w="1378" w:type="dxa"/>
            <w:tcBorders/>
            <w:shd w:fill="CCEEFF" w:val="clear"/>
            <w:tcMar>
              <w:bottom w:w="0" w:type="dxa"/>
            </w:tcMar>
            <w:vAlign w:val="center"/>
          </w:tcPr>
          <w:p>
            <w:pPr>
              <w:pStyle w:val="TableContents"/>
              <w:bidi w:val="0"/>
              <w:spacing w:before="0" w:after="283"/>
              <w:jc w:val="right"/>
              <w:rPr/>
            </w:pPr>
            <w:r>
              <w:rPr/>
              <w:t>2,758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w:t>
            </w:r>
          </w:p>
        </w:tc>
        <w:tc>
          <w:tcPr>
            <w:tcW w:w="1225" w:type="dxa"/>
            <w:tcBorders/>
            <w:shd w:fill="CCEEFF" w:val="clear"/>
            <w:tcMar>
              <w:bottom w:w="0" w:type="dxa"/>
            </w:tcMar>
            <w:vAlign w:val="center"/>
          </w:tcPr>
          <w:p>
            <w:pPr>
              <w:pStyle w:val="TableContents"/>
              <w:bidi w:val="0"/>
              <w:spacing w:before="0" w:after="283"/>
              <w:jc w:val="right"/>
              <w:rPr/>
            </w:pPr>
            <w:r>
              <w:rPr/>
              <w:t>250,399</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2" w:type="dxa"/>
            <w:tcBorders/>
            <w:tcMar>
              <w:bottom w:w="0" w:type="dxa"/>
            </w:tcMar>
            <w:vAlign w:val="center"/>
          </w:tcPr>
          <w:p>
            <w:pPr>
              <w:pStyle w:val="TableContents"/>
              <w:bidi w:val="0"/>
              <w:spacing w:before="0" w:after="283"/>
              <w:jc w:val="left"/>
              <w:rPr/>
            </w:pPr>
            <w:r>
              <w:rPr/>
              <w:t> </w:t>
            </w:r>
          </w:p>
        </w:tc>
        <w:tc>
          <w:tcPr>
            <w:tcW w:w="1378"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Battle Creek demutualization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3,832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(1,074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2" w:type="dxa"/>
            <w:tcBorders/>
            <w:shd w:fill="CCEEFF" w:val="clear"/>
            <w:tcMar>
              <w:bottom w:w="0" w:type="dxa"/>
            </w:tcMar>
            <w:vAlign w:val="center"/>
          </w:tcPr>
          <w:p>
            <w:pPr>
              <w:pStyle w:val="TableContents"/>
              <w:bidi w:val="0"/>
              <w:spacing w:before="0" w:after="283"/>
              <w:jc w:val="left"/>
              <w:rPr/>
            </w:pPr>
            <w:r>
              <w:rPr/>
              <w:t> </w:t>
            </w:r>
          </w:p>
        </w:tc>
        <w:tc>
          <w:tcPr>
            <w:tcW w:w="1378" w:type="dxa"/>
            <w:tcBorders/>
            <w:shd w:fill="CCEEFF" w:val="clear"/>
            <w:tcMar>
              <w:bottom w:w="0" w:type="dxa"/>
            </w:tcMar>
            <w:vAlign w:val="center"/>
          </w:tcPr>
          <w:p>
            <w:pPr>
              <w:pStyle w:val="TableContents"/>
              <w:bidi w:val="0"/>
              <w:spacing w:before="0" w:after="283"/>
              <w:jc w:val="right"/>
              <w:rPr/>
            </w:pPr>
            <w:r>
              <w:rPr/>
              <w:t>(2,758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Net loss</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(15,908</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2" w:type="dxa"/>
            <w:tcBorders/>
            <w:tcMar>
              <w:bottom w:w="0" w:type="dxa"/>
            </w:tcMar>
            <w:vAlign w:val="center"/>
          </w:tcPr>
          <w:p>
            <w:pPr>
              <w:pStyle w:val="TableContents"/>
              <w:bidi w:val="0"/>
              <w:spacing w:before="0" w:after="283"/>
              <w:jc w:val="left"/>
              <w:rPr/>
            </w:pPr>
            <w:r>
              <w:rPr/>
              <w:t> </w:t>
            </w:r>
          </w:p>
        </w:tc>
        <w:tc>
          <w:tcPr>
            <w:tcW w:w="137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(15,908</w:t>
            </w:r>
          </w:p>
        </w:tc>
        <w:tc>
          <w:tcPr>
            <w:tcW w:w="170" w:type="dxa"/>
            <w:tcBorders/>
            <w:tcMar>
              <w:bottom w:w="0" w:type="dxa"/>
            </w:tcMar>
            <w:vAlign w:val="center"/>
          </w:tcPr>
          <w:p>
            <w:pPr>
              <w:pStyle w:val="TableContents"/>
              <w:bidi w:val="0"/>
              <w:spacing w:before="0" w:after="283"/>
              <w:jc w:val="left"/>
              <w:rPr/>
            </w:pPr>
            <w:r>
              <w:rPr/>
              <w:t>)</w:t>
            </w:r>
          </w:p>
        </w:tc>
      </w:tr>
      <w:tr>
        <w:trPr/>
        <w:tc>
          <w:tcPr>
            <w:tcW w:w="1565" w:type="dxa"/>
            <w:tcBorders/>
            <w:shd w:fill="CCEEFF" w:val="clear"/>
            <w:tcMar>
              <w:bottom w:w="0" w:type="dxa"/>
            </w:tcMar>
            <w:vAlign w:val="center"/>
          </w:tcPr>
          <w:p>
            <w:pPr>
              <w:pStyle w:val="TableContents"/>
              <w:bidi w:val="0"/>
              <w:spacing w:before="0" w:after="283"/>
              <w:jc w:val="left"/>
              <w:rPr/>
            </w:pPr>
            <w:r>
              <w:rPr/>
              <w:t>Impact of Westminster unrealized investment gains/losses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(4,380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4,380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2" w:type="dxa"/>
            <w:tcBorders/>
            <w:shd w:fill="CCEEFF" w:val="clear"/>
            <w:tcMar>
              <w:bottom w:w="0" w:type="dxa"/>
            </w:tcMar>
            <w:vAlign w:val="center"/>
          </w:tcPr>
          <w:p>
            <w:pPr>
              <w:pStyle w:val="TableContents"/>
              <w:bidi w:val="0"/>
              <w:spacing w:before="0" w:after="283"/>
              <w:jc w:val="left"/>
              <w:rPr/>
            </w:pPr>
            <w:r>
              <w:rPr/>
              <w:t> </w:t>
            </w:r>
          </w:p>
        </w:tc>
        <w:tc>
          <w:tcPr>
            <w:tcW w:w="137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Other comprehensive income, net of income taxes</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right"/>
              <w:rPr/>
            </w:pPr>
            <w:r>
              <w:rPr/>
              <w:t>6,512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2" w:type="dxa"/>
            <w:tcBorders/>
            <w:tcMar>
              <w:bottom w:w="0" w:type="dxa"/>
            </w:tcMar>
            <w:vAlign w:val="center"/>
          </w:tcPr>
          <w:p>
            <w:pPr>
              <w:pStyle w:val="TableContents"/>
              <w:bidi w:val="0"/>
              <w:spacing w:before="0" w:after="283"/>
              <w:jc w:val="left"/>
              <w:rPr/>
            </w:pPr>
            <w:r>
              <w:rPr/>
              <w:t> </w:t>
            </w:r>
          </w:p>
        </w:tc>
        <w:tc>
          <w:tcPr>
            <w:tcW w:w="137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6,512</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Purchase of treasury stock</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2" w:type="dxa"/>
            <w:tcBorders/>
            <w:shd w:fill="CCEEFF" w:val="clear"/>
            <w:tcMar>
              <w:bottom w:w="0" w:type="dxa"/>
            </w:tcMar>
            <w:vAlign w:val="center"/>
          </w:tcPr>
          <w:p>
            <w:pPr>
              <w:pStyle w:val="TableContents"/>
              <w:bidi w:val="0"/>
              <w:spacing w:before="0" w:after="283"/>
              <w:jc w:val="left"/>
              <w:rPr/>
            </w:pPr>
            <w:r>
              <w:rPr/>
              <w:t> </w:t>
            </w:r>
          </w:p>
        </w:tc>
        <w:tc>
          <w:tcPr>
            <w:tcW w:w="137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Share-based compensation</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704"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283"/>
              <w:jc w:val="right"/>
              <w:rPr/>
            </w:pPr>
            <w:r>
              <w:rPr/>
              <w:t>522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tcMar>
              <w:bottom w:w="0" w:type="dxa"/>
            </w:tcMar>
            <w:vAlign w:val="center"/>
          </w:tcPr>
          <w:p>
            <w:pPr>
              <w:pStyle w:val="TableContents"/>
              <w:bidi w:val="0"/>
              <w:spacing w:before="0" w:after="283"/>
              <w:jc w:val="left"/>
              <w:rPr/>
            </w:pPr>
            <w:r>
              <w:rPr/>
              <w:t> </w:t>
            </w:r>
          </w:p>
        </w:tc>
        <w:tc>
          <w:tcPr>
            <w:tcW w:w="87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81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2" w:type="dxa"/>
            <w:tcBorders/>
            <w:tcMar>
              <w:bottom w:w="0" w:type="dxa"/>
            </w:tcMar>
            <w:vAlign w:val="center"/>
          </w:tcPr>
          <w:p>
            <w:pPr>
              <w:pStyle w:val="TableContents"/>
              <w:bidi w:val="0"/>
              <w:spacing w:before="0" w:after="283"/>
              <w:jc w:val="left"/>
              <w:rPr/>
            </w:pPr>
            <w:r>
              <w:rPr/>
              <w:t> </w:t>
            </w:r>
          </w:p>
        </w:tc>
        <w:tc>
          <w:tcPr>
            <w:tcW w:w="137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tcMar>
              <w:bottom w:w="0" w:type="dxa"/>
            </w:tcMar>
            <w:vAlign w:val="center"/>
          </w:tcPr>
          <w:p>
            <w:pPr>
              <w:pStyle w:val="TableContents"/>
              <w:bidi w:val="0"/>
              <w:spacing w:before="0" w:after="283"/>
              <w:jc w:val="left"/>
              <w:rPr/>
            </w:pPr>
            <w:r>
              <w:rPr/>
              <w:t> </w:t>
            </w:r>
          </w:p>
        </w:tc>
        <w:tc>
          <w:tcPr>
            <w:tcW w:w="1225" w:type="dxa"/>
            <w:tcBorders/>
            <w:tcMar>
              <w:bottom w:w="0" w:type="dxa"/>
            </w:tcMar>
            <w:vAlign w:val="center"/>
          </w:tcPr>
          <w:p>
            <w:pPr>
              <w:pStyle w:val="TableContents"/>
              <w:bidi w:val="0"/>
              <w:spacing w:before="0" w:after="283"/>
              <w:jc w:val="right"/>
              <w:rPr/>
            </w:pPr>
            <w:r>
              <w:rPr/>
              <w:t>522</w:t>
            </w:r>
          </w:p>
        </w:tc>
        <w:tc>
          <w:tcPr>
            <w:tcW w:w="170" w:type="dxa"/>
            <w:tcBorders/>
            <w:tcMar>
              <w:bottom w:w="0" w:type="dxa"/>
            </w:tcMar>
            <w:vAlign w:val="center"/>
          </w:tcPr>
          <w:p>
            <w:pPr>
              <w:pStyle w:val="TableContents"/>
              <w:bidi w:val="0"/>
              <w:spacing w:before="0" w:after="283"/>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Issuance of vested award shares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bottom w:val="single" w:sz="8" w:space="0" w:color="000000"/>
            </w:tcBorders>
            <w:shd w:fill="CCEEFF" w:val="clear"/>
            <w:vAlign w:val="center"/>
          </w:tcPr>
          <w:p>
            <w:pPr>
              <w:pStyle w:val="TableContents"/>
              <w:bidi w:val="0"/>
              <w:spacing w:before="0" w:after="283"/>
              <w:jc w:val="left"/>
              <w:rPr/>
            </w:pPr>
            <w:r>
              <w:rPr/>
              <w:t> </w:t>
            </w:r>
          </w:p>
        </w:tc>
        <w:tc>
          <w:tcPr>
            <w:tcW w:w="704" w:type="dxa"/>
            <w:tcBorders>
              <w:bottom w:val="single" w:sz="8"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8" w:type="dxa"/>
            <w:tcBorders>
              <w:bottom w:val="single" w:sz="8" w:space="0" w:color="000000"/>
            </w:tcBorders>
            <w:shd w:fill="CCEEFF" w:val="clear"/>
            <w:vAlign w:val="center"/>
          </w:tcPr>
          <w:p>
            <w:pPr>
              <w:pStyle w:val="TableContents"/>
              <w:bidi w:val="0"/>
              <w:spacing w:before="0" w:after="283"/>
              <w:jc w:val="left"/>
              <w:rPr/>
            </w:pPr>
            <w:r>
              <w:rPr/>
              <w:t> </w:t>
            </w:r>
          </w:p>
        </w:tc>
        <w:tc>
          <w:tcPr>
            <w:tcW w:w="912" w:type="dxa"/>
            <w:tcBorders>
              <w:bottom w:val="single" w:sz="8" w:space="0" w:color="000000"/>
            </w:tcBorders>
            <w:shd w:fill="CCEEFF" w:val="clear"/>
            <w:vAlign w:val="center"/>
          </w:tcPr>
          <w:p>
            <w:pPr>
              <w:pStyle w:val="TableContents"/>
              <w:bidi w:val="0"/>
              <w:spacing w:before="0" w:after="283"/>
              <w:jc w:val="right"/>
              <w:rPr/>
            </w:pPr>
            <w:r>
              <w:rPr/>
              <w:t>(849</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4" w:type="dxa"/>
            <w:tcBorders>
              <w:bottom w:val="single" w:sz="8" w:space="0" w:color="000000"/>
            </w:tcBorders>
            <w:shd w:fill="CCEEFF" w:val="clear"/>
            <w:vAlign w:val="center"/>
          </w:tcPr>
          <w:p>
            <w:pPr>
              <w:pStyle w:val="TableContents"/>
              <w:bidi w:val="0"/>
              <w:spacing w:before="0" w:after="283"/>
              <w:jc w:val="left"/>
              <w:rPr/>
            </w:pPr>
            <w:r>
              <w:rPr/>
              <w:t> </w:t>
            </w:r>
          </w:p>
        </w:tc>
        <w:tc>
          <w:tcPr>
            <w:tcW w:w="871"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(184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 w:type="dxa"/>
            <w:tcBorders>
              <w:bottom w:val="single" w:sz="8" w:space="0" w:color="000000"/>
            </w:tcBorders>
            <w:shd w:fill="CCEEFF" w:val="clear"/>
            <w:vAlign w:val="center"/>
          </w:tcPr>
          <w:p>
            <w:pPr>
              <w:pStyle w:val="TableContents"/>
              <w:bidi w:val="0"/>
              <w:spacing w:before="0" w:after="283"/>
              <w:jc w:val="left"/>
              <w:rPr/>
            </w:pPr>
            <w:r>
              <w:rPr/>
              <w:t> </w:t>
            </w:r>
          </w:p>
        </w:tc>
        <w:tc>
          <w:tcPr>
            <w:tcW w:w="1349"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bottom w:val="single" w:sz="8" w:space="0" w:color="000000"/>
            </w:tcBorders>
            <w:shd w:fill="CCEEFF" w:val="clear"/>
            <w:vAlign w:val="center"/>
          </w:tcPr>
          <w:p>
            <w:pPr>
              <w:pStyle w:val="TableContents"/>
              <w:bidi w:val="0"/>
              <w:spacing w:before="0" w:after="283"/>
              <w:jc w:val="left"/>
              <w:rPr/>
            </w:pPr>
            <w:r>
              <w:rPr/>
              <w:t> </w:t>
            </w:r>
          </w:p>
        </w:tc>
        <w:tc>
          <w:tcPr>
            <w:tcW w:w="818" w:type="dxa"/>
            <w:tcBorders>
              <w:bottom w:val="single" w:sz="8" w:space="0" w:color="000000"/>
            </w:tcBorders>
            <w:shd w:fill="CCEEFF" w:val="clear"/>
            <w:vAlign w:val="center"/>
          </w:tcPr>
          <w:p>
            <w:pPr>
              <w:pStyle w:val="TableContents"/>
              <w:bidi w:val="0"/>
              <w:spacing w:before="0" w:after="283"/>
              <w:jc w:val="right"/>
              <w:rPr/>
            </w:pPr>
            <w:r>
              <w:rPr/>
              <w:t>879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2" w:type="dxa"/>
            <w:tcBorders>
              <w:bottom w:val="single" w:sz="8" w:space="0" w:color="000000"/>
            </w:tcBorders>
            <w:shd w:fill="CCEEFF" w:val="clear"/>
            <w:vAlign w:val="center"/>
          </w:tcPr>
          <w:p>
            <w:pPr>
              <w:pStyle w:val="TableContents"/>
              <w:bidi w:val="0"/>
              <w:spacing w:before="0" w:after="283"/>
              <w:jc w:val="left"/>
              <w:rPr/>
            </w:pPr>
            <w:r>
              <w:rPr/>
              <w:t> </w:t>
            </w:r>
          </w:p>
        </w:tc>
        <w:tc>
          <w:tcPr>
            <w:tcW w:w="1378"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0" w:type="dxa"/>
            <w:tcBorders>
              <w:bottom w:val="single" w:sz="8" w:space="0" w:color="000000"/>
            </w:tcBorders>
            <w:shd w:fill="CCEEFF" w:val="clear"/>
            <w:vAlign w:val="center"/>
          </w:tcPr>
          <w:p>
            <w:pPr>
              <w:pStyle w:val="TableContents"/>
              <w:bidi w:val="0"/>
              <w:spacing w:before="0" w:after="283"/>
              <w:jc w:val="left"/>
              <w:rPr/>
            </w:pPr>
            <w:r>
              <w:rPr/>
              <w:t> </w:t>
            </w:r>
          </w:p>
        </w:tc>
        <w:tc>
          <w:tcPr>
            <w:tcW w:w="1225" w:type="dxa"/>
            <w:tcBorders>
              <w:bottom w:val="single" w:sz="8" w:space="0" w:color="000000"/>
            </w:tcBorders>
            <w:shd w:fill="CCEEFF" w:val="clear"/>
            <w:vAlign w:val="center"/>
          </w:tcPr>
          <w:p>
            <w:pPr>
              <w:pStyle w:val="TableContents"/>
              <w:bidi w:val="0"/>
              <w:spacing w:before="0" w:after="283"/>
              <w:jc w:val="right"/>
              <w:rPr/>
            </w:pPr>
            <w:r>
              <w:rPr/>
              <w:t>(154</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1565" w:type="dxa"/>
            <w:tcBorders/>
            <w:tcMar>
              <w:bottom w:w="0" w:type="dxa"/>
            </w:tcMar>
            <w:vAlign w:val="center"/>
          </w:tcPr>
          <w:p>
            <w:pPr>
              <w:pStyle w:val="TableContents"/>
              <w:bidi w:val="0"/>
              <w:spacing w:before="0" w:after="283"/>
              <w:jc w:val="left"/>
              <w:rPr/>
            </w:pPr>
            <w:r>
              <w:rPr/>
              <w:t>Balance,</w:t>
              <w:br/>
              <w:t>September 30, 2024</w:t>
            </w:r>
          </w:p>
        </w:tc>
        <w:tc>
          <w:tcPr>
            <w:tcW w:w="90" w:type="dxa"/>
            <w:tcBorders/>
            <w:tcMar>
              <w:bottom w:w="0" w:type="dxa"/>
            </w:tcMar>
            <w:vAlign w:val="center"/>
          </w:tcPr>
          <w:p>
            <w:pPr>
              <w:pStyle w:val="TableContents"/>
              <w:bidi w:val="0"/>
              <w:spacing w:before="0" w:after="283"/>
              <w:jc w:val="left"/>
              <w:rPr/>
            </w:pPr>
            <w:r>
              <w:rPr/>
              <w:t> </w:t>
            </w:r>
          </w:p>
        </w:tc>
        <w:tc>
          <w:tcPr>
            <w:tcW w:w="291" w:type="dxa"/>
            <w:tcBorders>
              <w:bottom w:val="double" w:sz="6" w:space="0" w:color="000000"/>
            </w:tcBorders>
            <w:vAlign w:val="center"/>
          </w:tcPr>
          <w:p>
            <w:pPr>
              <w:pStyle w:val="TableContents"/>
              <w:bidi w:val="0"/>
              <w:spacing w:before="0" w:after="283"/>
              <w:jc w:val="left"/>
              <w:rPr/>
            </w:pPr>
            <w:r>
              <w:rPr/>
              <w:t>$</w:t>
            </w:r>
          </w:p>
        </w:tc>
        <w:tc>
          <w:tcPr>
            <w:tcW w:w="704" w:type="dxa"/>
            <w:tcBorders>
              <w:bottom w:val="double" w:sz="6" w:space="0" w:color="000000"/>
            </w:tcBorders>
            <w:vAlign w:val="center"/>
          </w:tcPr>
          <w:p>
            <w:pPr>
              <w:pStyle w:val="TableContents"/>
              <w:bidi w:val="0"/>
              <w:spacing w:before="0" w:after="283"/>
              <w:jc w:val="right"/>
              <w:rPr/>
            </w:pPr>
            <w:r>
              <w:rPr/>
              <w:t>230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 w:type="dxa"/>
            <w:tcBorders>
              <w:bottom w:val="double" w:sz="6" w:space="0" w:color="000000"/>
            </w:tcBorders>
            <w:vAlign w:val="center"/>
          </w:tcPr>
          <w:p>
            <w:pPr>
              <w:pStyle w:val="TableContents"/>
              <w:bidi w:val="0"/>
              <w:spacing w:before="0" w:after="283"/>
              <w:jc w:val="left"/>
              <w:rPr/>
            </w:pPr>
            <w:r>
              <w:rPr/>
              <w:t>$</w:t>
            </w:r>
          </w:p>
        </w:tc>
        <w:tc>
          <w:tcPr>
            <w:tcW w:w="912" w:type="dxa"/>
            <w:tcBorders>
              <w:bottom w:val="double" w:sz="6" w:space="0" w:color="000000"/>
            </w:tcBorders>
            <w:vAlign w:val="center"/>
          </w:tcPr>
          <w:p>
            <w:pPr>
              <w:pStyle w:val="TableContents"/>
              <w:bidi w:val="0"/>
              <w:spacing w:before="0" w:after="283"/>
              <w:jc w:val="right"/>
              <w:rPr/>
            </w:pPr>
            <w:r>
              <w:rPr/>
              <w:t>95,967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4" w:type="dxa"/>
            <w:tcBorders>
              <w:bottom w:val="double" w:sz="6" w:space="0" w:color="000000"/>
            </w:tcBorders>
            <w:vAlign w:val="center"/>
          </w:tcPr>
          <w:p>
            <w:pPr>
              <w:pStyle w:val="TableContents"/>
              <w:bidi w:val="0"/>
              <w:spacing w:before="0" w:after="283"/>
              <w:jc w:val="left"/>
              <w:rPr/>
            </w:pPr>
            <w:r>
              <w:rPr/>
              <w:t>$</w:t>
            </w:r>
          </w:p>
        </w:tc>
        <w:tc>
          <w:tcPr>
            <w:tcW w:w="871" w:type="dxa"/>
            <w:tcBorders>
              <w:bottom w:val="double" w:sz="6" w:space="0" w:color="000000"/>
            </w:tcBorders>
            <w:vAlign w:val="center"/>
          </w:tcPr>
          <w:p>
            <w:pPr>
              <w:pStyle w:val="TableContents"/>
              <w:bidi w:val="0"/>
              <w:spacing w:before="0" w:after="283"/>
              <w:jc w:val="right"/>
              <w:rPr/>
            </w:pPr>
            <w:r>
              <w:rPr/>
              <w:t>(698</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vAlign w:val="center"/>
          </w:tcPr>
          <w:p>
            <w:pPr>
              <w:pStyle w:val="TableContents"/>
              <w:bidi w:val="0"/>
              <w:spacing w:before="0" w:after="283"/>
              <w:jc w:val="left"/>
              <w:rPr/>
            </w:pPr>
            <w:r>
              <w:rPr/>
              <w:t>$</w:t>
            </w:r>
          </w:p>
        </w:tc>
        <w:tc>
          <w:tcPr>
            <w:tcW w:w="830" w:type="dxa"/>
            <w:tcBorders>
              <w:bottom w:val="double" w:sz="6" w:space="0" w:color="000000"/>
            </w:tcBorders>
            <w:vAlign w:val="center"/>
          </w:tcPr>
          <w:p>
            <w:pPr>
              <w:pStyle w:val="TableContents"/>
              <w:bidi w:val="0"/>
              <w:spacing w:before="0" w:after="283"/>
              <w:jc w:val="right"/>
              <w:rPr/>
            </w:pPr>
            <w:r>
              <w:rPr/>
              <w:t>191,736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 w:type="dxa"/>
            <w:tcBorders>
              <w:bottom w:val="double" w:sz="6" w:space="0" w:color="000000"/>
            </w:tcBorders>
            <w:vAlign w:val="center"/>
          </w:tcPr>
          <w:p>
            <w:pPr>
              <w:pStyle w:val="TableContents"/>
              <w:bidi w:val="0"/>
              <w:spacing w:before="0" w:after="283"/>
              <w:jc w:val="left"/>
              <w:rPr/>
            </w:pPr>
            <w:r>
              <w:rPr/>
              <w:t>$</w:t>
            </w:r>
          </w:p>
        </w:tc>
        <w:tc>
          <w:tcPr>
            <w:tcW w:w="1349" w:type="dxa"/>
            <w:tcBorders>
              <w:bottom w:val="double" w:sz="6" w:space="0" w:color="000000"/>
            </w:tcBorders>
            <w:vAlign w:val="center"/>
          </w:tcPr>
          <w:p>
            <w:pPr>
              <w:pStyle w:val="TableContents"/>
              <w:bidi w:val="0"/>
              <w:spacing w:before="0" w:after="283"/>
              <w:jc w:val="right"/>
              <w:rPr/>
            </w:pPr>
            <w:r>
              <w:rPr/>
              <w:t>(11,566</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7" w:type="dxa"/>
            <w:tcBorders>
              <w:bottom w:val="double" w:sz="6" w:space="0" w:color="000000"/>
            </w:tcBorders>
            <w:vAlign w:val="center"/>
          </w:tcPr>
          <w:p>
            <w:pPr>
              <w:pStyle w:val="TableContents"/>
              <w:bidi w:val="0"/>
              <w:spacing w:before="0" w:after="283"/>
              <w:jc w:val="left"/>
              <w:rPr/>
            </w:pPr>
            <w:r>
              <w:rPr/>
              <w:t>$</w:t>
            </w:r>
          </w:p>
        </w:tc>
        <w:tc>
          <w:tcPr>
            <w:tcW w:w="818" w:type="dxa"/>
            <w:tcBorders>
              <w:bottom w:val="double" w:sz="6" w:space="0" w:color="000000"/>
            </w:tcBorders>
            <w:vAlign w:val="center"/>
          </w:tcPr>
          <w:p>
            <w:pPr>
              <w:pStyle w:val="TableContents"/>
              <w:bidi w:val="0"/>
              <w:spacing w:before="0" w:after="283"/>
              <w:jc w:val="right"/>
              <w:rPr/>
            </w:pPr>
            <w:r>
              <w:rPr/>
              <w:t>(34,298</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352" w:type="dxa"/>
            <w:tcBorders>
              <w:bottom w:val="double" w:sz="6" w:space="0" w:color="000000"/>
            </w:tcBorders>
            <w:vAlign w:val="center"/>
          </w:tcPr>
          <w:p>
            <w:pPr>
              <w:pStyle w:val="TableContents"/>
              <w:bidi w:val="0"/>
              <w:spacing w:before="0" w:after="283"/>
              <w:jc w:val="left"/>
              <w:rPr/>
            </w:pPr>
            <w:r>
              <w:rPr/>
              <w:t>$</w:t>
            </w:r>
          </w:p>
        </w:tc>
        <w:tc>
          <w:tcPr>
            <w:tcW w:w="1378" w:type="dxa"/>
            <w:tcBorders>
              <w:bottom w:val="double" w:sz="6" w:space="0" w:color="000000"/>
            </w:tcBorders>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 w:type="dxa"/>
            <w:tcBorders>
              <w:bottom w:val="double" w:sz="6" w:space="0" w:color="000000"/>
            </w:tcBorders>
            <w:vAlign w:val="center"/>
          </w:tcPr>
          <w:p>
            <w:pPr>
              <w:pStyle w:val="TableContents"/>
              <w:bidi w:val="0"/>
              <w:spacing w:before="0" w:after="283"/>
              <w:jc w:val="left"/>
              <w:rPr/>
            </w:pPr>
            <w:r>
              <w:rPr/>
              <w:t>$</w:t>
            </w:r>
          </w:p>
        </w:tc>
        <w:tc>
          <w:tcPr>
            <w:tcW w:w="1225" w:type="dxa"/>
            <w:tcBorders>
              <w:bottom w:val="double" w:sz="6" w:space="0" w:color="000000"/>
            </w:tcBorders>
            <w:vAlign w:val="center"/>
          </w:tcPr>
          <w:p>
            <w:pPr>
              <w:pStyle w:val="TableContents"/>
              <w:bidi w:val="0"/>
              <w:spacing w:before="0" w:after="283"/>
              <w:jc w:val="right"/>
              <w:rPr/>
            </w:pPr>
            <w:r>
              <w:rPr/>
              <w:t>241,371</w:t>
            </w:r>
          </w:p>
        </w:tc>
        <w:tc>
          <w:tcPr>
            <w:tcW w:w="170" w:type="dxa"/>
            <w:tcBorders/>
            <w:tcMar>
              <w:bottom w:w="0" w:type="dxa"/>
            </w:tcMar>
            <w:vAlign w:val="center"/>
          </w:tcPr>
          <w:p>
            <w:pPr>
              <w:pStyle w:val="TableContents"/>
              <w:bidi w:val="0"/>
              <w:spacing w:before="0" w:after="283"/>
              <w:jc w:val="left"/>
              <w:rPr/>
            </w:pPr>
            <w:r>
              <w:rPr/>
              <w:t> </w:t>
            </w:r>
          </w:p>
        </w:tc>
      </w:tr>
    </w:tbl>
    <w:p>
      <w:pPr>
        <w:pStyle w:val="TextBody"/>
        <w:bidi w:val="0"/>
        <w:spacing w:before="6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Consolidated Statements of Cash Flows (Unaudited)</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w:t>
      </w:r>
    </w:p>
    <w:tbl>
      <w:tblPr>
        <w:tblW w:w="10205" w:type="dxa"/>
        <w:jc w:val="left"/>
        <w:tblInd w:w="0" w:type="dxa"/>
        <w:tblLayout w:type="fixed"/>
        <w:tblCellMar>
          <w:top w:w="0" w:type="dxa"/>
          <w:left w:w="0" w:type="dxa"/>
          <w:bottom w:w="0" w:type="dxa"/>
          <w:right w:w="0" w:type="dxa"/>
        </w:tblCellMar>
      </w:tblPr>
      <w:tblGrid>
        <w:gridCol w:w="6109"/>
        <w:gridCol w:w="90"/>
        <w:gridCol w:w="258"/>
        <w:gridCol w:w="1197"/>
        <w:gridCol w:w="190"/>
        <w:gridCol w:w="137"/>
        <w:gridCol w:w="258"/>
        <w:gridCol w:w="1197"/>
        <w:gridCol w:w="769"/>
      </w:tblGrid>
      <w:tr>
        <w:trPr/>
        <w:tc>
          <w:tcPr>
            <w:tcW w:w="61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3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769" w:type="dxa"/>
            <w:tcBorders/>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69" w:type="dxa"/>
            <w:tcBorders/>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283"/>
              <w:jc w:val="left"/>
              <w:rPr/>
            </w:pPr>
            <w:r>
              <w:rPr/>
              <w:t>Cash flows from operating activities:</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769" w:type="dxa"/>
            <w:tcBorders/>
            <w:shd w:fill="CCEEFF" w:val="cle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1197" w:type="dxa"/>
            <w:tcBorders/>
            <w:vAlign w:val="center"/>
          </w:tcPr>
          <w:p>
            <w:pPr>
              <w:pStyle w:val="TableContents"/>
              <w:bidi w:val="0"/>
              <w:spacing w:before="0" w:after="283"/>
              <w:jc w:val="right"/>
              <w:rPr/>
            </w:pPr>
            <w:r>
              <w:rPr/>
              <w:t>(7,257</w:t>
            </w:r>
          </w:p>
        </w:tc>
        <w:tc>
          <w:tcPr>
            <w:tcW w:w="190" w:type="dxa"/>
            <w:tcBorders/>
            <w:vAlign w:val="center"/>
          </w:tcPr>
          <w:p>
            <w:pPr>
              <w:pStyle w:val="TableContents"/>
              <w:bidi w:val="0"/>
              <w:spacing w:before="0" w:after="283"/>
              <w:jc w:val="left"/>
              <w:rPr/>
            </w:pPr>
            <w:r>
              <w:rPr/>
              <w:t>)</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1197" w:type="dxa"/>
            <w:tcBorders/>
            <w:vAlign w:val="center"/>
          </w:tcPr>
          <w:p>
            <w:pPr>
              <w:pStyle w:val="TableContents"/>
              <w:bidi w:val="0"/>
              <w:spacing w:before="0" w:after="283"/>
              <w:jc w:val="right"/>
              <w:rPr/>
            </w:pPr>
            <w:r>
              <w:rPr/>
              <w:t>(15,908</w:t>
            </w:r>
          </w:p>
        </w:tc>
        <w:tc>
          <w:tcPr>
            <w:tcW w:w="769" w:type="dxa"/>
            <w:tcBorders/>
            <w:vAlign w:val="center"/>
          </w:tcPr>
          <w:p>
            <w:pPr>
              <w:pStyle w:val="TableContents"/>
              <w:bidi w:val="0"/>
              <w:spacing w:before="0" w:after="283"/>
              <w:jc w:val="left"/>
              <w:rPr/>
            </w:pPr>
            <w:r>
              <w:rPr/>
              <w:t>)</w:t>
            </w:r>
          </w:p>
        </w:tc>
      </w:tr>
      <w:tr>
        <w:trPr/>
        <w:tc>
          <w:tcPr>
            <w:tcW w:w="6109" w:type="dxa"/>
            <w:tcBorders/>
            <w:shd w:fill="CCEEFF" w:val="clear"/>
            <w:vAlign w:val="center"/>
          </w:tcPr>
          <w:p>
            <w:pPr>
              <w:pStyle w:val="TableContents"/>
              <w:bidi w:val="0"/>
              <w:spacing w:before="0" w:after="283"/>
              <w:jc w:val="left"/>
              <w:rPr/>
            </w:pPr>
            <w:r>
              <w:rPr/>
              <w:t>Less net loss from discontinued operations, net of income taxes</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0"/>
              <w:jc w:val="right"/>
              <w:rPr/>
            </w:pPr>
            <w:r>
              <w:rPr/>
              <w:t>—</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(1,512</w:t>
            </w:r>
          </w:p>
        </w:tc>
        <w:tc>
          <w:tcPr>
            <w:tcW w:w="769" w:type="dxa"/>
            <w:tcBorders/>
            <w:shd w:fill="CCEEFF" w:val="clear"/>
            <w:vAlign w:val="center"/>
          </w:tcPr>
          <w:p>
            <w:pPr>
              <w:pStyle w:val="TableContents"/>
              <w:bidi w:val="0"/>
              <w:spacing w:before="0" w:after="283"/>
              <w:jc w:val="left"/>
              <w:rPr/>
            </w:pPr>
            <w:r>
              <w:rPr/>
              <w:t>)</w:t>
            </w:r>
          </w:p>
        </w:tc>
      </w:tr>
      <w:tr>
        <w:trPr/>
        <w:tc>
          <w:tcPr>
            <w:tcW w:w="6109" w:type="dxa"/>
            <w:tcBorders/>
            <w:vAlign w:val="center"/>
          </w:tcPr>
          <w:p>
            <w:pPr>
              <w:pStyle w:val="TableContents"/>
              <w:bidi w:val="0"/>
              <w:spacing w:before="0" w:after="283"/>
              <w:jc w:val="left"/>
              <w:rPr/>
            </w:pPr>
            <w:r>
              <w:rPr/>
              <w:t>Adjustments to reconcile net loss to net cash flows from operating activities:</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769" w:type="dxa"/>
            <w:tcBorders/>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283"/>
              <w:jc w:val="left"/>
              <w:rPr/>
            </w:pPr>
            <w:r>
              <w:rPr/>
              <w:t>Net investment gains</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(1,821</w:t>
            </w:r>
          </w:p>
        </w:tc>
        <w:tc>
          <w:tcPr>
            <w:tcW w:w="190" w:type="dxa"/>
            <w:tcBorders/>
            <w:shd w:fill="CCEEFF" w:val="clear"/>
            <w:vAlign w:val="center"/>
          </w:tcPr>
          <w:p>
            <w:pPr>
              <w:pStyle w:val="TableContents"/>
              <w:bidi w:val="0"/>
              <w:spacing w:before="0" w:after="283"/>
              <w:jc w:val="left"/>
              <w:rPr/>
            </w:pPr>
            <w:r>
              <w:rPr/>
              <w:t>)</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(3,288</w:t>
            </w:r>
          </w:p>
        </w:tc>
        <w:tc>
          <w:tcPr>
            <w:tcW w:w="769" w:type="dxa"/>
            <w:tcBorders/>
            <w:shd w:fill="CCEEFF" w:val="clear"/>
            <w:vAlign w:val="center"/>
          </w:tcPr>
          <w:p>
            <w:pPr>
              <w:pStyle w:val="TableContents"/>
              <w:bidi w:val="0"/>
              <w:spacing w:before="0" w:after="283"/>
              <w:jc w:val="left"/>
              <w:rPr/>
            </w:pPr>
            <w:r>
              <w:rPr/>
              <w:t>)</w:t>
            </w:r>
          </w:p>
        </w:tc>
      </w:tr>
      <w:tr>
        <w:trPr/>
        <w:tc>
          <w:tcPr>
            <w:tcW w:w="6109" w:type="dxa"/>
            <w:tcBorders/>
            <w:vAlign w:val="center"/>
          </w:tcPr>
          <w:p>
            <w:pPr>
              <w:pStyle w:val="TableContents"/>
              <w:bidi w:val="0"/>
              <w:spacing w:before="0" w:after="283"/>
              <w:jc w:val="left"/>
              <w:rPr/>
            </w:pPr>
            <w:r>
              <w:rPr/>
              <w:t>Deferred income tax expense (benefit)</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(1,337</w:t>
            </w:r>
          </w:p>
        </w:tc>
        <w:tc>
          <w:tcPr>
            <w:tcW w:w="190" w:type="dxa"/>
            <w:tcBorders/>
            <w:vAlign w:val="center"/>
          </w:tcPr>
          <w:p>
            <w:pPr>
              <w:pStyle w:val="TableContents"/>
              <w:bidi w:val="0"/>
              <w:spacing w:before="0" w:after="283"/>
              <w:jc w:val="left"/>
              <w:rPr/>
            </w:pPr>
            <w:r>
              <w:rPr/>
              <w:t>)</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1,865</w:t>
            </w:r>
          </w:p>
        </w:tc>
        <w:tc>
          <w:tcPr>
            <w:tcW w:w="769" w:type="dxa"/>
            <w:tcBorders/>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283"/>
              <w:jc w:val="left"/>
              <w:rPr/>
            </w:pPr>
            <w:r>
              <w:rPr/>
              <w:t>Depreciation of property and equipment</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519</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527</w:t>
            </w:r>
          </w:p>
        </w:tc>
        <w:tc>
          <w:tcPr>
            <w:tcW w:w="769" w:type="dxa"/>
            <w:tcBorders/>
            <w:shd w:fill="CCEEFF" w:val="cle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283"/>
              <w:jc w:val="left"/>
              <w:rPr/>
            </w:pPr>
            <w:r>
              <w:rPr/>
              <w:t>Share-based compensation</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1,028</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522</w:t>
            </w:r>
          </w:p>
        </w:tc>
        <w:tc>
          <w:tcPr>
            <w:tcW w:w="769" w:type="dxa"/>
            <w:tcBorders/>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283"/>
              <w:jc w:val="left"/>
              <w:rPr/>
            </w:pPr>
            <w:r>
              <w:rPr/>
              <w:t>Amortization of deferred policy acquisition costs</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46,627</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53,723</w:t>
            </w:r>
          </w:p>
        </w:tc>
        <w:tc>
          <w:tcPr>
            <w:tcW w:w="769" w:type="dxa"/>
            <w:tcBorders/>
            <w:shd w:fill="CCEEFF" w:val="cle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283"/>
              <w:jc w:val="left"/>
              <w:rPr/>
            </w:pPr>
            <w:r>
              <w:rPr/>
              <w:t>Deferral of policy acquisition costs</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(42,557</w:t>
            </w:r>
          </w:p>
        </w:tc>
        <w:tc>
          <w:tcPr>
            <w:tcW w:w="190" w:type="dxa"/>
            <w:tcBorders/>
            <w:vAlign w:val="center"/>
          </w:tcPr>
          <w:p>
            <w:pPr>
              <w:pStyle w:val="TableContents"/>
              <w:bidi w:val="0"/>
              <w:spacing w:before="0" w:after="283"/>
              <w:jc w:val="left"/>
              <w:rPr/>
            </w:pPr>
            <w:r>
              <w:rPr/>
              <w:t>)</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(54,404</w:t>
            </w:r>
          </w:p>
        </w:tc>
        <w:tc>
          <w:tcPr>
            <w:tcW w:w="769" w:type="dxa"/>
            <w:tcBorders/>
            <w:vAlign w:val="center"/>
          </w:tcPr>
          <w:p>
            <w:pPr>
              <w:pStyle w:val="TableContents"/>
              <w:bidi w:val="0"/>
              <w:spacing w:before="0" w:after="283"/>
              <w:jc w:val="left"/>
              <w:rPr/>
            </w:pPr>
            <w:r>
              <w:rPr/>
              <w:t>)</w:t>
            </w:r>
          </w:p>
        </w:tc>
      </w:tr>
      <w:tr>
        <w:trPr/>
        <w:tc>
          <w:tcPr>
            <w:tcW w:w="6109" w:type="dxa"/>
            <w:tcBorders/>
            <w:shd w:fill="CCEEFF" w:val="clear"/>
            <w:vAlign w:val="center"/>
          </w:tcPr>
          <w:p>
            <w:pPr>
              <w:pStyle w:val="TableContents"/>
              <w:bidi w:val="0"/>
              <w:spacing w:before="0" w:after="283"/>
              <w:jc w:val="left"/>
              <w:rPr/>
            </w:pPr>
            <w:r>
              <w:rPr/>
              <w:t>Net amortization of premiums and discounts on investments</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272</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494</w:t>
            </w:r>
          </w:p>
        </w:tc>
        <w:tc>
          <w:tcPr>
            <w:tcW w:w="769" w:type="dxa"/>
            <w:tcBorders/>
            <w:shd w:fill="CCEEFF" w:val="cle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283"/>
              <w:jc w:val="left"/>
              <w:rPr/>
            </w:pPr>
            <w:r>
              <w:rPr/>
              <w:t>Gain on sale of property and equipment</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(15</w:t>
            </w:r>
          </w:p>
        </w:tc>
        <w:tc>
          <w:tcPr>
            <w:tcW w:w="190" w:type="dxa"/>
            <w:tcBorders/>
            <w:vAlign w:val="center"/>
          </w:tcPr>
          <w:p>
            <w:pPr>
              <w:pStyle w:val="TableContents"/>
              <w:bidi w:val="0"/>
              <w:spacing w:before="0" w:after="283"/>
              <w:jc w:val="left"/>
              <w:rPr/>
            </w:pPr>
            <w:r>
              <w:rPr/>
              <w:t>)</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(72</w:t>
            </w:r>
          </w:p>
        </w:tc>
        <w:tc>
          <w:tcPr>
            <w:tcW w:w="769" w:type="dxa"/>
            <w:tcBorders/>
            <w:vAlign w:val="center"/>
          </w:tcPr>
          <w:p>
            <w:pPr>
              <w:pStyle w:val="TableContents"/>
              <w:bidi w:val="0"/>
              <w:spacing w:before="0" w:after="283"/>
              <w:ind w:left="0" w:right="0" w:hanging="216"/>
              <w:jc w:val="left"/>
              <w:rPr/>
            </w:pPr>
            <w:r>
              <w:rPr/>
              <w:t>)</w:t>
            </w:r>
          </w:p>
        </w:tc>
      </w:tr>
      <w:tr>
        <w:trPr/>
        <w:tc>
          <w:tcPr>
            <w:tcW w:w="6109" w:type="dxa"/>
            <w:tcBorders/>
            <w:shd w:fill="CCEEFF" w:val="clear"/>
            <w:vAlign w:val="center"/>
          </w:tcPr>
          <w:p>
            <w:pPr>
              <w:pStyle w:val="TableContents"/>
              <w:bidi w:val="0"/>
              <w:spacing w:before="0" w:after="283"/>
              <w:jc w:val="left"/>
              <w:rPr/>
            </w:pPr>
            <w:r>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769" w:type="dxa"/>
            <w:tcBorders/>
            <w:shd w:fill="CCEEFF" w:val="clear"/>
            <w:vAlign w:val="center"/>
          </w:tcPr>
          <w:p>
            <w:pPr>
              <w:pStyle w:val="TableContents"/>
              <w:bidi w:val="0"/>
              <w:spacing w:before="0" w:after="283"/>
              <w:ind w:left="0" w:right="0" w:hanging="216"/>
              <w:jc w:val="left"/>
              <w:rPr/>
            </w:pPr>
            <w:r>
              <w:rPr/>
              <w:t> </w:t>
            </w:r>
          </w:p>
        </w:tc>
      </w:tr>
      <w:tr>
        <w:trPr/>
        <w:tc>
          <w:tcPr>
            <w:tcW w:w="6109" w:type="dxa"/>
            <w:tcBorders/>
            <w:vAlign w:val="center"/>
          </w:tcPr>
          <w:p>
            <w:pPr>
              <w:pStyle w:val="TableContents"/>
              <w:bidi w:val="0"/>
              <w:spacing w:before="0" w:after="283"/>
              <w:jc w:val="left"/>
              <w:rPr/>
            </w:pPr>
            <w:r>
              <w:rPr/>
              <w:t>Premiums and agents’ balances receivable</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(23,166</w:t>
            </w:r>
          </w:p>
        </w:tc>
        <w:tc>
          <w:tcPr>
            <w:tcW w:w="190" w:type="dxa"/>
            <w:tcBorders/>
            <w:vAlign w:val="center"/>
          </w:tcPr>
          <w:p>
            <w:pPr>
              <w:pStyle w:val="TableContents"/>
              <w:bidi w:val="0"/>
              <w:spacing w:before="0" w:after="283"/>
              <w:jc w:val="left"/>
              <w:rPr/>
            </w:pPr>
            <w:r>
              <w:rPr/>
              <w:t>)</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(29,161</w:t>
            </w:r>
          </w:p>
        </w:tc>
        <w:tc>
          <w:tcPr>
            <w:tcW w:w="769" w:type="dxa"/>
            <w:tcBorders/>
            <w:vAlign w:val="center"/>
          </w:tcPr>
          <w:p>
            <w:pPr>
              <w:pStyle w:val="TableContents"/>
              <w:bidi w:val="0"/>
              <w:spacing w:before="0" w:after="283"/>
              <w:ind w:left="0" w:right="0" w:firstLine="570"/>
              <w:jc w:val="left"/>
              <w:rPr/>
            </w:pPr>
            <w:r>
              <w:rPr/>
              <w:t>)</w:t>
            </w:r>
          </w:p>
        </w:tc>
      </w:tr>
      <w:tr>
        <w:trPr/>
        <w:tc>
          <w:tcPr>
            <w:tcW w:w="6109" w:type="dxa"/>
            <w:tcBorders/>
            <w:shd w:fill="CCEEFF" w:val="clear"/>
            <w:vAlign w:val="center"/>
          </w:tcPr>
          <w:p>
            <w:pPr>
              <w:pStyle w:val="TableContents"/>
              <w:bidi w:val="0"/>
              <w:spacing w:before="0" w:after="283"/>
              <w:jc w:val="left"/>
              <w:rPr/>
            </w:pPr>
            <w:r>
              <w:rPr/>
              <w:t>Reinsurance premiums receivable / payable</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2,243</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(1,517</w:t>
            </w:r>
          </w:p>
        </w:tc>
        <w:tc>
          <w:tcPr>
            <w:tcW w:w="769" w:type="dxa"/>
            <w:tcBorders/>
            <w:shd w:fill="CCEEFF" w:val="clear"/>
            <w:vAlign w:val="center"/>
          </w:tcPr>
          <w:p>
            <w:pPr>
              <w:pStyle w:val="TableContents"/>
              <w:bidi w:val="0"/>
              <w:spacing w:before="0" w:after="283"/>
              <w:ind w:left="0" w:right="0" w:firstLine="570"/>
              <w:jc w:val="left"/>
              <w:rPr/>
            </w:pPr>
            <w:r>
              <w:rPr/>
              <w:t>)</w:t>
            </w:r>
          </w:p>
        </w:tc>
      </w:tr>
      <w:tr>
        <w:trPr/>
        <w:tc>
          <w:tcPr>
            <w:tcW w:w="6109" w:type="dxa"/>
            <w:tcBorders/>
            <w:vAlign w:val="center"/>
          </w:tcPr>
          <w:p>
            <w:pPr>
              <w:pStyle w:val="TableContents"/>
              <w:bidi w:val="0"/>
              <w:spacing w:before="0" w:after="283"/>
              <w:jc w:val="left"/>
              <w:rPr/>
            </w:pPr>
            <w:r>
              <w:rPr/>
              <w:t>Reinsurance recoverables on losses</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(10,490</w:t>
            </w:r>
          </w:p>
        </w:tc>
        <w:tc>
          <w:tcPr>
            <w:tcW w:w="190" w:type="dxa"/>
            <w:tcBorders/>
            <w:vAlign w:val="center"/>
          </w:tcPr>
          <w:p>
            <w:pPr>
              <w:pStyle w:val="TableContents"/>
              <w:bidi w:val="0"/>
              <w:spacing w:before="0" w:after="283"/>
              <w:jc w:val="left"/>
              <w:rPr/>
            </w:pPr>
            <w:r>
              <w:rPr/>
              <w:t>)</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(7,861</w:t>
            </w:r>
          </w:p>
        </w:tc>
        <w:tc>
          <w:tcPr>
            <w:tcW w:w="769" w:type="dxa"/>
            <w:tcBorders/>
            <w:vAlign w:val="center"/>
          </w:tcPr>
          <w:p>
            <w:pPr>
              <w:pStyle w:val="TableContents"/>
              <w:bidi w:val="0"/>
              <w:spacing w:before="0" w:after="283"/>
              <w:ind w:left="0" w:right="0" w:firstLine="570"/>
              <w:jc w:val="left"/>
              <w:rPr/>
            </w:pPr>
            <w:r>
              <w:rPr/>
              <w:t>)</w:t>
            </w:r>
          </w:p>
        </w:tc>
      </w:tr>
      <w:tr>
        <w:trPr/>
        <w:tc>
          <w:tcPr>
            <w:tcW w:w="6109" w:type="dxa"/>
            <w:tcBorders/>
            <w:shd w:fill="CCEEFF" w:val="clear"/>
            <w:vAlign w:val="center"/>
          </w:tcPr>
          <w:p>
            <w:pPr>
              <w:pStyle w:val="TableContents"/>
              <w:bidi w:val="0"/>
              <w:spacing w:before="0" w:after="283"/>
              <w:jc w:val="left"/>
              <w:rPr/>
            </w:pPr>
            <w:r>
              <w:rPr/>
              <w:t>Income tax recoverable / payable</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(4,815</w:t>
            </w:r>
          </w:p>
        </w:tc>
        <w:tc>
          <w:tcPr>
            <w:tcW w:w="190" w:type="dxa"/>
            <w:tcBorders/>
            <w:shd w:fill="CCEEFF" w:val="clear"/>
            <w:vAlign w:val="center"/>
          </w:tcPr>
          <w:p>
            <w:pPr>
              <w:pStyle w:val="TableContents"/>
              <w:bidi w:val="0"/>
              <w:spacing w:before="0" w:after="283"/>
              <w:jc w:val="left"/>
              <w:rPr/>
            </w:pPr>
            <w:r>
              <w:rPr/>
              <w:t>)</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(11,322</w:t>
            </w:r>
          </w:p>
        </w:tc>
        <w:tc>
          <w:tcPr>
            <w:tcW w:w="769" w:type="dxa"/>
            <w:tcBorders/>
            <w:shd w:fill="CCEEFF" w:val="clear"/>
            <w:vAlign w:val="center"/>
          </w:tcPr>
          <w:p>
            <w:pPr>
              <w:pStyle w:val="TableContents"/>
              <w:bidi w:val="0"/>
              <w:spacing w:before="0" w:after="283"/>
              <w:ind w:left="0" w:right="0" w:firstLine="570"/>
              <w:jc w:val="left"/>
              <w:rPr/>
            </w:pPr>
            <w:r>
              <w:rPr/>
              <w:t>)</w:t>
            </w:r>
          </w:p>
        </w:tc>
      </w:tr>
      <w:tr>
        <w:trPr/>
        <w:tc>
          <w:tcPr>
            <w:tcW w:w="6109" w:type="dxa"/>
            <w:tcBorders/>
            <w:vAlign w:val="center"/>
          </w:tcPr>
          <w:p>
            <w:pPr>
              <w:pStyle w:val="TableContents"/>
              <w:bidi w:val="0"/>
              <w:spacing w:before="0" w:after="283"/>
              <w:jc w:val="left"/>
              <w:rPr/>
            </w:pPr>
            <w:r>
              <w:rPr/>
              <w:t>Accrued investment income</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172</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77</w:t>
            </w:r>
          </w:p>
        </w:tc>
        <w:tc>
          <w:tcPr>
            <w:tcW w:w="769" w:type="dxa"/>
            <w:tcBorders/>
            <w:vAlign w:val="center"/>
          </w:tcPr>
          <w:p>
            <w:pPr>
              <w:pStyle w:val="TableContents"/>
              <w:bidi w:val="0"/>
              <w:spacing w:before="0" w:after="283"/>
              <w:ind w:left="0" w:right="0" w:firstLine="570"/>
              <w:jc w:val="left"/>
              <w:rPr/>
            </w:pPr>
            <w:r>
              <w:rPr/>
              <w:t> </w:t>
            </w:r>
          </w:p>
        </w:tc>
      </w:tr>
      <w:tr>
        <w:trPr/>
        <w:tc>
          <w:tcPr>
            <w:tcW w:w="6109" w:type="dxa"/>
            <w:tcBorders/>
            <w:shd w:fill="CCEEFF" w:val="clear"/>
            <w:vAlign w:val="center"/>
          </w:tcPr>
          <w:p>
            <w:pPr>
              <w:pStyle w:val="TableContents"/>
              <w:bidi w:val="0"/>
              <w:spacing w:before="0" w:after="283"/>
              <w:jc w:val="left"/>
              <w:rPr/>
            </w:pPr>
            <w:r>
              <w:rPr/>
              <w:t>Federal Crop Insurance Corporation receivable / payable</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(4,529</w:t>
            </w:r>
          </w:p>
        </w:tc>
        <w:tc>
          <w:tcPr>
            <w:tcW w:w="190" w:type="dxa"/>
            <w:tcBorders/>
            <w:shd w:fill="CCEEFF" w:val="clear"/>
            <w:vAlign w:val="center"/>
          </w:tcPr>
          <w:p>
            <w:pPr>
              <w:pStyle w:val="TableContents"/>
              <w:bidi w:val="0"/>
              <w:spacing w:before="0" w:after="283"/>
              <w:jc w:val="left"/>
              <w:rPr/>
            </w:pPr>
            <w:r>
              <w:rPr/>
              <w:t>)</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(2,201</w:t>
            </w:r>
          </w:p>
        </w:tc>
        <w:tc>
          <w:tcPr>
            <w:tcW w:w="769" w:type="dxa"/>
            <w:tcBorders/>
            <w:shd w:fill="CCEEFF" w:val="clear"/>
            <w:vAlign w:val="center"/>
          </w:tcPr>
          <w:p>
            <w:pPr>
              <w:pStyle w:val="TableContents"/>
              <w:bidi w:val="0"/>
              <w:spacing w:before="0" w:after="283"/>
              <w:ind w:left="0" w:right="0" w:firstLine="570"/>
              <w:jc w:val="left"/>
              <w:rPr/>
            </w:pPr>
            <w:r>
              <w:rPr/>
              <w:t>)</w:t>
            </w:r>
          </w:p>
        </w:tc>
      </w:tr>
      <w:tr>
        <w:trPr/>
        <w:tc>
          <w:tcPr>
            <w:tcW w:w="6109" w:type="dxa"/>
            <w:tcBorders/>
            <w:vAlign w:val="center"/>
          </w:tcPr>
          <w:p>
            <w:pPr>
              <w:pStyle w:val="TableContents"/>
              <w:bidi w:val="0"/>
              <w:spacing w:before="0" w:after="283"/>
              <w:jc w:val="left"/>
              <w:rPr/>
            </w:pPr>
            <w:r>
              <w:rPr/>
              <w:t>Other assets</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(69</w:t>
            </w:r>
          </w:p>
        </w:tc>
        <w:tc>
          <w:tcPr>
            <w:tcW w:w="190" w:type="dxa"/>
            <w:tcBorders/>
            <w:vAlign w:val="center"/>
          </w:tcPr>
          <w:p>
            <w:pPr>
              <w:pStyle w:val="TableContents"/>
              <w:bidi w:val="0"/>
              <w:spacing w:before="0" w:after="283"/>
              <w:jc w:val="left"/>
              <w:rPr/>
            </w:pPr>
            <w:r>
              <w:rPr/>
              <w:t>)</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266</w:t>
            </w:r>
          </w:p>
        </w:tc>
        <w:tc>
          <w:tcPr>
            <w:tcW w:w="769" w:type="dxa"/>
            <w:tcBorders/>
            <w:vAlign w:val="center"/>
          </w:tcPr>
          <w:p>
            <w:pPr>
              <w:pStyle w:val="TableContents"/>
              <w:bidi w:val="0"/>
              <w:spacing w:before="0" w:after="283"/>
              <w:ind w:left="0" w:right="0" w:firstLine="570"/>
              <w:jc w:val="left"/>
              <w:rPr/>
            </w:pPr>
            <w:r>
              <w:rPr/>
              <w:t> </w:t>
            </w:r>
          </w:p>
        </w:tc>
      </w:tr>
      <w:tr>
        <w:trPr/>
        <w:tc>
          <w:tcPr>
            <w:tcW w:w="6109" w:type="dxa"/>
            <w:tcBorders/>
            <w:shd w:fill="CCEEFF" w:val="clear"/>
            <w:vAlign w:val="center"/>
          </w:tcPr>
          <w:p>
            <w:pPr>
              <w:pStyle w:val="TableContents"/>
              <w:bidi w:val="0"/>
              <w:spacing w:before="0" w:after="283"/>
              <w:jc w:val="left"/>
              <w:rPr/>
            </w:pPr>
            <w:r>
              <w:rPr/>
              <w:t>Unpaid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20,095</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39,884</w:t>
            </w:r>
          </w:p>
        </w:tc>
        <w:tc>
          <w:tcPr>
            <w:tcW w:w="769" w:type="dxa"/>
            <w:tcBorders/>
            <w:shd w:fill="CCEEFF" w:val="clear"/>
            <w:vAlign w:val="center"/>
          </w:tcPr>
          <w:p>
            <w:pPr>
              <w:pStyle w:val="TableContents"/>
              <w:bidi w:val="0"/>
              <w:spacing w:before="0" w:after="283"/>
              <w:ind w:left="0" w:right="0" w:firstLine="570"/>
              <w:jc w:val="left"/>
              <w:rPr/>
            </w:pPr>
            <w:r>
              <w:rPr/>
              <w:t> </w:t>
            </w:r>
          </w:p>
        </w:tc>
      </w:tr>
      <w:tr>
        <w:trPr/>
        <w:tc>
          <w:tcPr>
            <w:tcW w:w="6109" w:type="dxa"/>
            <w:tcBorders/>
            <w:vAlign w:val="center"/>
          </w:tcPr>
          <w:p>
            <w:pPr>
              <w:pStyle w:val="TableContents"/>
              <w:bidi w:val="0"/>
              <w:spacing w:before="0" w:after="283"/>
              <w:jc w:val="left"/>
              <w:rPr/>
            </w:pPr>
            <w:r>
              <w:rPr/>
              <w:t>Unearned premiums</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(4,038</w:t>
            </w:r>
          </w:p>
        </w:tc>
        <w:tc>
          <w:tcPr>
            <w:tcW w:w="190" w:type="dxa"/>
            <w:tcBorders/>
            <w:vAlign w:val="center"/>
          </w:tcPr>
          <w:p>
            <w:pPr>
              <w:pStyle w:val="TableContents"/>
              <w:bidi w:val="0"/>
              <w:spacing w:before="0" w:after="283"/>
              <w:jc w:val="left"/>
              <w:rPr/>
            </w:pPr>
            <w:r>
              <w:rPr/>
              <w:t>)</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10,780</w:t>
            </w:r>
          </w:p>
        </w:tc>
        <w:tc>
          <w:tcPr>
            <w:tcW w:w="769" w:type="dxa"/>
            <w:tcBorders/>
            <w:vAlign w:val="center"/>
          </w:tcPr>
          <w:p>
            <w:pPr>
              <w:pStyle w:val="TableContents"/>
              <w:bidi w:val="0"/>
              <w:spacing w:before="0" w:after="283"/>
              <w:ind w:left="0" w:right="0" w:firstLine="570"/>
              <w:jc w:val="left"/>
              <w:rPr/>
            </w:pPr>
            <w:r>
              <w:rPr/>
              <w:t> </w:t>
            </w:r>
          </w:p>
        </w:tc>
      </w:tr>
      <w:tr>
        <w:trPr/>
        <w:tc>
          <w:tcPr>
            <w:tcW w:w="6109" w:type="dxa"/>
            <w:tcBorders/>
            <w:shd w:fill="CCEEFF" w:val="clear"/>
            <w:vAlign w:val="center"/>
          </w:tcPr>
          <w:p>
            <w:pPr>
              <w:pStyle w:val="TableContents"/>
              <w:bidi w:val="0"/>
              <w:spacing w:before="0" w:after="283"/>
              <w:jc w:val="left"/>
              <w:rPr/>
            </w:pPr>
            <w:r>
              <w:rPr/>
              <w:t>Accrued expenses and other liabilities</w:t>
            </w:r>
          </w:p>
        </w:tc>
        <w:tc>
          <w:tcPr>
            <w:tcW w:w="9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CCEEFF" w:val="clear"/>
            <w:tcMar>
              <w:bottom w:w="28" w:type="dxa"/>
            </w:tcMar>
            <w:vAlign w:val="center"/>
          </w:tcPr>
          <w:p>
            <w:pPr>
              <w:pStyle w:val="TableContents"/>
              <w:bidi w:val="0"/>
              <w:spacing w:before="0" w:after="283"/>
              <w:jc w:val="right"/>
              <w:rPr/>
            </w:pPr>
            <w:r>
              <w:rPr/>
              <w:t>627</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CCEEFF" w:val="clear"/>
            <w:tcMar>
              <w:bottom w:w="28" w:type="dxa"/>
            </w:tcMar>
            <w:vAlign w:val="center"/>
          </w:tcPr>
          <w:p>
            <w:pPr>
              <w:pStyle w:val="TableContents"/>
              <w:bidi w:val="0"/>
              <w:spacing w:before="0" w:after="283"/>
              <w:jc w:val="right"/>
              <w:rPr/>
            </w:pPr>
            <w:r>
              <w:rPr/>
              <w:t>4,892</w:t>
            </w:r>
          </w:p>
        </w:tc>
        <w:tc>
          <w:tcPr>
            <w:tcW w:w="769" w:type="dxa"/>
            <w:tcBorders/>
            <w:shd w:fill="CCEEFF" w:val="clear"/>
            <w:vAlign w:val="center"/>
          </w:tcPr>
          <w:p>
            <w:pPr>
              <w:pStyle w:val="TableContents"/>
              <w:bidi w:val="0"/>
              <w:spacing w:before="0" w:after="283"/>
              <w:ind w:left="0" w:right="0" w:firstLine="630"/>
              <w:jc w:val="left"/>
              <w:rPr/>
            </w:pPr>
            <w:r>
              <w:rPr/>
              <w:t> </w:t>
            </w:r>
          </w:p>
        </w:tc>
      </w:tr>
      <w:tr>
        <w:trPr/>
        <w:tc>
          <w:tcPr>
            <w:tcW w:w="6109" w:type="dxa"/>
            <w:tcBorders/>
            <w:vAlign w:val="center"/>
          </w:tcPr>
          <w:p>
            <w:pPr>
              <w:pStyle w:val="TableContents"/>
              <w:bidi w:val="0"/>
              <w:spacing w:before="0" w:after="283"/>
              <w:jc w:val="left"/>
              <w:rPr/>
            </w:pPr>
            <w:r>
              <w:rPr/>
              <w:t>Net cash flows from operating activities – continuing operations</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(21,254</w:t>
            </w:r>
          </w:p>
        </w:tc>
        <w:tc>
          <w:tcPr>
            <w:tcW w:w="190" w:type="dxa"/>
            <w:tcBorders/>
            <w:vAlign w:val="center"/>
          </w:tcPr>
          <w:p>
            <w:pPr>
              <w:pStyle w:val="TableContents"/>
              <w:bidi w:val="0"/>
              <w:spacing w:before="0" w:after="283"/>
              <w:jc w:val="left"/>
              <w:rPr/>
            </w:pPr>
            <w:r>
              <w:rPr/>
              <w:t>)</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3,204</w:t>
            </w:r>
          </w:p>
        </w:tc>
        <w:tc>
          <w:tcPr>
            <w:tcW w:w="769" w:type="dxa"/>
            <w:tcBorders/>
            <w:vAlign w:val="center"/>
          </w:tcPr>
          <w:p>
            <w:pPr>
              <w:pStyle w:val="TableContents"/>
              <w:bidi w:val="0"/>
              <w:spacing w:before="0" w:after="283"/>
              <w:ind w:left="0" w:right="0" w:firstLine="630"/>
              <w:jc w:val="left"/>
              <w:rPr/>
            </w:pPr>
            <w:r>
              <w:rPr/>
              <w:t> </w:t>
            </w:r>
          </w:p>
        </w:tc>
      </w:tr>
      <w:tr>
        <w:trPr/>
        <w:tc>
          <w:tcPr>
            <w:tcW w:w="6109" w:type="dxa"/>
            <w:tcBorders/>
            <w:shd w:fill="CCEEFF" w:val="clear"/>
            <w:vAlign w:val="center"/>
          </w:tcPr>
          <w:p>
            <w:pPr>
              <w:pStyle w:val="TableContents"/>
              <w:bidi w:val="0"/>
              <w:spacing w:before="0" w:after="283"/>
              <w:jc w:val="left"/>
              <w:rPr/>
            </w:pPr>
            <w:r>
              <w:rPr/>
              <w:t>Net cash flows from operating activities – discontinued operations</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0"/>
              <w:jc w:val="right"/>
              <w:rPr/>
            </w:pPr>
            <w:r>
              <w:rPr/>
              <w:t>—</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10,493</w:t>
            </w:r>
          </w:p>
        </w:tc>
        <w:tc>
          <w:tcPr>
            <w:tcW w:w="769" w:type="dxa"/>
            <w:tcBorders/>
            <w:shd w:fill="CCEEFF" w:val="cle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283"/>
              <w:jc w:val="left"/>
              <w:rPr/>
            </w:pPr>
            <w:r>
              <w:rPr/>
              <w:t>Net cash flows from operating activities – loss on sale of discontinued operations</w:t>
            </w:r>
          </w:p>
        </w:tc>
        <w:tc>
          <w:tcPr>
            <w:tcW w:w="90" w:type="dxa"/>
            <w:tcBorders/>
            <w:vAlign w:val="center"/>
          </w:tcPr>
          <w:p>
            <w:pPr>
              <w:pStyle w:val="TableContents"/>
              <w:bidi w:val="0"/>
              <w:spacing w:before="0" w:after="283"/>
              <w:jc w:val="left"/>
              <w:rPr/>
            </w:pPr>
            <w:r>
              <w:rPr/>
              <w:t> </w:t>
            </w:r>
          </w:p>
        </w:tc>
        <w:tc>
          <w:tcPr>
            <w:tcW w:w="25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tcMar>
              <w:bottom w:w="28" w:type="dxa"/>
            </w:tcMar>
            <w:vAlign w:val="center"/>
          </w:tcPr>
          <w:p>
            <w:pPr>
              <w:pStyle w:val="TableContents"/>
              <w:bidi w:val="0"/>
              <w:spacing w:before="0" w:after="0"/>
              <w:jc w:val="right"/>
              <w:rPr/>
            </w:pPr>
            <w:r>
              <w:rPr/>
              <w:t>—</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tcMar>
              <w:bottom w:w="28" w:type="dxa"/>
            </w:tcMar>
            <w:vAlign w:val="center"/>
          </w:tcPr>
          <w:p>
            <w:pPr>
              <w:pStyle w:val="TableContents"/>
              <w:bidi w:val="0"/>
              <w:spacing w:before="0" w:after="283"/>
              <w:jc w:val="right"/>
              <w:rPr/>
            </w:pPr>
            <w:r>
              <w:rPr/>
              <w:t>17,479</w:t>
            </w:r>
          </w:p>
        </w:tc>
        <w:tc>
          <w:tcPr>
            <w:tcW w:w="769" w:type="dxa"/>
            <w:tcBorders/>
            <w:vAlign w:val="center"/>
          </w:tcPr>
          <w:p>
            <w:pPr>
              <w:pStyle w:val="TableContents"/>
              <w:bidi w:val="0"/>
              <w:spacing w:before="0" w:after="283"/>
              <w:ind w:left="0" w:right="0" w:firstLine="630"/>
              <w:jc w:val="left"/>
              <w:rPr/>
            </w:pPr>
            <w:r>
              <w:rPr/>
              <w:t> </w:t>
            </w:r>
          </w:p>
        </w:tc>
      </w:tr>
      <w:tr>
        <w:trPr/>
        <w:tc>
          <w:tcPr>
            <w:tcW w:w="6109" w:type="dxa"/>
            <w:tcBorders/>
            <w:shd w:fill="CCEEFF" w:val="clear"/>
            <w:vAlign w:val="center"/>
          </w:tcPr>
          <w:p>
            <w:pPr>
              <w:pStyle w:val="TableContents"/>
              <w:bidi w:val="0"/>
              <w:spacing w:before="0" w:after="283"/>
              <w:jc w:val="left"/>
              <w:rPr/>
            </w:pPr>
            <w:r>
              <w:rPr/>
              <w:t>Total adjustments</w:t>
            </w:r>
          </w:p>
        </w:tc>
        <w:tc>
          <w:tcPr>
            <w:tcW w:w="9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CCEEFF" w:val="clear"/>
            <w:tcMar>
              <w:bottom w:w="28" w:type="dxa"/>
            </w:tcMar>
            <w:vAlign w:val="center"/>
          </w:tcPr>
          <w:p>
            <w:pPr>
              <w:pStyle w:val="TableContents"/>
              <w:bidi w:val="0"/>
              <w:spacing w:before="0" w:after="283"/>
              <w:jc w:val="right"/>
              <w:rPr/>
            </w:pPr>
            <w:r>
              <w:rPr/>
              <w:t>(21,254</w:t>
            </w:r>
          </w:p>
        </w:tc>
        <w:tc>
          <w:tcPr>
            <w:tcW w:w="190" w:type="dxa"/>
            <w:tcBorders/>
            <w:shd w:fill="CCEEFF" w:val="clear"/>
            <w:vAlign w:val="center"/>
          </w:tcPr>
          <w:p>
            <w:pPr>
              <w:pStyle w:val="TableContents"/>
              <w:bidi w:val="0"/>
              <w:spacing w:before="0" w:after="283"/>
              <w:jc w:val="left"/>
              <w:rPr/>
            </w:pPr>
            <w:r>
              <w:rPr/>
              <w:t>)</w:t>
            </w:r>
          </w:p>
        </w:tc>
        <w:tc>
          <w:tcPr>
            <w:tcW w:w="137"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CCEEFF" w:val="clear"/>
            <w:tcMar>
              <w:bottom w:w="28" w:type="dxa"/>
            </w:tcMar>
            <w:vAlign w:val="center"/>
          </w:tcPr>
          <w:p>
            <w:pPr>
              <w:pStyle w:val="TableContents"/>
              <w:bidi w:val="0"/>
              <w:spacing w:before="0" w:after="283"/>
              <w:jc w:val="right"/>
              <w:rPr/>
            </w:pPr>
            <w:r>
              <w:rPr/>
              <w:t>31,176</w:t>
            </w:r>
          </w:p>
        </w:tc>
        <w:tc>
          <w:tcPr>
            <w:tcW w:w="769" w:type="dxa"/>
            <w:tcBorders/>
            <w:shd w:fill="CCEEFF" w:val="clear"/>
            <w:vAlign w:val="center"/>
          </w:tcPr>
          <w:p>
            <w:pPr>
              <w:pStyle w:val="TableContents"/>
              <w:bidi w:val="0"/>
              <w:spacing w:before="0" w:after="283"/>
              <w:ind w:left="0" w:right="0" w:firstLine="630"/>
              <w:jc w:val="left"/>
              <w:rPr/>
            </w:pPr>
            <w:r>
              <w:rPr/>
              <w:t> </w:t>
            </w:r>
          </w:p>
        </w:tc>
      </w:tr>
      <w:tr>
        <w:trPr/>
        <w:tc>
          <w:tcPr>
            <w:tcW w:w="6109" w:type="dxa"/>
            <w:tcBorders/>
            <w:vAlign w:val="center"/>
          </w:tcPr>
          <w:p>
            <w:pPr>
              <w:pStyle w:val="TableContents"/>
              <w:bidi w:val="0"/>
              <w:spacing w:before="0" w:after="283"/>
              <w:jc w:val="left"/>
              <w:rPr/>
            </w:pPr>
            <w:r>
              <w:rPr/>
              <w:t>Net cash flows from operating activities</w:t>
            </w:r>
          </w:p>
        </w:tc>
        <w:tc>
          <w:tcPr>
            <w:tcW w:w="90" w:type="dxa"/>
            <w:tcBorders/>
            <w:vAlign w:val="center"/>
          </w:tcPr>
          <w:p>
            <w:pPr>
              <w:pStyle w:val="TableContents"/>
              <w:bidi w:val="0"/>
              <w:spacing w:before="0" w:after="283"/>
              <w:jc w:val="left"/>
              <w:rPr/>
            </w:pPr>
            <w:r>
              <w:rPr/>
              <w:t> </w:t>
            </w:r>
          </w:p>
        </w:tc>
        <w:tc>
          <w:tcPr>
            <w:tcW w:w="25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tcMar>
              <w:bottom w:w="28" w:type="dxa"/>
            </w:tcMar>
            <w:vAlign w:val="center"/>
          </w:tcPr>
          <w:p>
            <w:pPr>
              <w:pStyle w:val="TableContents"/>
              <w:bidi w:val="0"/>
              <w:spacing w:before="0" w:after="283"/>
              <w:jc w:val="right"/>
              <w:rPr/>
            </w:pPr>
            <w:r>
              <w:rPr/>
              <w:t>(28,511</w:t>
            </w:r>
          </w:p>
        </w:tc>
        <w:tc>
          <w:tcPr>
            <w:tcW w:w="190" w:type="dxa"/>
            <w:tcBorders/>
            <w:vAlign w:val="center"/>
          </w:tcPr>
          <w:p>
            <w:pPr>
              <w:pStyle w:val="TableContents"/>
              <w:bidi w:val="0"/>
              <w:spacing w:before="0" w:after="283"/>
              <w:jc w:val="left"/>
              <w:rPr/>
            </w:pPr>
            <w:r>
              <w:rPr/>
              <w:t>)</w:t>
            </w:r>
          </w:p>
        </w:tc>
        <w:tc>
          <w:tcPr>
            <w:tcW w:w="137" w:type="dxa"/>
            <w:tcBorders/>
            <w:vAlign w:val="center"/>
          </w:tcPr>
          <w:p>
            <w:pPr>
              <w:pStyle w:val="TableContents"/>
              <w:bidi w:val="0"/>
              <w:spacing w:before="0" w:after="283"/>
              <w:jc w:val="left"/>
              <w:rPr/>
            </w:pPr>
            <w:r>
              <w:rPr/>
              <w:t> </w:t>
            </w:r>
          </w:p>
        </w:tc>
        <w:tc>
          <w:tcPr>
            <w:tcW w:w="25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tcMar>
              <w:bottom w:w="28" w:type="dxa"/>
            </w:tcMar>
            <w:vAlign w:val="center"/>
          </w:tcPr>
          <w:p>
            <w:pPr>
              <w:pStyle w:val="TableContents"/>
              <w:bidi w:val="0"/>
              <w:spacing w:before="0" w:after="283"/>
              <w:jc w:val="right"/>
              <w:rPr/>
            </w:pPr>
            <w:r>
              <w:rPr/>
              <w:t>16,780</w:t>
            </w:r>
          </w:p>
        </w:tc>
        <w:tc>
          <w:tcPr>
            <w:tcW w:w="769" w:type="dxa"/>
            <w:tcBorders/>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769" w:type="dxa"/>
            <w:tcBorders/>
            <w:shd w:fill="CCEEFF" w:val="cle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283"/>
              <w:jc w:val="left"/>
              <w:rPr/>
            </w:pPr>
            <w:r>
              <w:rPr/>
              <w:t>Cash flows from investing activities:</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769" w:type="dxa"/>
            <w:tcBorders/>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283"/>
              <w:jc w:val="left"/>
              <w:rPr/>
            </w:pPr>
            <w:r>
              <w:rPr/>
              <w:t>Proceeds from maturities and sales of fixed income securities</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27,475</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37,493</w:t>
            </w:r>
          </w:p>
        </w:tc>
        <w:tc>
          <w:tcPr>
            <w:tcW w:w="769" w:type="dxa"/>
            <w:tcBorders/>
            <w:shd w:fill="CCEEFF" w:val="cle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283"/>
              <w:jc w:val="left"/>
              <w:rPr/>
            </w:pPr>
            <w:r>
              <w:rPr/>
              <w:t>Proceeds from sales of equity securities</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8,555</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4,978</w:t>
            </w:r>
          </w:p>
        </w:tc>
        <w:tc>
          <w:tcPr>
            <w:tcW w:w="769" w:type="dxa"/>
            <w:tcBorders/>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283"/>
              <w:jc w:val="left"/>
              <w:rPr/>
            </w:pPr>
            <w:r>
              <w:rPr/>
              <w:t>Purchases of fixed income securities</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(26,373</w:t>
            </w:r>
          </w:p>
        </w:tc>
        <w:tc>
          <w:tcPr>
            <w:tcW w:w="190" w:type="dxa"/>
            <w:tcBorders/>
            <w:shd w:fill="CCEEFF" w:val="clear"/>
            <w:vAlign w:val="center"/>
          </w:tcPr>
          <w:p>
            <w:pPr>
              <w:pStyle w:val="TableContents"/>
              <w:bidi w:val="0"/>
              <w:spacing w:before="0" w:after="283"/>
              <w:jc w:val="left"/>
              <w:rPr/>
            </w:pPr>
            <w:r>
              <w:rPr/>
              <w:t>)</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(46,667</w:t>
            </w:r>
          </w:p>
        </w:tc>
        <w:tc>
          <w:tcPr>
            <w:tcW w:w="769" w:type="dxa"/>
            <w:tcBorders/>
            <w:shd w:fill="CCEEFF" w:val="clear"/>
            <w:vAlign w:val="center"/>
          </w:tcPr>
          <w:p>
            <w:pPr>
              <w:pStyle w:val="TableContents"/>
              <w:bidi w:val="0"/>
              <w:spacing w:before="0" w:after="283"/>
              <w:jc w:val="left"/>
              <w:rPr/>
            </w:pPr>
            <w:r>
              <w:rPr/>
              <w:t>)</w:t>
            </w:r>
          </w:p>
        </w:tc>
      </w:tr>
      <w:tr>
        <w:trPr/>
        <w:tc>
          <w:tcPr>
            <w:tcW w:w="6109" w:type="dxa"/>
            <w:tcBorders/>
            <w:vAlign w:val="center"/>
          </w:tcPr>
          <w:p>
            <w:pPr>
              <w:pStyle w:val="TableContents"/>
              <w:bidi w:val="0"/>
              <w:spacing w:before="0" w:after="283"/>
              <w:jc w:val="left"/>
              <w:rPr/>
            </w:pPr>
            <w:r>
              <w:rPr/>
              <w:t>Purchases of equity securities</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(5,853</w:t>
            </w:r>
          </w:p>
        </w:tc>
        <w:tc>
          <w:tcPr>
            <w:tcW w:w="190" w:type="dxa"/>
            <w:tcBorders/>
            <w:vAlign w:val="center"/>
          </w:tcPr>
          <w:p>
            <w:pPr>
              <w:pStyle w:val="TableContents"/>
              <w:bidi w:val="0"/>
              <w:spacing w:before="0" w:after="283"/>
              <w:jc w:val="left"/>
              <w:rPr/>
            </w:pPr>
            <w:r>
              <w:rPr/>
              <w:t>)</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(5,077</w:t>
            </w:r>
          </w:p>
        </w:tc>
        <w:tc>
          <w:tcPr>
            <w:tcW w:w="769" w:type="dxa"/>
            <w:tcBorders/>
            <w:vAlign w:val="center"/>
          </w:tcPr>
          <w:p>
            <w:pPr>
              <w:pStyle w:val="TableContents"/>
              <w:bidi w:val="0"/>
              <w:spacing w:before="0" w:after="283"/>
              <w:jc w:val="left"/>
              <w:rPr/>
            </w:pPr>
            <w:r>
              <w:rPr/>
              <w:t>)</w:t>
            </w:r>
          </w:p>
        </w:tc>
      </w:tr>
      <w:tr>
        <w:trPr/>
        <w:tc>
          <w:tcPr>
            <w:tcW w:w="6109" w:type="dxa"/>
            <w:tcBorders/>
            <w:shd w:fill="CCEEFF" w:val="clear"/>
            <w:vAlign w:val="center"/>
          </w:tcPr>
          <w:p>
            <w:pPr>
              <w:pStyle w:val="TableContents"/>
              <w:bidi w:val="0"/>
              <w:spacing w:before="0" w:after="283"/>
              <w:jc w:val="left"/>
              <w:rPr/>
            </w:pPr>
            <w:r>
              <w:rPr/>
              <w:t>Purchases of property and equipment</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(217</w:t>
            </w:r>
          </w:p>
        </w:tc>
        <w:tc>
          <w:tcPr>
            <w:tcW w:w="190" w:type="dxa"/>
            <w:tcBorders/>
            <w:shd w:fill="CCEEFF" w:val="clear"/>
            <w:vAlign w:val="center"/>
          </w:tcPr>
          <w:p>
            <w:pPr>
              <w:pStyle w:val="TableContents"/>
              <w:bidi w:val="0"/>
              <w:spacing w:before="0" w:after="283"/>
              <w:jc w:val="left"/>
              <w:rPr/>
            </w:pPr>
            <w:r>
              <w:rPr/>
              <w:t>)</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(777</w:t>
            </w:r>
          </w:p>
        </w:tc>
        <w:tc>
          <w:tcPr>
            <w:tcW w:w="769" w:type="dxa"/>
            <w:tcBorders/>
            <w:shd w:fill="CCEEFF" w:val="clear"/>
            <w:vAlign w:val="center"/>
          </w:tcPr>
          <w:p>
            <w:pPr>
              <w:pStyle w:val="TableContents"/>
              <w:bidi w:val="0"/>
              <w:spacing w:before="0" w:after="283"/>
              <w:ind w:left="0" w:right="0" w:hanging="216"/>
              <w:jc w:val="left"/>
              <w:rPr/>
            </w:pPr>
            <w:r>
              <w:rPr/>
              <w:t>)</w:t>
            </w:r>
          </w:p>
        </w:tc>
      </w:tr>
      <w:tr>
        <w:trPr/>
        <w:tc>
          <w:tcPr>
            <w:tcW w:w="6109" w:type="dxa"/>
            <w:tcBorders/>
            <w:vAlign w:val="center"/>
          </w:tcPr>
          <w:p>
            <w:pPr>
              <w:pStyle w:val="TableContents"/>
              <w:bidi w:val="0"/>
              <w:spacing w:before="0" w:after="283"/>
              <w:jc w:val="left"/>
              <w:rPr/>
            </w:pPr>
            <w:r>
              <w:rPr/>
              <w:t>Proceeds from sales of property and equipment</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34</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227</w:t>
            </w:r>
          </w:p>
        </w:tc>
        <w:tc>
          <w:tcPr>
            <w:tcW w:w="769" w:type="dxa"/>
            <w:tcBorders/>
            <w:vAlign w:val="center"/>
          </w:tcPr>
          <w:p>
            <w:pPr>
              <w:pStyle w:val="TableContents"/>
              <w:bidi w:val="0"/>
              <w:spacing w:before="0" w:after="283"/>
              <w:ind w:left="0" w:right="0" w:hanging="216"/>
              <w:jc w:val="left"/>
              <w:rPr/>
            </w:pPr>
            <w:r>
              <w:rPr/>
              <w:t> </w:t>
            </w:r>
          </w:p>
        </w:tc>
      </w:tr>
      <w:tr>
        <w:trPr/>
        <w:tc>
          <w:tcPr>
            <w:tcW w:w="6109" w:type="dxa"/>
            <w:tcBorders/>
            <w:shd w:fill="CCEEFF" w:val="clear"/>
            <w:vAlign w:val="center"/>
          </w:tcPr>
          <w:p>
            <w:pPr>
              <w:pStyle w:val="TableContents"/>
              <w:bidi w:val="0"/>
              <w:spacing w:before="0" w:after="283"/>
              <w:jc w:val="left"/>
              <w:rPr/>
            </w:pPr>
            <w:r>
              <w:rPr/>
              <w:t>Proceeds from disposition of Westminster</w:t>
            </w:r>
          </w:p>
        </w:tc>
        <w:tc>
          <w:tcPr>
            <w:tcW w:w="9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CCEEFF" w:val="clear"/>
            <w:tcMar>
              <w:bottom w:w="28" w:type="dxa"/>
            </w:tcMar>
            <w:vAlign w:val="center"/>
          </w:tcPr>
          <w:p>
            <w:pPr>
              <w:pStyle w:val="TableContents"/>
              <w:bidi w:val="0"/>
              <w:spacing w:before="0" w:after="283"/>
              <w:jc w:val="right"/>
              <w:rPr/>
            </w:pPr>
            <w:r>
              <w:rPr/>
              <w:t>12,272</w:t>
            </w:r>
          </w:p>
        </w:tc>
        <w:tc>
          <w:tcPr>
            <w:tcW w:w="769" w:type="dxa"/>
            <w:tcBorders/>
            <w:shd w:fill="CCEEFF" w:val="cle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283"/>
              <w:jc w:val="left"/>
              <w:rPr/>
            </w:pPr>
            <w:r>
              <w:rPr/>
              <w:t>Net cash flows from investing activities – continuing operations</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3,621</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2,449</w:t>
            </w:r>
          </w:p>
        </w:tc>
        <w:tc>
          <w:tcPr>
            <w:tcW w:w="769" w:type="dxa"/>
            <w:tcBorders/>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283"/>
              <w:jc w:val="left"/>
              <w:rPr/>
            </w:pPr>
            <w:r>
              <w:rPr/>
              <w:t>Net cash flows from investing activities – discontinued operations</w:t>
            </w:r>
          </w:p>
        </w:tc>
        <w:tc>
          <w:tcPr>
            <w:tcW w:w="9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CCEEFF" w:val="clear"/>
            <w:tcMar>
              <w:bottom w:w="28" w:type="dxa"/>
            </w:tcMar>
            <w:vAlign w:val="center"/>
          </w:tcPr>
          <w:p>
            <w:pPr>
              <w:pStyle w:val="TableContents"/>
              <w:bidi w:val="0"/>
              <w:spacing w:before="0" w:after="283"/>
              <w:jc w:val="right"/>
              <w:rPr/>
            </w:pPr>
            <w:r>
              <w:rPr/>
              <w:t>2,878</w:t>
            </w:r>
          </w:p>
        </w:tc>
        <w:tc>
          <w:tcPr>
            <w:tcW w:w="769" w:type="dxa"/>
            <w:tcBorders/>
            <w:shd w:fill="CCEEFF" w:val="cle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283"/>
              <w:jc w:val="left"/>
              <w:rPr/>
            </w:pPr>
            <w:r>
              <w:rPr/>
              <w:t>Net cash flows from investing activities</w:t>
            </w:r>
          </w:p>
        </w:tc>
        <w:tc>
          <w:tcPr>
            <w:tcW w:w="90" w:type="dxa"/>
            <w:tcBorders/>
            <w:vAlign w:val="center"/>
          </w:tcPr>
          <w:p>
            <w:pPr>
              <w:pStyle w:val="TableContents"/>
              <w:bidi w:val="0"/>
              <w:spacing w:before="0" w:after="283"/>
              <w:jc w:val="left"/>
              <w:rPr/>
            </w:pPr>
            <w:r>
              <w:rPr/>
              <w:t> </w:t>
            </w:r>
          </w:p>
        </w:tc>
        <w:tc>
          <w:tcPr>
            <w:tcW w:w="25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tcMar>
              <w:bottom w:w="28" w:type="dxa"/>
            </w:tcMar>
            <w:vAlign w:val="center"/>
          </w:tcPr>
          <w:p>
            <w:pPr>
              <w:pStyle w:val="TableContents"/>
              <w:bidi w:val="0"/>
              <w:spacing w:before="0" w:after="283"/>
              <w:jc w:val="right"/>
              <w:rPr/>
            </w:pPr>
            <w:r>
              <w:rPr/>
              <w:t>3,621</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tcMar>
              <w:bottom w:w="28" w:type="dxa"/>
            </w:tcMar>
            <w:vAlign w:val="center"/>
          </w:tcPr>
          <w:p>
            <w:pPr>
              <w:pStyle w:val="TableContents"/>
              <w:bidi w:val="0"/>
              <w:spacing w:before="0" w:after="283"/>
              <w:jc w:val="right"/>
              <w:rPr/>
            </w:pPr>
            <w:r>
              <w:rPr/>
              <w:t>5,327</w:t>
            </w:r>
          </w:p>
        </w:tc>
        <w:tc>
          <w:tcPr>
            <w:tcW w:w="769" w:type="dxa"/>
            <w:tcBorders/>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769" w:type="dxa"/>
            <w:tcBorders/>
            <w:shd w:fill="CCEEFF" w:val="cle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283"/>
              <w:jc w:val="left"/>
              <w:rPr/>
            </w:pPr>
            <w:r>
              <w:rPr/>
              <w:t>Cash flows from financing activities:</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769" w:type="dxa"/>
            <w:tcBorders/>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283"/>
              <w:jc w:val="left"/>
              <w:rPr/>
            </w:pPr>
            <w:r>
              <w:rPr/>
              <w:t>Purchase of treasury stock</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(1,156</w:t>
            </w:r>
          </w:p>
        </w:tc>
        <w:tc>
          <w:tcPr>
            <w:tcW w:w="190" w:type="dxa"/>
            <w:tcBorders/>
            <w:shd w:fill="CCEEFF" w:val="clear"/>
            <w:vAlign w:val="center"/>
          </w:tcPr>
          <w:p>
            <w:pPr>
              <w:pStyle w:val="TableContents"/>
              <w:bidi w:val="0"/>
              <w:spacing w:before="0" w:after="283"/>
              <w:jc w:val="left"/>
              <w:rPr/>
            </w:pPr>
            <w:r>
              <w:rPr/>
              <w:t>)</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0"/>
              <w:jc w:val="right"/>
              <w:rPr/>
            </w:pPr>
            <w:r>
              <w:rPr/>
              <w:t>—</w:t>
            </w:r>
          </w:p>
        </w:tc>
        <w:tc>
          <w:tcPr>
            <w:tcW w:w="769" w:type="dxa"/>
            <w:tcBorders/>
            <w:shd w:fill="CCEEFF" w:val="cle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283"/>
              <w:jc w:val="left"/>
              <w:rPr/>
            </w:pPr>
            <w:r>
              <w:rPr/>
              <w:t>Pooling (payments) receipts</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0"/>
              <w:jc w:val="right"/>
              <w:rPr/>
            </w:pPr>
            <w:r>
              <w:rPr/>
              <w:t>—</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(10,444</w:t>
            </w:r>
          </w:p>
        </w:tc>
        <w:tc>
          <w:tcPr>
            <w:tcW w:w="769" w:type="dxa"/>
            <w:tcBorders/>
            <w:vAlign w:val="center"/>
          </w:tcPr>
          <w:p>
            <w:pPr>
              <w:pStyle w:val="TableContents"/>
              <w:bidi w:val="0"/>
              <w:spacing w:before="0" w:after="283"/>
              <w:jc w:val="left"/>
              <w:rPr/>
            </w:pPr>
            <w:r>
              <w:rPr/>
              <w:t>)</w:t>
            </w:r>
          </w:p>
        </w:tc>
      </w:tr>
      <w:tr>
        <w:trPr/>
        <w:tc>
          <w:tcPr>
            <w:tcW w:w="6109" w:type="dxa"/>
            <w:tcBorders/>
            <w:shd w:fill="CCEEFF" w:val="clear"/>
            <w:vAlign w:val="center"/>
          </w:tcPr>
          <w:p>
            <w:pPr>
              <w:pStyle w:val="TableContents"/>
              <w:bidi w:val="0"/>
              <w:spacing w:before="0" w:after="283"/>
              <w:jc w:val="left"/>
              <w:rPr/>
            </w:pPr>
            <w:r>
              <w:rPr/>
              <w:t>Principal repayments of finance leases</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(80</w:t>
            </w:r>
          </w:p>
        </w:tc>
        <w:tc>
          <w:tcPr>
            <w:tcW w:w="190" w:type="dxa"/>
            <w:tcBorders/>
            <w:shd w:fill="CCEEFF" w:val="clear"/>
            <w:vAlign w:val="center"/>
          </w:tcPr>
          <w:p>
            <w:pPr>
              <w:pStyle w:val="TableContents"/>
              <w:bidi w:val="0"/>
              <w:spacing w:before="0" w:after="283"/>
              <w:jc w:val="left"/>
              <w:rPr/>
            </w:pPr>
            <w:r>
              <w:rPr/>
              <w:t>)</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(73</w:t>
            </w:r>
          </w:p>
        </w:tc>
        <w:tc>
          <w:tcPr>
            <w:tcW w:w="769" w:type="dxa"/>
            <w:tcBorders/>
            <w:shd w:fill="CCEEFF" w:val="clear"/>
            <w:vAlign w:val="center"/>
          </w:tcPr>
          <w:p>
            <w:pPr>
              <w:pStyle w:val="TableContents"/>
              <w:bidi w:val="0"/>
              <w:spacing w:before="0" w:after="283"/>
              <w:jc w:val="left"/>
              <w:rPr/>
            </w:pPr>
            <w:r>
              <w:rPr/>
              <w:t>)</w:t>
            </w:r>
          </w:p>
        </w:tc>
      </w:tr>
      <w:tr>
        <w:trPr/>
        <w:tc>
          <w:tcPr>
            <w:tcW w:w="6109" w:type="dxa"/>
            <w:tcBorders/>
            <w:vAlign w:val="center"/>
          </w:tcPr>
          <w:p>
            <w:pPr>
              <w:pStyle w:val="TableContents"/>
              <w:bidi w:val="0"/>
              <w:spacing w:before="0" w:after="283"/>
              <w:jc w:val="left"/>
              <w:rPr/>
            </w:pPr>
            <w:r>
              <w:rPr/>
              <w:t>Issuance of vested award shares</w:t>
            </w:r>
          </w:p>
        </w:tc>
        <w:tc>
          <w:tcPr>
            <w:tcW w:w="90" w:type="dxa"/>
            <w:tcBorders/>
            <w:vAlign w:val="center"/>
          </w:tcPr>
          <w:p>
            <w:pPr>
              <w:pStyle w:val="TableContents"/>
              <w:bidi w:val="0"/>
              <w:spacing w:before="0" w:after="283"/>
              <w:jc w:val="left"/>
              <w:rPr/>
            </w:pPr>
            <w:r>
              <w:rPr/>
              <w:t> </w:t>
            </w:r>
          </w:p>
        </w:tc>
        <w:tc>
          <w:tcPr>
            <w:tcW w:w="25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tcMar>
              <w:bottom w:w="28" w:type="dxa"/>
            </w:tcMar>
            <w:vAlign w:val="center"/>
          </w:tcPr>
          <w:p>
            <w:pPr>
              <w:pStyle w:val="TableContents"/>
              <w:bidi w:val="0"/>
              <w:spacing w:before="0" w:after="283"/>
              <w:jc w:val="right"/>
              <w:rPr/>
            </w:pPr>
            <w:r>
              <w:rPr/>
              <w:t>(151</w:t>
            </w:r>
          </w:p>
        </w:tc>
        <w:tc>
          <w:tcPr>
            <w:tcW w:w="190" w:type="dxa"/>
            <w:tcBorders/>
            <w:vAlign w:val="center"/>
          </w:tcPr>
          <w:p>
            <w:pPr>
              <w:pStyle w:val="TableContents"/>
              <w:bidi w:val="0"/>
              <w:spacing w:before="0" w:after="283"/>
              <w:jc w:val="left"/>
              <w:rPr/>
            </w:pPr>
            <w:r>
              <w:rPr/>
              <w:t>)</w:t>
            </w:r>
          </w:p>
        </w:tc>
        <w:tc>
          <w:tcPr>
            <w:tcW w:w="137" w:type="dxa"/>
            <w:tcBorders/>
            <w:vAlign w:val="center"/>
          </w:tcPr>
          <w:p>
            <w:pPr>
              <w:pStyle w:val="TableContents"/>
              <w:bidi w:val="0"/>
              <w:spacing w:before="0" w:after="283"/>
              <w:jc w:val="left"/>
              <w:rPr/>
            </w:pPr>
            <w:r>
              <w:rPr/>
              <w:t> </w:t>
            </w:r>
          </w:p>
        </w:tc>
        <w:tc>
          <w:tcPr>
            <w:tcW w:w="25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tcMar>
              <w:bottom w:w="28" w:type="dxa"/>
            </w:tcMar>
            <w:vAlign w:val="center"/>
          </w:tcPr>
          <w:p>
            <w:pPr>
              <w:pStyle w:val="TableContents"/>
              <w:bidi w:val="0"/>
              <w:spacing w:before="0" w:after="283"/>
              <w:jc w:val="right"/>
              <w:rPr/>
            </w:pPr>
            <w:r>
              <w:rPr/>
              <w:t>(154</w:t>
            </w:r>
          </w:p>
        </w:tc>
        <w:tc>
          <w:tcPr>
            <w:tcW w:w="769" w:type="dxa"/>
            <w:tcBorders/>
            <w:vAlign w:val="center"/>
          </w:tcPr>
          <w:p>
            <w:pPr>
              <w:pStyle w:val="TableContents"/>
              <w:bidi w:val="0"/>
              <w:spacing w:before="0" w:after="283"/>
              <w:jc w:val="left"/>
              <w:rPr/>
            </w:pPr>
            <w:r>
              <w:rPr/>
              <w:t>)</w:t>
            </w:r>
          </w:p>
        </w:tc>
      </w:tr>
      <w:tr>
        <w:trPr/>
        <w:tc>
          <w:tcPr>
            <w:tcW w:w="6109" w:type="dxa"/>
            <w:tcBorders/>
            <w:shd w:fill="CCEEFF" w:val="clear"/>
            <w:vAlign w:val="center"/>
          </w:tcPr>
          <w:p>
            <w:pPr>
              <w:pStyle w:val="TableContents"/>
              <w:bidi w:val="0"/>
              <w:spacing w:before="0" w:after="283"/>
              <w:jc w:val="left"/>
              <w:rPr/>
            </w:pPr>
            <w:r>
              <w:rPr/>
              <w:t>Net cash flows from financing activities – continuing operations</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(1,387</w:t>
            </w:r>
          </w:p>
        </w:tc>
        <w:tc>
          <w:tcPr>
            <w:tcW w:w="190" w:type="dxa"/>
            <w:tcBorders/>
            <w:shd w:fill="CCEEFF" w:val="clear"/>
            <w:vAlign w:val="center"/>
          </w:tcPr>
          <w:p>
            <w:pPr>
              <w:pStyle w:val="TableContents"/>
              <w:bidi w:val="0"/>
              <w:spacing w:before="0" w:after="283"/>
              <w:jc w:val="left"/>
              <w:rPr/>
            </w:pPr>
            <w:r>
              <w:rPr/>
              <w:t>)</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(10,671</w:t>
            </w:r>
          </w:p>
        </w:tc>
        <w:tc>
          <w:tcPr>
            <w:tcW w:w="769" w:type="dxa"/>
            <w:tcBorders/>
            <w:shd w:fill="CCEEFF" w:val="clear"/>
            <w:vAlign w:val="center"/>
          </w:tcPr>
          <w:p>
            <w:pPr>
              <w:pStyle w:val="TableContents"/>
              <w:bidi w:val="0"/>
              <w:spacing w:before="0" w:after="283"/>
              <w:jc w:val="left"/>
              <w:rPr/>
            </w:pPr>
            <w:r>
              <w:rPr/>
              <w:t>)</w:t>
            </w:r>
          </w:p>
        </w:tc>
      </w:tr>
      <w:tr>
        <w:trPr/>
        <w:tc>
          <w:tcPr>
            <w:tcW w:w="6109" w:type="dxa"/>
            <w:tcBorders/>
            <w:vAlign w:val="center"/>
          </w:tcPr>
          <w:p>
            <w:pPr>
              <w:pStyle w:val="TableContents"/>
              <w:bidi w:val="0"/>
              <w:spacing w:before="0" w:after="283"/>
              <w:jc w:val="left"/>
              <w:rPr/>
            </w:pPr>
            <w:r>
              <w:rPr/>
              <w:t>Net cash flows from financing activities – discontinued operations</w:t>
            </w:r>
          </w:p>
        </w:tc>
        <w:tc>
          <w:tcPr>
            <w:tcW w:w="90" w:type="dxa"/>
            <w:tcBorders/>
            <w:vAlign w:val="center"/>
          </w:tcPr>
          <w:p>
            <w:pPr>
              <w:pStyle w:val="TableContents"/>
              <w:bidi w:val="0"/>
              <w:spacing w:before="0" w:after="283"/>
              <w:jc w:val="left"/>
              <w:rPr/>
            </w:pPr>
            <w:r>
              <w:rPr/>
              <w:t> </w:t>
            </w:r>
          </w:p>
        </w:tc>
        <w:tc>
          <w:tcPr>
            <w:tcW w:w="25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tcMar>
              <w:bottom w:w="28" w:type="dxa"/>
            </w:tcMar>
            <w:vAlign w:val="center"/>
          </w:tcPr>
          <w:p>
            <w:pPr>
              <w:pStyle w:val="TableContents"/>
              <w:bidi w:val="0"/>
              <w:spacing w:before="0" w:after="0"/>
              <w:jc w:val="right"/>
              <w:rPr/>
            </w:pPr>
            <w:r>
              <w:rPr/>
              <w:t>—</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tcMar>
              <w:bottom w:w="28" w:type="dxa"/>
            </w:tcMar>
            <w:vAlign w:val="center"/>
          </w:tcPr>
          <w:p>
            <w:pPr>
              <w:pStyle w:val="TableContents"/>
              <w:bidi w:val="0"/>
              <w:spacing w:before="0" w:after="283"/>
              <w:jc w:val="right"/>
              <w:rPr/>
            </w:pPr>
            <w:r>
              <w:rPr/>
              <w:t>7,058</w:t>
            </w:r>
          </w:p>
        </w:tc>
        <w:tc>
          <w:tcPr>
            <w:tcW w:w="769" w:type="dxa"/>
            <w:tcBorders/>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283"/>
              <w:jc w:val="left"/>
              <w:rPr/>
            </w:pPr>
            <w:r>
              <w:rPr/>
              <w:t>Net cash flows from financing activities</w:t>
            </w:r>
          </w:p>
        </w:tc>
        <w:tc>
          <w:tcPr>
            <w:tcW w:w="9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CCEEFF" w:val="clear"/>
            <w:tcMar>
              <w:bottom w:w="28" w:type="dxa"/>
            </w:tcMar>
            <w:vAlign w:val="center"/>
          </w:tcPr>
          <w:p>
            <w:pPr>
              <w:pStyle w:val="TableContents"/>
              <w:bidi w:val="0"/>
              <w:spacing w:before="0" w:after="283"/>
              <w:jc w:val="right"/>
              <w:rPr/>
            </w:pPr>
            <w:r>
              <w:rPr/>
              <w:t>(1,387</w:t>
            </w:r>
          </w:p>
        </w:tc>
        <w:tc>
          <w:tcPr>
            <w:tcW w:w="190" w:type="dxa"/>
            <w:tcBorders/>
            <w:shd w:fill="CCEEFF" w:val="clear"/>
            <w:vAlign w:val="center"/>
          </w:tcPr>
          <w:p>
            <w:pPr>
              <w:pStyle w:val="TableContents"/>
              <w:bidi w:val="0"/>
              <w:spacing w:before="0" w:after="283"/>
              <w:jc w:val="left"/>
              <w:rPr/>
            </w:pPr>
            <w:r>
              <w:rPr/>
              <w:t>)</w:t>
            </w:r>
          </w:p>
        </w:tc>
        <w:tc>
          <w:tcPr>
            <w:tcW w:w="137"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CCEEFF" w:val="clear"/>
            <w:tcMar>
              <w:bottom w:w="28" w:type="dxa"/>
            </w:tcMar>
            <w:vAlign w:val="center"/>
          </w:tcPr>
          <w:p>
            <w:pPr>
              <w:pStyle w:val="TableContents"/>
              <w:bidi w:val="0"/>
              <w:spacing w:before="0" w:after="283"/>
              <w:jc w:val="right"/>
              <w:rPr/>
            </w:pPr>
            <w:r>
              <w:rPr/>
              <w:t>(3,613</w:t>
            </w:r>
          </w:p>
        </w:tc>
        <w:tc>
          <w:tcPr>
            <w:tcW w:w="769" w:type="dxa"/>
            <w:tcBorders/>
            <w:shd w:fill="CCEEFF" w:val="clear"/>
            <w:vAlign w:val="center"/>
          </w:tcPr>
          <w:p>
            <w:pPr>
              <w:pStyle w:val="TableContents"/>
              <w:bidi w:val="0"/>
              <w:spacing w:before="0" w:after="283"/>
              <w:jc w:val="left"/>
              <w:rPr/>
            </w:pPr>
            <w:r>
              <w:rPr/>
              <w:t>)</w:t>
            </w:r>
          </w:p>
        </w:tc>
      </w:tr>
      <w:tr>
        <w:trPr/>
        <w:tc>
          <w:tcPr>
            <w:tcW w:w="61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769" w:type="dxa"/>
            <w:tcBorders/>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283"/>
              <w:jc w:val="left"/>
              <w:rPr/>
            </w:pPr>
            <w:r>
              <w:rPr/>
              <w:t>Net change in cash and cash equivalents</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(26,277</w:t>
            </w:r>
          </w:p>
        </w:tc>
        <w:tc>
          <w:tcPr>
            <w:tcW w:w="190" w:type="dxa"/>
            <w:tcBorders/>
            <w:shd w:fill="CCEEFF" w:val="clear"/>
            <w:vAlign w:val="center"/>
          </w:tcPr>
          <w:p>
            <w:pPr>
              <w:pStyle w:val="TableContents"/>
              <w:bidi w:val="0"/>
              <w:spacing w:before="0" w:after="283"/>
              <w:jc w:val="left"/>
              <w:rPr/>
            </w:pPr>
            <w:r>
              <w:rPr/>
              <w:t>)</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18,494</w:t>
            </w:r>
          </w:p>
        </w:tc>
        <w:tc>
          <w:tcPr>
            <w:tcW w:w="769" w:type="dxa"/>
            <w:tcBorders/>
            <w:shd w:fill="CCEEFF" w:val="cle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283"/>
              <w:jc w:val="left"/>
              <w:rPr/>
            </w:pPr>
            <w:r>
              <w:rPr/>
              <w:t>Net (Increase) decrease in cash and cash equivalents – discontinued operations</w:t>
            </w:r>
          </w:p>
        </w:tc>
        <w:tc>
          <w:tcPr>
            <w:tcW w:w="90" w:type="dxa"/>
            <w:tcBorders/>
            <w:vAlign w:val="center"/>
          </w:tcPr>
          <w:p>
            <w:pPr>
              <w:pStyle w:val="TableContents"/>
              <w:bidi w:val="0"/>
              <w:spacing w:before="0" w:after="283"/>
              <w:jc w:val="left"/>
              <w:rPr/>
            </w:pPr>
            <w:r>
              <w:rPr/>
              <w:t> </w:t>
            </w:r>
          </w:p>
        </w:tc>
        <w:tc>
          <w:tcPr>
            <w:tcW w:w="25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tcMar>
              <w:bottom w:w="28" w:type="dxa"/>
            </w:tcMar>
            <w:vAlign w:val="center"/>
          </w:tcPr>
          <w:p>
            <w:pPr>
              <w:pStyle w:val="TableContents"/>
              <w:bidi w:val="0"/>
              <w:spacing w:before="0" w:after="0"/>
              <w:jc w:val="right"/>
              <w:rPr/>
            </w:pPr>
            <w:r>
              <w:rPr/>
              <w:t>—</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tcMar>
              <w:bottom w:w="28" w:type="dxa"/>
            </w:tcMar>
            <w:vAlign w:val="center"/>
          </w:tcPr>
          <w:p>
            <w:pPr>
              <w:pStyle w:val="TableContents"/>
              <w:bidi w:val="0"/>
              <w:spacing w:before="0" w:after="283"/>
              <w:jc w:val="right"/>
              <w:rPr/>
            </w:pPr>
            <w:r>
              <w:rPr/>
              <w:t>(20,429</w:t>
            </w:r>
          </w:p>
        </w:tc>
        <w:tc>
          <w:tcPr>
            <w:tcW w:w="769" w:type="dxa"/>
            <w:tcBorders/>
            <w:vAlign w:val="center"/>
          </w:tcPr>
          <w:p>
            <w:pPr>
              <w:pStyle w:val="TableContents"/>
              <w:bidi w:val="0"/>
              <w:spacing w:before="0" w:after="283"/>
              <w:jc w:val="left"/>
              <w:rPr/>
            </w:pPr>
            <w:r>
              <w:rPr/>
              <w:t>)</w:t>
            </w:r>
          </w:p>
        </w:tc>
      </w:tr>
      <w:tr>
        <w:trPr/>
        <w:tc>
          <w:tcPr>
            <w:tcW w:w="6109" w:type="dxa"/>
            <w:tcBorders/>
            <w:shd w:fill="CCEEFF" w:val="clear"/>
            <w:vAlign w:val="center"/>
          </w:tcPr>
          <w:p>
            <w:pPr>
              <w:pStyle w:val="TableContents"/>
              <w:bidi w:val="0"/>
              <w:spacing w:before="0" w:after="283"/>
              <w:jc w:val="left"/>
              <w:rPr/>
            </w:pPr>
            <w:r>
              <w:rPr/>
              <w:t>Net increase (decrease) in cash and cash equivalents – continuing operations</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(26,277</w:t>
            </w:r>
          </w:p>
        </w:tc>
        <w:tc>
          <w:tcPr>
            <w:tcW w:w="190" w:type="dxa"/>
            <w:tcBorders/>
            <w:shd w:fill="CCEEFF" w:val="clear"/>
            <w:vAlign w:val="center"/>
          </w:tcPr>
          <w:p>
            <w:pPr>
              <w:pStyle w:val="TableContents"/>
              <w:bidi w:val="0"/>
              <w:spacing w:before="0" w:after="283"/>
              <w:jc w:val="left"/>
              <w:rPr/>
            </w:pPr>
            <w:r>
              <w:rPr/>
              <w:t>)</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(1,935</w:t>
            </w:r>
          </w:p>
        </w:tc>
        <w:tc>
          <w:tcPr>
            <w:tcW w:w="769" w:type="dxa"/>
            <w:tcBorders/>
            <w:shd w:fill="CCEEFF" w:val="clear"/>
            <w:vAlign w:val="center"/>
          </w:tcPr>
          <w:p>
            <w:pPr>
              <w:pStyle w:val="TableContents"/>
              <w:bidi w:val="0"/>
              <w:spacing w:before="0" w:after="283"/>
              <w:jc w:val="left"/>
              <w:rPr/>
            </w:pPr>
            <w:r>
              <w:rPr/>
              <w:t>)</w:t>
            </w:r>
          </w:p>
        </w:tc>
      </w:tr>
      <w:tr>
        <w:trPr/>
        <w:tc>
          <w:tcPr>
            <w:tcW w:w="61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769" w:type="dxa"/>
            <w:tcBorders/>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283"/>
              <w:jc w:val="left"/>
              <w:rPr/>
            </w:pPr>
            <w:r>
              <w:rPr/>
              <w:t>Cash and cash equivalents at beginning of period – continuing operations</w:t>
            </w:r>
          </w:p>
        </w:tc>
        <w:tc>
          <w:tcPr>
            <w:tcW w:w="9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CCEEFF" w:val="clear"/>
            <w:tcMar>
              <w:bottom w:w="28" w:type="dxa"/>
            </w:tcMar>
            <w:vAlign w:val="center"/>
          </w:tcPr>
          <w:p>
            <w:pPr>
              <w:pStyle w:val="TableContents"/>
              <w:bidi w:val="0"/>
              <w:spacing w:before="0" w:after="283"/>
              <w:jc w:val="right"/>
              <w:rPr/>
            </w:pPr>
            <w:r>
              <w:rPr/>
              <w:t>50,930</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CCEEFF" w:val="clear"/>
            <w:tcMar>
              <w:bottom w:w="28" w:type="dxa"/>
            </w:tcMar>
            <w:vAlign w:val="center"/>
          </w:tcPr>
          <w:p>
            <w:pPr>
              <w:pStyle w:val="TableContents"/>
              <w:bidi w:val="0"/>
              <w:spacing w:before="0" w:after="283"/>
              <w:jc w:val="right"/>
              <w:rPr/>
            </w:pPr>
            <w:r>
              <w:rPr/>
              <w:t>41,037</w:t>
            </w:r>
          </w:p>
        </w:tc>
        <w:tc>
          <w:tcPr>
            <w:tcW w:w="769" w:type="dxa"/>
            <w:tcBorders/>
            <w:shd w:fill="CCEEFF" w:val="cle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769" w:type="dxa"/>
            <w:tcBorders/>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283"/>
              <w:jc w:val="left"/>
              <w:rPr/>
            </w:pPr>
            <w:r>
              <w:rPr/>
              <w:t>Cash and cash equivalents at end of period – continuing operations</w:t>
            </w:r>
          </w:p>
        </w:tc>
        <w:tc>
          <w:tcPr>
            <w:tcW w:w="9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pPr>
            <w:r>
              <w:rPr/>
              <w:t>24,653</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pPr>
            <w:r>
              <w:rPr/>
              <w:t>39,102</w:t>
            </w:r>
          </w:p>
        </w:tc>
        <w:tc>
          <w:tcPr>
            <w:tcW w:w="769" w:type="dxa"/>
            <w:tcBorders/>
            <w:shd w:fill="CCEEFF" w:val="cle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769" w:type="dxa"/>
            <w:tcBorders/>
            <w:vAlign w:val="center"/>
          </w:tcPr>
          <w:p>
            <w:pPr>
              <w:pStyle w:val="TableContents"/>
              <w:bidi w:val="0"/>
              <w:spacing w:before="0" w:after="283"/>
              <w:ind w:left="0" w:right="0" w:hanging="216"/>
              <w:jc w:val="left"/>
              <w:rPr/>
            </w:pPr>
            <w:r>
              <w:rPr/>
              <w:t> </w:t>
            </w:r>
          </w:p>
        </w:tc>
      </w:tr>
      <w:tr>
        <w:trPr/>
        <w:tc>
          <w:tcPr>
            <w:tcW w:w="610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769" w:type="dxa"/>
            <w:tcBorders/>
            <w:shd w:fill="CCEEFF" w:val="clear"/>
            <w:vAlign w:val="center"/>
          </w:tcPr>
          <w:p>
            <w:pPr>
              <w:pStyle w:val="TableContents"/>
              <w:bidi w:val="0"/>
              <w:spacing w:before="0" w:after="283"/>
              <w:ind w:left="0" w:right="0" w:hanging="216"/>
              <w:jc w:val="left"/>
              <w:rPr/>
            </w:pPr>
            <w:r>
              <w:rPr/>
              <w:t> </w:t>
            </w:r>
          </w:p>
        </w:tc>
      </w:tr>
      <w:tr>
        <w:trPr/>
        <w:tc>
          <w:tcPr>
            <w:tcW w:w="6109" w:type="dxa"/>
            <w:tcBorders/>
            <w:vAlign w:val="center"/>
          </w:tcPr>
          <w:p>
            <w:pPr>
              <w:pStyle w:val="TableContents"/>
              <w:bidi w:val="0"/>
              <w:spacing w:before="0" w:after="283"/>
              <w:jc w:val="left"/>
              <w:rPr/>
            </w:pPr>
            <w:r>
              <w:rPr/>
              <w:t>Federal and state income taxes paid (net of refunds received)</w:t>
            </w:r>
          </w:p>
        </w:tc>
        <w:tc>
          <w:tcPr>
            <w:tcW w:w="90" w:type="dxa"/>
            <w:tcBorders/>
            <w:vAlign w:val="center"/>
          </w:tcPr>
          <w:p>
            <w:pPr>
              <w:pStyle w:val="TableContents"/>
              <w:bidi w:val="0"/>
              <w:spacing w:before="0" w:after="283"/>
              <w:jc w:val="left"/>
              <w:rPr/>
            </w:pPr>
            <w:r>
              <w:rPr/>
              <w:t> </w:t>
            </w:r>
          </w:p>
        </w:tc>
        <w:tc>
          <w:tcPr>
            <w:tcW w:w="258" w:type="dxa"/>
            <w:tcBorders>
              <w:bottom w:val="double" w:sz="6" w:space="0" w:color="000000"/>
            </w:tcBorders>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tcMar>
              <w:bottom w:w="28" w:type="dxa"/>
            </w:tcMar>
            <w:vAlign w:val="center"/>
          </w:tcPr>
          <w:p>
            <w:pPr>
              <w:pStyle w:val="TableContents"/>
              <w:bidi w:val="0"/>
              <w:spacing w:before="0" w:after="283"/>
              <w:jc w:val="right"/>
              <w:rPr/>
            </w:pPr>
            <w:r>
              <w:rPr/>
              <w:t>4,101</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58" w:type="dxa"/>
            <w:tcBorders>
              <w:bottom w:val="double" w:sz="6" w:space="0" w:color="000000"/>
            </w:tcBorders>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tcMar>
              <w:bottom w:w="28" w:type="dxa"/>
            </w:tcMar>
            <w:vAlign w:val="center"/>
          </w:tcPr>
          <w:p>
            <w:pPr>
              <w:pStyle w:val="TableContents"/>
              <w:bidi w:val="0"/>
              <w:spacing w:before="0" w:after="283"/>
              <w:jc w:val="right"/>
              <w:rPr/>
            </w:pPr>
            <w:r>
              <w:rPr/>
              <w:t>2,848</w:t>
            </w:r>
          </w:p>
        </w:tc>
        <w:tc>
          <w:tcPr>
            <w:tcW w:w="769" w:type="dxa"/>
            <w:tcBorders/>
            <w:vAlign w:val="center"/>
          </w:tcPr>
          <w:p>
            <w:pPr>
              <w:pStyle w:val="TableContents"/>
              <w:bidi w:val="0"/>
              <w:spacing w:before="0" w:after="283"/>
              <w:jc w:val="left"/>
              <w:rPr/>
            </w:pPr>
            <w:r>
              <w:rPr/>
              <w:t> </w:t>
            </w:r>
          </w:p>
        </w:tc>
      </w:tr>
    </w:tbl>
    <w:p>
      <w:pPr>
        <w:pStyle w:val="TextBody"/>
        <w:bidi w:val="0"/>
        <w:spacing w:before="6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 w:name="a_019"/>
      <w:bookmarkStart w:id="11" w:name="a_019"/>
      <w:bookmarkEnd w:id="11"/>
    </w:p>
    <w:tbl>
      <w:tblPr>
        <w:tblW w:w="1728" w:type="dxa"/>
        <w:jc w:val="left"/>
        <w:tblInd w:w="0" w:type="dxa"/>
        <w:tblLayout w:type="fixed"/>
        <w:tblCellMar>
          <w:top w:w="0" w:type="dxa"/>
          <w:left w:w="0" w:type="dxa"/>
          <w:bottom w:w="0" w:type="dxa"/>
          <w:right w:w="0" w:type="dxa"/>
        </w:tblCellMar>
      </w:tblPr>
      <w:tblGrid>
        <w:gridCol w:w="68"/>
        <w:gridCol w:w="230"/>
        <w:gridCol w:w="143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1.</w:t>
            </w:r>
          </w:p>
        </w:tc>
        <w:tc>
          <w:tcPr>
            <w:tcW w:w="1430" w:type="dxa"/>
            <w:tcBorders/>
            <w:vAlign w:val="center"/>
          </w:tcPr>
          <w:p>
            <w:pPr>
              <w:pStyle w:val="TableContents"/>
              <w:bidi w:val="0"/>
              <w:spacing w:before="0" w:after="283"/>
              <w:jc w:val="both"/>
              <w:rPr>
                <w:b/>
              </w:rPr>
            </w:pPr>
            <w:r>
              <w:rPr>
                <w:b/>
              </w:rPr>
              <w:t>Organization</w:t>
            </w:r>
          </w:p>
        </w:tc>
      </w:tr>
    </w:tbl>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 Holdings is a North Dakota business corporation that is the stock holding company of Nodak Insurance and became such in connection with the Nodak conversion, whereby Nodak Mutual Insurance Company converted from a mutual to stock form of organization and the creation of a mutual holding company. The Nodak conversion was consummated on March 13, 2017. Immediately following the Nodak conversion, all of the outstanding shares of common stock of Nodak Insurance were issued to Nodak Mutual Group, which then contributed the shares to NI Holdings in exchange for 55% of the outstanding shares of common stock of NI Holdings. Nodak Insurance then became a wholly-owned stock subsidiary of NI Holdings. Prior to completion of the Nodak conversion, NI Holdings conducted no business and had no assets or liabilities. As a result of the Nodak conversion, NI Holdings became the holding company for Nodak Insurance and its existing subsidiaries.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consolidated financial statements include the financial position and results of operations of NI Holdings and the following other entities: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Nodak Insurance Company</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is the largest domestic property and casualty insurance company in North Dakota, offering private passenger auto, homeowners, farmowners, commercial multi-peril, crop hail, and Federal multi-peril crop insurance coverages through its captive agents in the state.</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Nodak Agency, Inc.</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Agency is an inactive shell corporation.</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American West Insurance Company</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West is a property and casualty insurance company licensed in eight states in the Midwest and Western regions of the United States (“U.S.”). American West primarily writes private passenger auto, homeowners, and farm coverages in South Dakota. American West also writes private passenger auto coverage in North Dakota, as well as crop hail and Federal multi-peril crop insurance coverages in Minnesota and South Dakota.</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Primero Insurance Company</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Primero is a wholly-owned subsidiary of Tri-State, Ltd. Tri-State, Ltd. is an inactive shell corporation that is 100% owned by Nodak Insurance. Primero is a property and casualty insurance company that primarily provides non-standard auto coverage in the states of Arizona, North Dakota, South Dakota, and Nevada. The Company made the strategic decision to stop writing non-standard auto business for Primero in Nevada during 2024 and in Arizona and South Dakota during the third quarter of 2025, and existing policies will be non-renewed.</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Battle Creek Insurance Company</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Battle Creek is a property and casualty insurance company writing private passenger auto, homeowners, and farm coverages solely in the state of Nebraska. Battle Creek became affiliated with Nodak Insurance in 2011 and, prior to January 2, 2024, was controlled by Nodak Insurance via a surplus note. On January 2, 2024, Battle Creek issued 300,000 shares of its common stock to Nodak Insurance at a $10.00 per share par value and became a wholly-owned subsidiary of Nodak Insurance. Because we concluded that we controlled Battle Creek prior to January 2, 2024, we consolidated the financial statements of Battle Creek, and Battle Creek’s policyholders’ interest in Battle Creek was reflected as a non-controlling interest in shareholders’ equity in our Consolidated Balance Sheets and its net income or loss was excluded from net income or loss attributed to NI Holdings in our Consolidated Statements of Operations. Subsequent to January 2, 2024, Battle Creek is fully consolidated in our Consolidated Balance Sheets and Consolidated Statements of Operations and, as such, no longer reflected as a non-controlling interest.</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 Auto Insurance Company</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Auto is a property and casualty insurance company that provides non-standard auto coverage in the state of Illinois. The Company made the strategic decision to stop writing non-standard auto business for Direct Auto in Illinois during the third quarter of 2025, and existing policies will be non-renewed.</w:t>
      </w:r>
    </w:p>
    <w:p>
      <w:pPr>
        <w:pStyle w:val="TextBody"/>
        <w:bidi w:val="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Westminster American Insurance Company</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Westminster was a property and casualty insurance company underwriting commercial multi-peril insurance in 18 states and the District of Columbia. Westminster was sold to Scott Insurance Holdings on June 30, 2024. Subsequent to the date of sale, Westminster is reflected as discontinued operations within our Consolidated Balance Sheets and Consolidated Statements of Operations. For additional information see Part I, Item 1, Note 19 “Discontinued Operations” of this Form 10-Q.</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Organizational Structure and Credit Ratings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markets and distributes its policies through its captive agents, while all other companies utilize the independent agent distribution channel. Additionally, all of the Company’s insurance subsidiary and affiliate companies, excluding Westminster, are rated “A” Excellent by A.M. Best Company, Inc. (“AM Best”), a global credit rating agency specializing in the insurance industry.</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same executive management team provides oversight and strategic direction for the entire organization. Westminster personnel managed the day-to-day operations of their company prior to the date of sale.</w:t>
      </w:r>
    </w:p>
    <w:p>
      <w:pPr>
        <w:pStyle w:val="TextBody"/>
        <w:bidi w:val="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Basis of Presentation and Accounting Policies</w:t>
      </w:r>
    </w:p>
    <w:p>
      <w:pPr>
        <w:pStyle w:val="TextBody"/>
        <w:bidi w:val="0"/>
        <w:spacing w:before="0" w:after="20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All material intercompany transactions and balances have been eliminated. These financial statements should be read in conjunction with the financial statements and notes thereto included in our 2024 Annual Report.</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 at December 31, 2024, has been derived from the audited consolidated financial statements at that date but does not include all of the information and footnotes required by GAAP for complete financial statements.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interim unaudited consolidated financial statements in conformity with GAAP requires management to make estimates and assumptions that affect the reported amounts of assets and liabilities and disclosure of contingent assets and liabilities at the date of the interim unaudited consolidated financial statements and the reported amounts of revenues, claims, and expenses during the reporting period.</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estimates and assumptions that can have a significant effect on amounts and disclosures we report in our unaudited consolidated financial statements. The most significant estimates relate to our reserves for unpaid losses and loss adjustment expenses, earned premiums for crop insurance, valuation of investments, determination of credit impairments, valuation allowances for deferred income tax assets, deferred policy acquisition costs, as well as valuation and impairments of goodwill and other intangible assets. While we believe our estimates are appropriate, the ultimate amounts may differ from the estimates provided. We regularly review our methods for making these estimates as well as the continued appropriateness of the estimated amounts, and we reflect any adjustment we consider necessary in our current results of operations.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results for the interim periods ended September 30, 2025, are not necessarily indicative of the results that may be expected for the year ending December 31, 2025.</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2024 Annual Report describes the accounting policies and estimates that are critical to the understanding of our results of operations, financial condition, and liquidity. The accounting policies and estimation processes described in the 2024 Annual Report were consistently applied to the unaudited consolidated financial statements as of and for the nine months ended September 30, 2025 and 2024.</w:t>
      </w:r>
    </w:p>
    <w:p>
      <w:pPr>
        <w:pStyle w:val="TextBody"/>
        <w:bidi w:val="0"/>
        <w:spacing w:before="0" w:after="20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Enactment of the One Big Beautiful Bill Act of 2025</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U.S. enacted a budget reconciliation package knows as the One Big Beautiful Bill Act of 2025 (OBBBA) which includes both tax and non-tax provisions. The legislation has multiple effective dates, with certain provisions effective in 2025 and others through 2027. The Company believes that the changes resulting from the tax provisions in the OBBBA are not expected to have a material impact on the Company’s results of operations.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2024, NI Holdings entered into a Stock Purchase Agreement (“Purchase Agreement”) to sell its subsidiary, Westminster, to Scott Insurance Holdings, a privately owned Maryland limited liability company. Scott Insurance Holdings is affiliated with John Scott, Sr., the father of the president of Westminster, John Scott, Jr. The sale closed on June 30, 2024. The Purchase Agreement included a cash purchase price of $10,500, subject to certain post-closing adjustments, including a post-closing payment to NI Holdings for the amount by which the ending statutory surplus balance for Westminster exceeded $20,000. The post-closing payment received from Scott Insurance Holdings during the third quarter of 2024 was $1,772 and has been included as an adjustment to the purchase price for the calculation of the loss on the sale of Westminster. The sale of Westminster, which represented the majority of our Commercial segment in prior periods, was a strategic shift that has had a major effect on our operations and financial results. Therefore, Westminster has been reported as discontinued operations in the Consolidated Balance Sheets, Consolidated Statements of Operations, and Consolidated Statements of Cash Flows for all periods presented in this Form 10-Q. All current and prior periods reflected in this Form 10-Q have been presented as continuing and discontinued operations, unless otherwise noted. For additional information see Part I, Item 1, Note 19 “Discontinued Operations” of this Form 10-Q.</w:t>
      </w:r>
    </w:p>
    <w:p>
      <w:pPr>
        <w:pStyle w:val="TextBody"/>
        <w:bidi w:val="0"/>
        <w:spacing w:before="0" w:after="20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20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Adopted</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regarding accounting pronouncements that the Company adopted during the periods presented, see Part II, Item 8, Note 2 “Recent Accounting Pronouncements” section of the 2024 Annual Report.</w:t>
      </w:r>
    </w:p>
    <w:p>
      <w:pPr>
        <w:pStyle w:val="TextBody"/>
        <w:bidi w:val="0"/>
        <w:spacing w:before="0" w:after="20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 Yet Adopted</w:t>
      </w:r>
    </w:p>
    <w:p>
      <w:pPr>
        <w:pStyle w:val="TextBody"/>
        <w:bidi w:val="0"/>
        <w:spacing w:before="0" w:after="20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Improvements to Income Tax Disclosures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This guidance requires that an entity, on an annual basis, disclose additional income tax information, primarily related to the rate reconciliation and income taxes paid. The guidance is intended to enhance the transparency and decision usefulness of income tax disclosures. The amendments in this update are effective for annual periods beginning after December 15, 2024. We are currently evaluating the impact of the new standard on our consolidated financial statements, which is expected to result in enhanced disclosures.</w:t>
      </w:r>
    </w:p>
    <w:p>
      <w:pPr>
        <w:pStyle w:val="TextBody"/>
        <w:bidi w:val="0"/>
        <w:spacing w:before="0" w:after="20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Income Statement Expenses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 Expense Disaggregation Disclosures (Subtopic 220-40): Disaggregation of Income Statement Expenses.” This guidance is intended to improve disclosures about a public business entity's expenses and address requests from investors for more detailed information about the types of expenses in commonly presented expense captions. Such information should allow investors to better understand an entity's performance, assess future cash flows, and compare performance over time and with other entities. The amendments will require public business entities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statement of operations, and the total amount of an entity's selling expenses. The amendments are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pStyle w:val="TextBody"/>
        <w:bidi w:val="0"/>
        <w:spacing w:before="0" w:after="20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Internal-Use Software</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 - Goodwill and Other - Internal-Use Software (Subtopic 350-40): Targeted Improvements to the Accounting for Internal-Use Software."  This guidance modernizes the accounting for internal-use software under ASC 350-40 to adapt to different development practices, especially agile and iterative methods. The updated guidance requires that an entity capitalize software costs when both: 1) management has authorized and committed to the funding of the software project, and 2) it is probable that the project will be completed, and the software will be used to perform its intended function. This update is effective for interim and annual periods beginning after December 15, 2027, with early adoption permitted. The Company is currently evaluating the impact of adopting this guidance on the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1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Investments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amortized cost and estimated fair value of fixed income securities, presented on a consolidated basis as of September 30, 2025, and December 31, 2024, were as follows:</w:t>
      </w:r>
    </w:p>
    <w:tbl>
      <w:tblPr>
        <w:tblW w:w="10205" w:type="dxa"/>
        <w:jc w:val="left"/>
        <w:tblInd w:w="0" w:type="dxa"/>
        <w:tblLayout w:type="fixed"/>
        <w:tblCellMar>
          <w:top w:w="0" w:type="dxa"/>
          <w:left w:w="0" w:type="dxa"/>
          <w:bottom w:w="0" w:type="dxa"/>
          <w:right w:w="0" w:type="dxa"/>
        </w:tblCellMar>
      </w:tblPr>
      <w:tblGrid>
        <w:gridCol w:w="3268"/>
        <w:gridCol w:w="90"/>
        <w:gridCol w:w="192"/>
        <w:gridCol w:w="938"/>
        <w:gridCol w:w="90"/>
        <w:gridCol w:w="90"/>
        <w:gridCol w:w="501"/>
        <w:gridCol w:w="854"/>
        <w:gridCol w:w="90"/>
        <w:gridCol w:w="90"/>
        <w:gridCol w:w="266"/>
        <w:gridCol w:w="927"/>
        <w:gridCol w:w="90"/>
        <w:gridCol w:w="90"/>
        <w:gridCol w:w="211"/>
        <w:gridCol w:w="982"/>
        <w:gridCol w:w="125"/>
        <w:gridCol w:w="90"/>
        <w:gridCol w:w="183"/>
        <w:gridCol w:w="898"/>
        <w:gridCol w:w="140"/>
      </w:tblGrid>
      <w:tr>
        <w:trPr/>
        <w:tc>
          <w:tcPr>
            <w:tcW w:w="32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07"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140" w:type="dxa"/>
            <w:tcBorders/>
            <w:vAlign w:val="center"/>
          </w:tcPr>
          <w:p>
            <w:pPr>
              <w:pStyle w:val="TableContents"/>
              <w:bidi w:val="0"/>
              <w:spacing w:before="0" w:after="283"/>
              <w:jc w:val="left"/>
              <w:rPr/>
            </w:pPr>
            <w:r>
              <w:rPr/>
              <w:t> </w:t>
            </w:r>
          </w:p>
        </w:tc>
      </w:tr>
      <w:tr>
        <w:trPr/>
        <w:tc>
          <w:tcPr>
            <w:tcW w:w="32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Cost or </w:t>
              <w:br/>
              <w:t>Amortized</w:t>
              <w:br/>
              <w:t>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w:t>
              <w:br/>
              <w:t>Credit Losses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Gains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140" w:type="dxa"/>
            <w:tcBorders/>
            <w:vAlign w:val="center"/>
          </w:tcPr>
          <w:p>
            <w:pPr>
              <w:pStyle w:val="TableContents"/>
              <w:bidi w:val="0"/>
              <w:spacing w:before="0" w:after="283"/>
              <w:jc w:val="left"/>
              <w:rPr/>
            </w:pPr>
            <w:r>
              <w:rPr/>
              <w:t> </w:t>
            </w:r>
          </w:p>
        </w:tc>
      </w:tr>
      <w:tr>
        <w:trPr/>
        <w:tc>
          <w:tcPr>
            <w:tcW w:w="3268" w:type="dxa"/>
            <w:tcBorders/>
            <w:shd w:fill="CCEEFF" w:val="clear"/>
            <w:vAlign w:val="center"/>
          </w:tcPr>
          <w:p>
            <w:pPr>
              <w:pStyle w:val="TableContents"/>
              <w:bidi w:val="0"/>
              <w:spacing w:before="0" w:after="283"/>
              <w:jc w:val="left"/>
              <w:rPr/>
            </w:pPr>
            <w:r>
              <w:rPr/>
              <w:t>Fixed income securities:</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3268" w:type="dxa"/>
            <w:tcBorders/>
            <w:vAlign w:val="center"/>
          </w:tcPr>
          <w:p>
            <w:pPr>
              <w:pStyle w:val="TableContents"/>
              <w:bidi w:val="0"/>
              <w:spacing w:before="0" w:after="283"/>
              <w:jc w:val="left"/>
              <w:rPr/>
            </w:pPr>
            <w:r>
              <w:rPr/>
              <w:t>U.S. Government and agencies</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8" w:type="dxa"/>
            <w:tcBorders/>
            <w:vAlign w:val="center"/>
          </w:tcPr>
          <w:p>
            <w:pPr>
              <w:pStyle w:val="TableContents"/>
              <w:bidi w:val="0"/>
              <w:spacing w:before="0" w:after="283"/>
              <w:jc w:val="right"/>
              <w:rPr/>
            </w:pPr>
            <w:r>
              <w:rPr/>
              <w:t>12,110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pPr>
            <w:r>
              <w:rPr/>
              <w:t>$</w:t>
            </w:r>
          </w:p>
        </w:tc>
        <w:tc>
          <w:tcPr>
            <w:tcW w:w="85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927" w:type="dxa"/>
            <w:tcBorders/>
            <w:vAlign w:val="center"/>
          </w:tcPr>
          <w:p>
            <w:pPr>
              <w:pStyle w:val="TableContents"/>
              <w:bidi w:val="0"/>
              <w:spacing w:before="0" w:after="283"/>
              <w:jc w:val="right"/>
              <w:rPr/>
            </w:pPr>
            <w:r>
              <w:rPr/>
              <w:t>154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982" w:type="dxa"/>
            <w:tcBorders/>
            <w:vAlign w:val="center"/>
          </w:tcPr>
          <w:p>
            <w:pPr>
              <w:pStyle w:val="TableContents"/>
              <w:bidi w:val="0"/>
              <w:spacing w:before="0" w:after="283"/>
              <w:jc w:val="right"/>
              <w:rPr/>
            </w:pPr>
            <w:r>
              <w:rPr/>
              <w:t>(117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898" w:type="dxa"/>
            <w:tcBorders/>
            <w:vAlign w:val="center"/>
          </w:tcPr>
          <w:p>
            <w:pPr>
              <w:pStyle w:val="TableContents"/>
              <w:bidi w:val="0"/>
              <w:spacing w:before="0" w:after="283"/>
              <w:jc w:val="right"/>
              <w:rPr/>
            </w:pPr>
            <w:r>
              <w:rPr/>
              <w:t>12,147</w:t>
            </w:r>
          </w:p>
        </w:tc>
        <w:tc>
          <w:tcPr>
            <w:tcW w:w="140" w:type="dxa"/>
            <w:tcBorders/>
            <w:vAlign w:val="center"/>
          </w:tcPr>
          <w:p>
            <w:pPr>
              <w:pStyle w:val="TableContents"/>
              <w:bidi w:val="0"/>
              <w:spacing w:before="0" w:after="283"/>
              <w:jc w:val="left"/>
              <w:rPr/>
            </w:pPr>
            <w:r>
              <w:rPr/>
              <w:t> </w:t>
            </w:r>
          </w:p>
        </w:tc>
      </w:tr>
      <w:tr>
        <w:trPr/>
        <w:tc>
          <w:tcPr>
            <w:tcW w:w="3268" w:type="dxa"/>
            <w:tcBorders/>
            <w:shd w:fill="CCEEFF" w:val="clear"/>
            <w:vAlign w:val="center"/>
          </w:tcPr>
          <w:p>
            <w:pPr>
              <w:pStyle w:val="TableContents"/>
              <w:bidi w:val="0"/>
              <w:spacing w:before="0" w:after="283"/>
              <w:jc w:val="left"/>
              <w:rPr/>
            </w:pPr>
            <w:r>
              <w:rPr/>
              <w:t>Obligations of states and political subdivisions</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50,748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(5,081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45,785</w:t>
            </w:r>
          </w:p>
        </w:tc>
        <w:tc>
          <w:tcPr>
            <w:tcW w:w="140" w:type="dxa"/>
            <w:tcBorders/>
            <w:shd w:fill="CCEEFF" w:val="clear"/>
            <w:vAlign w:val="center"/>
          </w:tcPr>
          <w:p>
            <w:pPr>
              <w:pStyle w:val="TableContents"/>
              <w:bidi w:val="0"/>
              <w:spacing w:before="0" w:after="283"/>
              <w:jc w:val="left"/>
              <w:rPr/>
            </w:pPr>
            <w:r>
              <w:rPr/>
              <w:t> </w:t>
            </w:r>
          </w:p>
        </w:tc>
      </w:tr>
      <w:tr>
        <w:trPr/>
        <w:tc>
          <w:tcPr>
            <w:tcW w:w="3268" w:type="dxa"/>
            <w:tcBorders/>
            <w:vAlign w:val="center"/>
          </w:tcPr>
          <w:p>
            <w:pPr>
              <w:pStyle w:val="TableContents"/>
              <w:bidi w:val="0"/>
              <w:spacing w:before="0" w:after="283"/>
              <w:jc w:val="left"/>
              <w:rPr/>
            </w:pPr>
            <w:r>
              <w:rPr/>
              <w:t>Corporate securities</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131,879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1,459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(3,955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129,383</w:t>
            </w:r>
          </w:p>
        </w:tc>
        <w:tc>
          <w:tcPr>
            <w:tcW w:w="140" w:type="dxa"/>
            <w:tcBorders/>
            <w:vAlign w:val="center"/>
          </w:tcPr>
          <w:p>
            <w:pPr>
              <w:pStyle w:val="TableContents"/>
              <w:bidi w:val="0"/>
              <w:spacing w:before="0" w:after="283"/>
              <w:jc w:val="left"/>
              <w:rPr/>
            </w:pPr>
            <w:r>
              <w:rPr/>
              <w:t> </w:t>
            </w:r>
          </w:p>
        </w:tc>
      </w:tr>
      <w:tr>
        <w:trPr/>
        <w:tc>
          <w:tcPr>
            <w:tcW w:w="3268" w:type="dxa"/>
            <w:tcBorders/>
            <w:shd w:fill="CCEEFF" w:val="clear"/>
            <w:vAlign w:val="center"/>
          </w:tcPr>
          <w:p>
            <w:pPr>
              <w:pStyle w:val="TableContents"/>
              <w:bidi w:val="0"/>
              <w:spacing w:before="0" w:after="283"/>
              <w:jc w:val="left"/>
              <w:rPr/>
            </w:pPr>
            <w:r>
              <w:rPr/>
              <w:t>Residential mortgage-backed securities</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74,906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543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(5,363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70,086</w:t>
            </w:r>
          </w:p>
        </w:tc>
        <w:tc>
          <w:tcPr>
            <w:tcW w:w="140" w:type="dxa"/>
            <w:tcBorders/>
            <w:shd w:fill="CCEEFF" w:val="clear"/>
            <w:vAlign w:val="center"/>
          </w:tcPr>
          <w:p>
            <w:pPr>
              <w:pStyle w:val="TableContents"/>
              <w:bidi w:val="0"/>
              <w:spacing w:before="0" w:after="283"/>
              <w:jc w:val="left"/>
              <w:rPr/>
            </w:pPr>
            <w:r>
              <w:rPr/>
              <w:t> </w:t>
            </w:r>
          </w:p>
        </w:tc>
      </w:tr>
      <w:tr>
        <w:trPr/>
        <w:tc>
          <w:tcPr>
            <w:tcW w:w="3268" w:type="dxa"/>
            <w:tcBorders/>
            <w:vAlign w:val="center"/>
          </w:tcPr>
          <w:p>
            <w:pPr>
              <w:pStyle w:val="TableContents"/>
              <w:bidi w:val="0"/>
              <w:spacing w:before="0" w:after="283"/>
              <w:jc w:val="left"/>
              <w:rPr/>
            </w:pPr>
            <w:r>
              <w:rPr/>
              <w:t>Commercial mortgage-backed securities</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30,708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188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(2,231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28,665</w:t>
            </w:r>
          </w:p>
        </w:tc>
        <w:tc>
          <w:tcPr>
            <w:tcW w:w="140" w:type="dxa"/>
            <w:tcBorders/>
            <w:vAlign w:val="center"/>
          </w:tcPr>
          <w:p>
            <w:pPr>
              <w:pStyle w:val="TableContents"/>
              <w:bidi w:val="0"/>
              <w:spacing w:before="0" w:after="283"/>
              <w:jc w:val="left"/>
              <w:rPr/>
            </w:pPr>
            <w:r>
              <w:rPr/>
              <w:t> </w:t>
            </w:r>
          </w:p>
        </w:tc>
      </w:tr>
      <w:tr>
        <w:trPr/>
        <w:tc>
          <w:tcPr>
            <w:tcW w:w="3268" w:type="dxa"/>
            <w:tcBorders/>
            <w:shd w:fill="CCEEFF" w:val="clear"/>
            <w:vAlign w:val="center"/>
          </w:tcPr>
          <w:p>
            <w:pPr>
              <w:pStyle w:val="TableContents"/>
              <w:bidi w:val="0"/>
              <w:spacing w:before="0" w:after="283"/>
              <w:jc w:val="left"/>
              <w:rPr/>
            </w:pPr>
            <w:r>
              <w:rPr/>
              <w:t>Asset-backed securities</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25,599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272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(455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25,416</w:t>
            </w:r>
          </w:p>
        </w:tc>
        <w:tc>
          <w:tcPr>
            <w:tcW w:w="140" w:type="dxa"/>
            <w:tcBorders/>
            <w:shd w:fill="CCEEFF" w:val="clear"/>
            <w:vAlign w:val="center"/>
          </w:tcPr>
          <w:p>
            <w:pPr>
              <w:pStyle w:val="TableContents"/>
              <w:bidi w:val="0"/>
              <w:spacing w:before="0" w:after="283"/>
              <w:jc w:val="left"/>
              <w:rPr/>
            </w:pPr>
            <w:r>
              <w:rPr/>
              <w:t> </w:t>
            </w:r>
          </w:p>
        </w:tc>
      </w:tr>
      <w:tr>
        <w:trPr/>
        <w:tc>
          <w:tcPr>
            <w:tcW w:w="3268" w:type="dxa"/>
            <w:tcBorders/>
            <w:vAlign w:val="center"/>
          </w:tcPr>
          <w:p>
            <w:pPr>
              <w:pStyle w:val="TableContents"/>
              <w:bidi w:val="0"/>
              <w:spacing w:before="0" w:after="283"/>
              <w:jc w:val="left"/>
              <w:rPr/>
            </w:pPr>
            <w:r>
              <w:rPr/>
              <w:t>Redeemable preferred stocks</w:t>
            </w:r>
          </w:p>
        </w:tc>
        <w:tc>
          <w:tcPr>
            <w:tcW w:w="90" w:type="dxa"/>
            <w:tcBorders/>
            <w:vAlign w:val="center"/>
          </w:tcPr>
          <w:p>
            <w:pPr>
              <w:pStyle w:val="TableContents"/>
              <w:bidi w:val="0"/>
              <w:spacing w:before="0" w:after="283"/>
              <w:jc w:val="left"/>
              <w:rPr/>
            </w:pPr>
            <w:r>
              <w:rPr/>
              <w:t> </w:t>
            </w:r>
          </w:p>
        </w:tc>
        <w:tc>
          <w:tcPr>
            <w:tcW w:w="192" w:type="dxa"/>
            <w:tcBorders>
              <w:bottom w:val="single" w:sz="8" w:space="0" w:color="000000"/>
            </w:tcBorders>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tcMar>
              <w:bottom w:w="28" w:type="dxa"/>
            </w:tcMar>
            <w:vAlign w:val="center"/>
          </w:tcPr>
          <w:p>
            <w:pPr>
              <w:pStyle w:val="TableContents"/>
              <w:bidi w:val="0"/>
              <w:spacing w:before="0" w:after="283"/>
              <w:jc w:val="right"/>
              <w:rPr/>
            </w:pPr>
            <w:r>
              <w:rPr/>
              <w:t>3,736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1" w:type="dxa"/>
            <w:tcBorders>
              <w:bottom w:val="single" w:sz="8" w:space="0" w:color="000000"/>
            </w:tcBorders>
            <w:tcMar>
              <w:bottom w:w="28" w:type="dxa"/>
            </w:tcMar>
            <w:vAlign w:val="center"/>
          </w:tcPr>
          <w:p>
            <w:pPr>
              <w:pStyle w:val="TableContents"/>
              <w:bidi w:val="0"/>
              <w:spacing w:before="0" w:after="283"/>
              <w:jc w:val="left"/>
              <w:rPr/>
            </w:pPr>
            <w:r>
              <w:rPr/>
              <w:t> </w:t>
            </w:r>
          </w:p>
        </w:tc>
        <w:tc>
          <w:tcPr>
            <w:tcW w:w="854" w:type="dxa"/>
            <w:tcBorders>
              <w:bottom w:val="single" w:sz="8"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bottom w:val="single" w:sz="8" w:space="0" w:color="000000"/>
            </w:tcBorders>
            <w:tcMar>
              <w:bottom w:w="28" w:type="dxa"/>
            </w:tcMar>
            <w:vAlign w:val="center"/>
          </w:tcPr>
          <w:p>
            <w:pPr>
              <w:pStyle w:val="TableContents"/>
              <w:bidi w:val="0"/>
              <w:spacing w:before="0" w:after="283"/>
              <w:jc w:val="left"/>
              <w:rPr/>
            </w:pPr>
            <w:r>
              <w:rPr/>
              <w:t> </w:t>
            </w:r>
          </w:p>
        </w:tc>
        <w:tc>
          <w:tcPr>
            <w:tcW w:w="927" w:type="dxa"/>
            <w:tcBorders>
              <w:bottom w:val="single" w:sz="8"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tcMar>
              <w:bottom w:w="28" w:type="dxa"/>
            </w:tcMar>
            <w:vAlign w:val="center"/>
          </w:tcPr>
          <w:p>
            <w:pPr>
              <w:pStyle w:val="TableContents"/>
              <w:bidi w:val="0"/>
              <w:spacing w:before="0" w:after="283"/>
              <w:jc w:val="right"/>
              <w:rPr/>
            </w:pPr>
            <w:r>
              <w:rPr/>
              <w:t>(447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bottom w:val="single" w:sz="8" w:space="0" w:color="000000"/>
            </w:tcBorders>
            <w:tcMar>
              <w:bottom w:w="28" w:type="dxa"/>
            </w:tcMar>
            <w:vAlign w:val="center"/>
          </w:tcPr>
          <w:p>
            <w:pPr>
              <w:pStyle w:val="TableContents"/>
              <w:bidi w:val="0"/>
              <w:spacing w:before="0" w:after="283"/>
              <w:jc w:val="left"/>
              <w:rPr/>
            </w:pPr>
            <w:r>
              <w:rPr/>
              <w:t> </w:t>
            </w:r>
          </w:p>
        </w:tc>
        <w:tc>
          <w:tcPr>
            <w:tcW w:w="898" w:type="dxa"/>
            <w:tcBorders>
              <w:bottom w:val="single" w:sz="8" w:space="0" w:color="000000"/>
            </w:tcBorders>
            <w:tcMar>
              <w:bottom w:w="28" w:type="dxa"/>
            </w:tcMar>
            <w:vAlign w:val="center"/>
          </w:tcPr>
          <w:p>
            <w:pPr>
              <w:pStyle w:val="TableContents"/>
              <w:bidi w:val="0"/>
              <w:spacing w:before="0" w:after="283"/>
              <w:jc w:val="right"/>
              <w:rPr/>
            </w:pPr>
            <w:r>
              <w:rPr/>
              <w:t>3,289</w:t>
            </w:r>
          </w:p>
        </w:tc>
        <w:tc>
          <w:tcPr>
            <w:tcW w:w="140" w:type="dxa"/>
            <w:tcBorders/>
            <w:vAlign w:val="center"/>
          </w:tcPr>
          <w:p>
            <w:pPr>
              <w:pStyle w:val="TableContents"/>
              <w:bidi w:val="0"/>
              <w:spacing w:before="0" w:after="283"/>
              <w:jc w:val="left"/>
              <w:rPr/>
            </w:pPr>
            <w:r>
              <w:rPr/>
              <w:t> </w:t>
            </w:r>
          </w:p>
        </w:tc>
      </w:tr>
      <w:tr>
        <w:trPr/>
        <w:tc>
          <w:tcPr>
            <w:tcW w:w="3268" w:type="dxa"/>
            <w:tcBorders/>
            <w:shd w:fill="CCEEFF" w:val="clear"/>
            <w:vAlign w:val="center"/>
          </w:tcPr>
          <w:p>
            <w:pPr>
              <w:pStyle w:val="TableContents"/>
              <w:bidi w:val="0"/>
              <w:spacing w:before="0" w:after="283"/>
              <w:jc w:val="left"/>
              <w:rPr/>
            </w:pPr>
            <w:r>
              <w:rPr/>
              <w:t>Total fixed income securities</w:t>
            </w:r>
          </w:p>
        </w:tc>
        <w:tc>
          <w:tcPr>
            <w:tcW w:w="9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8" w:type="dxa"/>
            <w:tcBorders>
              <w:bottom w:val="double" w:sz="6" w:space="0" w:color="000000"/>
            </w:tcBorders>
            <w:shd w:fill="CCEEFF" w:val="clear"/>
            <w:tcMar>
              <w:bottom w:w="28" w:type="dxa"/>
            </w:tcMar>
            <w:vAlign w:val="center"/>
          </w:tcPr>
          <w:p>
            <w:pPr>
              <w:pStyle w:val="TableContents"/>
              <w:bidi w:val="0"/>
              <w:spacing w:before="0" w:after="283"/>
              <w:jc w:val="right"/>
              <w:rPr/>
            </w:pPr>
            <w:r>
              <w:rPr/>
              <w:t>329,686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4"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7" w:type="dxa"/>
            <w:tcBorders>
              <w:bottom w:val="double" w:sz="6" w:space="0" w:color="000000"/>
            </w:tcBorders>
            <w:shd w:fill="CCEEFF" w:val="clear"/>
            <w:tcMar>
              <w:bottom w:w="28" w:type="dxa"/>
            </w:tcMar>
            <w:vAlign w:val="center"/>
          </w:tcPr>
          <w:p>
            <w:pPr>
              <w:pStyle w:val="TableContents"/>
              <w:bidi w:val="0"/>
              <w:spacing w:before="0" w:after="283"/>
              <w:jc w:val="right"/>
              <w:rPr/>
            </w:pPr>
            <w:r>
              <w:rPr/>
              <w:t>2,734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jc w:val="right"/>
              <w:rPr/>
            </w:pPr>
            <w:r>
              <w:rPr/>
              <w:t>(17,649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jc w:val="right"/>
              <w:rPr/>
            </w:pPr>
            <w:r>
              <w:rPr/>
              <w:t>314,771</w:t>
            </w:r>
          </w:p>
        </w:tc>
        <w:tc>
          <w:tcPr>
            <w:tcW w:w="14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69"/>
        <w:gridCol w:w="90"/>
        <w:gridCol w:w="197"/>
        <w:gridCol w:w="966"/>
        <w:gridCol w:w="90"/>
        <w:gridCol w:w="90"/>
        <w:gridCol w:w="488"/>
        <w:gridCol w:w="832"/>
        <w:gridCol w:w="90"/>
        <w:gridCol w:w="90"/>
        <w:gridCol w:w="349"/>
        <w:gridCol w:w="844"/>
        <w:gridCol w:w="90"/>
        <w:gridCol w:w="90"/>
        <w:gridCol w:w="211"/>
        <w:gridCol w:w="982"/>
        <w:gridCol w:w="125"/>
        <w:gridCol w:w="90"/>
        <w:gridCol w:w="183"/>
        <w:gridCol w:w="898"/>
        <w:gridCol w:w="141"/>
      </w:tblGrid>
      <w:tr>
        <w:trPr/>
        <w:tc>
          <w:tcPr>
            <w:tcW w:w="326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0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41" w:type="dxa"/>
            <w:tcBorders/>
            <w:vAlign w:val="center"/>
          </w:tcPr>
          <w:p>
            <w:pPr>
              <w:pStyle w:val="TableContents"/>
              <w:bidi w:val="0"/>
              <w:spacing w:before="0" w:after="283"/>
              <w:jc w:val="left"/>
              <w:rPr/>
            </w:pPr>
            <w:r>
              <w:rPr/>
              <w:t> </w:t>
            </w:r>
          </w:p>
        </w:tc>
      </w:tr>
      <w:tr>
        <w:trPr/>
        <w:tc>
          <w:tcPr>
            <w:tcW w:w="326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Cost or </w:t>
              <w:br/>
              <w:t xml:space="preserve">Amortized </w:t>
              <w:br/>
              <w:t>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Allowance for</w:t>
              <w:br/>
              <w:t>Expected</w:t>
              <w:br/>
              <w:t>Credit Losses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Gains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141" w:type="dxa"/>
            <w:tcBorders/>
            <w:vAlign w:val="center"/>
          </w:tcPr>
          <w:p>
            <w:pPr>
              <w:pStyle w:val="TableContents"/>
              <w:bidi w:val="0"/>
              <w:spacing w:before="0" w:after="283"/>
              <w:jc w:val="left"/>
              <w:rPr/>
            </w:pPr>
            <w:r>
              <w:rPr/>
              <w:t> </w:t>
            </w:r>
          </w:p>
        </w:tc>
      </w:tr>
      <w:tr>
        <w:trPr/>
        <w:tc>
          <w:tcPr>
            <w:tcW w:w="3269" w:type="dxa"/>
            <w:tcBorders/>
            <w:shd w:fill="CCEEFF" w:val="clear"/>
            <w:vAlign w:val="center"/>
          </w:tcPr>
          <w:p>
            <w:pPr>
              <w:pStyle w:val="TableContents"/>
              <w:bidi w:val="0"/>
              <w:spacing w:before="0" w:after="283"/>
              <w:jc w:val="left"/>
              <w:rPr/>
            </w:pPr>
            <w:r>
              <w:rPr/>
              <w:t>Fixed income securities: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r>
      <w:tr>
        <w:trPr/>
        <w:tc>
          <w:tcPr>
            <w:tcW w:w="3269" w:type="dxa"/>
            <w:tcBorders/>
            <w:vAlign w:val="center"/>
          </w:tcPr>
          <w:p>
            <w:pPr>
              <w:pStyle w:val="TableContents"/>
              <w:bidi w:val="0"/>
              <w:spacing w:before="0" w:after="283"/>
              <w:jc w:val="left"/>
              <w:rPr/>
            </w:pPr>
            <w:r>
              <w:rPr/>
              <w:t>U.S. Government and agencies</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966" w:type="dxa"/>
            <w:tcBorders/>
            <w:vAlign w:val="center"/>
          </w:tcPr>
          <w:p>
            <w:pPr>
              <w:pStyle w:val="TableContents"/>
              <w:bidi w:val="0"/>
              <w:spacing w:before="0" w:after="283"/>
              <w:jc w:val="right"/>
              <w:rPr/>
            </w:pPr>
            <w:r>
              <w:rPr/>
              <w:t>12,601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w:t>
            </w:r>
          </w:p>
        </w:tc>
        <w:tc>
          <w:tcPr>
            <w:tcW w:w="83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w:t>
            </w:r>
          </w:p>
        </w:tc>
        <w:tc>
          <w:tcPr>
            <w:tcW w:w="844" w:type="dxa"/>
            <w:tcBorders/>
            <w:vAlign w:val="center"/>
          </w:tcPr>
          <w:p>
            <w:pPr>
              <w:pStyle w:val="TableContents"/>
              <w:bidi w:val="0"/>
              <w:spacing w:before="0" w:after="283"/>
              <w:jc w:val="right"/>
              <w:rPr/>
            </w:pPr>
            <w:r>
              <w:rPr/>
              <w:t>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982" w:type="dxa"/>
            <w:tcBorders/>
            <w:vAlign w:val="center"/>
          </w:tcPr>
          <w:p>
            <w:pPr>
              <w:pStyle w:val="TableContents"/>
              <w:bidi w:val="0"/>
              <w:spacing w:before="0" w:after="283"/>
              <w:jc w:val="right"/>
              <w:rPr/>
            </w:pPr>
            <w:r>
              <w:rPr/>
              <w:t>(335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898" w:type="dxa"/>
            <w:tcBorders/>
            <w:vAlign w:val="center"/>
          </w:tcPr>
          <w:p>
            <w:pPr>
              <w:pStyle w:val="TableContents"/>
              <w:bidi w:val="0"/>
              <w:spacing w:before="0" w:after="283"/>
              <w:jc w:val="right"/>
              <w:rPr/>
            </w:pPr>
            <w:r>
              <w:rPr/>
              <w:t>12,274</w:t>
            </w:r>
          </w:p>
        </w:tc>
        <w:tc>
          <w:tcPr>
            <w:tcW w:w="141" w:type="dxa"/>
            <w:tcBorders/>
            <w:vAlign w:val="center"/>
          </w:tcPr>
          <w:p>
            <w:pPr>
              <w:pStyle w:val="TableContents"/>
              <w:bidi w:val="0"/>
              <w:spacing w:before="0" w:after="283"/>
              <w:jc w:val="left"/>
              <w:rPr/>
            </w:pPr>
            <w:r>
              <w:rPr/>
              <w:t> </w:t>
            </w:r>
          </w:p>
        </w:tc>
      </w:tr>
      <w:tr>
        <w:trPr/>
        <w:tc>
          <w:tcPr>
            <w:tcW w:w="3269" w:type="dxa"/>
            <w:tcBorders/>
            <w:shd w:fill="CCEEFF" w:val="clear"/>
            <w:vAlign w:val="center"/>
          </w:tcPr>
          <w:p>
            <w:pPr>
              <w:pStyle w:val="TableContents"/>
              <w:bidi w:val="0"/>
              <w:spacing w:before="0" w:after="283"/>
              <w:jc w:val="left"/>
              <w:rPr/>
            </w:pPr>
            <w:r>
              <w:rPr/>
              <w:t>Obligations of states and political subdivisions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48,559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184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(4,920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43,823</w:t>
            </w:r>
          </w:p>
        </w:tc>
        <w:tc>
          <w:tcPr>
            <w:tcW w:w="141" w:type="dxa"/>
            <w:tcBorders/>
            <w:shd w:fill="CCEEFF" w:val="clear"/>
            <w:vAlign w:val="center"/>
          </w:tcPr>
          <w:p>
            <w:pPr>
              <w:pStyle w:val="TableContents"/>
              <w:bidi w:val="0"/>
              <w:spacing w:before="0" w:after="283"/>
              <w:jc w:val="left"/>
              <w:rPr/>
            </w:pPr>
            <w:r>
              <w:rPr/>
              <w:t> </w:t>
            </w:r>
          </w:p>
        </w:tc>
      </w:tr>
      <w:tr>
        <w:trPr/>
        <w:tc>
          <w:tcPr>
            <w:tcW w:w="3269" w:type="dxa"/>
            <w:tcBorders/>
            <w:vAlign w:val="center"/>
          </w:tcPr>
          <w:p>
            <w:pPr>
              <w:pStyle w:val="TableContents"/>
              <w:bidi w:val="0"/>
              <w:spacing w:before="0" w:after="283"/>
              <w:jc w:val="left"/>
              <w:rPr/>
            </w:pPr>
            <w:r>
              <w:rPr/>
              <w:t>Corporate securities</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right"/>
              <w:rPr/>
            </w:pPr>
            <w:r>
              <w:rPr/>
              <w:t>123,585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206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(7,517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116,274</w:t>
            </w:r>
          </w:p>
        </w:tc>
        <w:tc>
          <w:tcPr>
            <w:tcW w:w="141" w:type="dxa"/>
            <w:tcBorders/>
            <w:vAlign w:val="center"/>
          </w:tcPr>
          <w:p>
            <w:pPr>
              <w:pStyle w:val="TableContents"/>
              <w:bidi w:val="0"/>
              <w:spacing w:before="0" w:after="283"/>
              <w:jc w:val="left"/>
              <w:rPr/>
            </w:pPr>
            <w:r>
              <w:rPr/>
              <w:t> </w:t>
            </w:r>
          </w:p>
        </w:tc>
      </w:tr>
      <w:tr>
        <w:trPr/>
        <w:tc>
          <w:tcPr>
            <w:tcW w:w="3269" w:type="dxa"/>
            <w:tcBorders/>
            <w:shd w:fill="CCEEFF" w:val="clear"/>
            <w:vAlign w:val="center"/>
          </w:tcPr>
          <w:p>
            <w:pPr>
              <w:pStyle w:val="TableContents"/>
              <w:bidi w:val="0"/>
              <w:spacing w:before="0" w:after="283"/>
              <w:jc w:val="left"/>
              <w:rPr/>
            </w:pPr>
            <w:r>
              <w:rPr/>
              <w:t>Residential mortgage-backed securities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53,714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(4,981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48,777</w:t>
            </w:r>
          </w:p>
        </w:tc>
        <w:tc>
          <w:tcPr>
            <w:tcW w:w="141" w:type="dxa"/>
            <w:tcBorders/>
            <w:shd w:fill="CCEEFF" w:val="clear"/>
            <w:vAlign w:val="center"/>
          </w:tcPr>
          <w:p>
            <w:pPr>
              <w:pStyle w:val="TableContents"/>
              <w:bidi w:val="0"/>
              <w:spacing w:before="0" w:after="283"/>
              <w:jc w:val="left"/>
              <w:rPr/>
            </w:pPr>
            <w:r>
              <w:rPr/>
              <w:t> </w:t>
            </w:r>
          </w:p>
        </w:tc>
      </w:tr>
      <w:tr>
        <w:trPr/>
        <w:tc>
          <w:tcPr>
            <w:tcW w:w="3269" w:type="dxa"/>
            <w:tcBorders/>
            <w:vAlign w:val="center"/>
          </w:tcPr>
          <w:p>
            <w:pPr>
              <w:pStyle w:val="TableContents"/>
              <w:bidi w:val="0"/>
              <w:spacing w:before="0" w:after="283"/>
              <w:jc w:val="left"/>
              <w:rPr/>
            </w:pPr>
            <w:r>
              <w:rPr/>
              <w:t>Commercial mortgage-backed securities</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right"/>
              <w:rPr/>
            </w:pPr>
            <w:r>
              <w:rPr/>
              <w:t>30,062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(2,943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27,184</w:t>
            </w:r>
          </w:p>
        </w:tc>
        <w:tc>
          <w:tcPr>
            <w:tcW w:w="141" w:type="dxa"/>
            <w:tcBorders/>
            <w:vAlign w:val="center"/>
          </w:tcPr>
          <w:p>
            <w:pPr>
              <w:pStyle w:val="TableContents"/>
              <w:bidi w:val="0"/>
              <w:spacing w:before="0" w:after="283"/>
              <w:jc w:val="left"/>
              <w:rPr/>
            </w:pPr>
            <w:r>
              <w:rPr/>
              <w:t> </w:t>
            </w:r>
          </w:p>
        </w:tc>
      </w:tr>
      <w:tr>
        <w:trPr/>
        <w:tc>
          <w:tcPr>
            <w:tcW w:w="3269" w:type="dxa"/>
            <w:tcBorders/>
            <w:shd w:fill="CCEEFF" w:val="clear"/>
            <w:vAlign w:val="center"/>
          </w:tcPr>
          <w:p>
            <w:pPr>
              <w:pStyle w:val="TableContents"/>
              <w:bidi w:val="0"/>
              <w:spacing w:before="0" w:after="283"/>
              <w:jc w:val="left"/>
              <w:rPr/>
            </w:pPr>
            <w:r>
              <w:rPr/>
              <w:t>Asset-backed securities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59,046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386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(3,301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56,131</w:t>
            </w:r>
          </w:p>
        </w:tc>
        <w:tc>
          <w:tcPr>
            <w:tcW w:w="141" w:type="dxa"/>
            <w:tcBorders/>
            <w:shd w:fill="CCEEFF" w:val="clear"/>
            <w:vAlign w:val="center"/>
          </w:tcPr>
          <w:p>
            <w:pPr>
              <w:pStyle w:val="TableContents"/>
              <w:bidi w:val="0"/>
              <w:spacing w:before="0" w:after="283"/>
              <w:jc w:val="left"/>
              <w:rPr/>
            </w:pPr>
            <w:r>
              <w:rPr/>
              <w:t> </w:t>
            </w:r>
          </w:p>
        </w:tc>
      </w:tr>
      <w:tr>
        <w:trPr/>
        <w:tc>
          <w:tcPr>
            <w:tcW w:w="3269" w:type="dxa"/>
            <w:tcBorders/>
            <w:vAlign w:val="center"/>
          </w:tcPr>
          <w:p>
            <w:pPr>
              <w:pStyle w:val="TableContents"/>
              <w:bidi w:val="0"/>
              <w:spacing w:before="0" w:after="283"/>
              <w:jc w:val="left"/>
              <w:rPr/>
            </w:pPr>
            <w:r>
              <w:rPr/>
              <w:t>Redeemable preferred stocks</w:t>
            </w:r>
          </w:p>
        </w:tc>
        <w:tc>
          <w:tcPr>
            <w:tcW w:w="90"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tcMar>
              <w:bottom w:w="28" w:type="dxa"/>
            </w:tcMar>
            <w:vAlign w:val="center"/>
          </w:tcPr>
          <w:p>
            <w:pPr>
              <w:pStyle w:val="TableContents"/>
              <w:bidi w:val="0"/>
              <w:spacing w:before="0" w:after="283"/>
              <w:jc w:val="right"/>
              <w:rPr/>
            </w:pPr>
            <w:r>
              <w:rPr/>
              <w:t>3,737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8" w:type="dxa"/>
            <w:tcBorders>
              <w:bottom w:val="single" w:sz="8" w:space="0" w:color="000000"/>
            </w:tcBorders>
            <w:tcMar>
              <w:bottom w:w="28" w:type="dxa"/>
            </w:tcMar>
            <w:vAlign w:val="center"/>
          </w:tcPr>
          <w:p>
            <w:pPr>
              <w:pStyle w:val="TableContents"/>
              <w:bidi w:val="0"/>
              <w:spacing w:before="0" w:after="283"/>
              <w:jc w:val="left"/>
              <w:rPr/>
            </w:pPr>
            <w:r>
              <w:rPr/>
              <w:t> </w:t>
            </w:r>
          </w:p>
        </w:tc>
        <w:tc>
          <w:tcPr>
            <w:tcW w:w="832" w:type="dxa"/>
            <w:tcBorders>
              <w:bottom w:val="single" w:sz="8"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9" w:type="dxa"/>
            <w:tcBorders>
              <w:bottom w:val="single" w:sz="8" w:space="0" w:color="000000"/>
            </w:tcBorders>
            <w:tcMar>
              <w:bottom w:w="28" w:type="dxa"/>
            </w:tcMar>
            <w:vAlign w:val="center"/>
          </w:tcPr>
          <w:p>
            <w:pPr>
              <w:pStyle w:val="TableContents"/>
              <w:bidi w:val="0"/>
              <w:spacing w:before="0" w:after="283"/>
              <w:jc w:val="left"/>
              <w:rPr/>
            </w:pPr>
            <w:r>
              <w:rPr/>
              <w:t> </w:t>
            </w:r>
          </w:p>
        </w:tc>
        <w:tc>
          <w:tcPr>
            <w:tcW w:w="844" w:type="dxa"/>
            <w:tcBorders>
              <w:bottom w:val="single" w:sz="8"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tcMar>
              <w:bottom w:w="28" w:type="dxa"/>
            </w:tcMar>
            <w:vAlign w:val="center"/>
          </w:tcPr>
          <w:p>
            <w:pPr>
              <w:pStyle w:val="TableContents"/>
              <w:bidi w:val="0"/>
              <w:spacing w:before="0" w:after="283"/>
              <w:jc w:val="right"/>
              <w:rPr/>
            </w:pPr>
            <w:r>
              <w:rPr/>
              <w:t>(488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bottom w:val="single" w:sz="8" w:space="0" w:color="000000"/>
            </w:tcBorders>
            <w:tcMar>
              <w:bottom w:w="28" w:type="dxa"/>
            </w:tcMar>
            <w:vAlign w:val="center"/>
          </w:tcPr>
          <w:p>
            <w:pPr>
              <w:pStyle w:val="TableContents"/>
              <w:bidi w:val="0"/>
              <w:spacing w:before="0" w:after="283"/>
              <w:jc w:val="left"/>
              <w:rPr/>
            </w:pPr>
            <w:r>
              <w:rPr/>
              <w:t> </w:t>
            </w:r>
          </w:p>
        </w:tc>
        <w:tc>
          <w:tcPr>
            <w:tcW w:w="898" w:type="dxa"/>
            <w:tcBorders>
              <w:bottom w:val="single" w:sz="8" w:space="0" w:color="000000"/>
            </w:tcBorders>
            <w:tcMar>
              <w:bottom w:w="28" w:type="dxa"/>
            </w:tcMar>
            <w:vAlign w:val="center"/>
          </w:tcPr>
          <w:p>
            <w:pPr>
              <w:pStyle w:val="TableContents"/>
              <w:bidi w:val="0"/>
              <w:spacing w:before="0" w:after="283"/>
              <w:jc w:val="right"/>
              <w:rPr/>
            </w:pPr>
            <w:r>
              <w:rPr/>
              <w:t>3,249</w:t>
            </w:r>
          </w:p>
        </w:tc>
        <w:tc>
          <w:tcPr>
            <w:tcW w:w="141" w:type="dxa"/>
            <w:tcBorders/>
            <w:vAlign w:val="center"/>
          </w:tcPr>
          <w:p>
            <w:pPr>
              <w:pStyle w:val="TableContents"/>
              <w:bidi w:val="0"/>
              <w:spacing w:before="0" w:after="283"/>
              <w:jc w:val="left"/>
              <w:rPr/>
            </w:pPr>
            <w:r>
              <w:rPr/>
              <w:t> </w:t>
            </w:r>
          </w:p>
        </w:tc>
      </w:tr>
      <w:tr>
        <w:trPr/>
        <w:tc>
          <w:tcPr>
            <w:tcW w:w="3269" w:type="dxa"/>
            <w:tcBorders/>
            <w:shd w:fill="CCEEFF" w:val="clear"/>
            <w:vAlign w:val="center"/>
          </w:tcPr>
          <w:p>
            <w:pPr>
              <w:pStyle w:val="TableContents"/>
              <w:bidi w:val="0"/>
              <w:spacing w:before="0" w:after="283"/>
              <w:jc w:val="left"/>
              <w:rPr/>
            </w:pPr>
            <w:r>
              <w:rPr/>
              <w:t>Total fixed income securities</w:t>
            </w:r>
          </w:p>
        </w:tc>
        <w:tc>
          <w:tcPr>
            <w:tcW w:w="90"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jc w:val="right"/>
              <w:rPr/>
            </w:pPr>
            <w:r>
              <w:rPr/>
              <w:t>331,304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2"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4" w:type="dxa"/>
            <w:tcBorders>
              <w:bottom w:val="double" w:sz="6" w:space="0" w:color="000000"/>
            </w:tcBorders>
            <w:shd w:fill="CCEEFF" w:val="clear"/>
            <w:tcMar>
              <w:bottom w:w="28" w:type="dxa"/>
            </w:tcMar>
            <w:vAlign w:val="center"/>
          </w:tcPr>
          <w:p>
            <w:pPr>
              <w:pStyle w:val="TableContents"/>
              <w:bidi w:val="0"/>
              <w:spacing w:before="0" w:after="283"/>
              <w:jc w:val="right"/>
              <w:rPr/>
            </w:pPr>
            <w:r>
              <w:rPr/>
              <w:t>893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jc w:val="right"/>
              <w:rPr/>
            </w:pPr>
            <w:r>
              <w:rPr/>
              <w:t>(24,485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jc w:val="right"/>
              <w:rPr/>
            </w:pPr>
            <w:r>
              <w:rPr/>
              <w:t>307,712</w:t>
            </w:r>
          </w:p>
        </w:tc>
        <w:tc>
          <w:tcPr>
            <w:tcW w:w="141"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amortized cost and estimated fair value of fixed income securities by contractual maturity, presented on a consolidated basis, are shown below. Actual maturities could differ from contractual maturities because issuers may have the right to call or prepay these securities.</w:t>
      </w:r>
    </w:p>
    <w:tbl>
      <w:tblPr>
        <w:tblW w:w="6500" w:type="dxa"/>
        <w:jc w:val="left"/>
        <w:tblInd w:w="0" w:type="dxa"/>
        <w:tblLayout w:type="fixed"/>
        <w:tblCellMar>
          <w:top w:w="0" w:type="dxa"/>
          <w:left w:w="0" w:type="dxa"/>
          <w:bottom w:w="0" w:type="dxa"/>
          <w:right w:w="0" w:type="dxa"/>
        </w:tblCellMar>
      </w:tblPr>
      <w:tblGrid>
        <w:gridCol w:w="3290"/>
        <w:gridCol w:w="90"/>
        <w:gridCol w:w="281"/>
        <w:gridCol w:w="1373"/>
        <w:gridCol w:w="90"/>
        <w:gridCol w:w="90"/>
        <w:gridCol w:w="194"/>
        <w:gridCol w:w="950"/>
        <w:gridCol w:w="142"/>
      </w:tblGrid>
      <w:tr>
        <w:trPr/>
        <w:tc>
          <w:tcPr>
            <w:tcW w:w="3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142"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 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142"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Due to mature:</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One year or less</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1373" w:type="dxa"/>
            <w:tcBorders/>
            <w:vAlign w:val="center"/>
          </w:tcPr>
          <w:p>
            <w:pPr>
              <w:pStyle w:val="TableContents"/>
              <w:bidi w:val="0"/>
              <w:spacing w:before="0" w:after="283"/>
              <w:jc w:val="right"/>
              <w:rPr/>
            </w:pPr>
            <w:r>
              <w:rPr/>
              <w:t>8,799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jc w:val="right"/>
              <w:rPr/>
            </w:pPr>
            <w:r>
              <w:rPr/>
              <w:t>8,726</w:t>
            </w:r>
          </w:p>
        </w:tc>
        <w:tc>
          <w:tcPr>
            <w:tcW w:w="142"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After one year through five years</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81,127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79,139</w:t>
            </w:r>
          </w:p>
        </w:tc>
        <w:tc>
          <w:tcPr>
            <w:tcW w:w="142"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After five years through ten years</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64,881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64,237</w:t>
            </w:r>
          </w:p>
        </w:tc>
        <w:tc>
          <w:tcPr>
            <w:tcW w:w="142"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After ten years</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39,930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35,213</w:t>
            </w:r>
          </w:p>
        </w:tc>
        <w:tc>
          <w:tcPr>
            <w:tcW w:w="142"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Mortgage / asset-backed securities</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131,213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124,167</w:t>
            </w:r>
          </w:p>
        </w:tc>
        <w:tc>
          <w:tcPr>
            <w:tcW w:w="142"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Redeemable preferred stocks</w:t>
            </w:r>
          </w:p>
        </w:tc>
        <w:tc>
          <w:tcPr>
            <w:tcW w:w="90" w:type="dxa"/>
            <w:tcBorders/>
            <w:shd w:fill="CCEEFF" w:val="clear"/>
            <w:vAlign w:val="center"/>
          </w:tcPr>
          <w:p>
            <w:pPr>
              <w:pStyle w:val="TableContents"/>
              <w:bidi w:val="0"/>
              <w:spacing w:before="0" w:after="283"/>
              <w:jc w:val="left"/>
              <w:rPr/>
            </w:pPr>
            <w:r>
              <w:rPr/>
              <w:t> </w:t>
            </w:r>
          </w:p>
        </w:tc>
        <w:tc>
          <w:tcPr>
            <w:tcW w:w="2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3,736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3,289</w:t>
            </w:r>
          </w:p>
        </w:tc>
        <w:tc>
          <w:tcPr>
            <w:tcW w:w="142" w:type="dxa"/>
            <w:tcBorders/>
            <w:shd w:fill="CCEEFF" w:val="clear"/>
            <w:vAlign w:val="center"/>
          </w:tcPr>
          <w:p>
            <w:pPr>
              <w:pStyle w:val="TableContents"/>
              <w:bidi w:val="0"/>
              <w:spacing w:before="0" w:after="283"/>
              <w:ind w:left="0" w:right="0" w:firstLine="7"/>
              <w:jc w:val="left"/>
              <w:rPr/>
            </w:pPr>
            <w:r>
              <w:rPr/>
              <w:t> </w:t>
            </w:r>
          </w:p>
        </w:tc>
      </w:tr>
      <w:tr>
        <w:trPr/>
        <w:tc>
          <w:tcPr>
            <w:tcW w:w="3290" w:type="dxa"/>
            <w:tcBorders/>
            <w:vAlign w:val="center"/>
          </w:tcPr>
          <w:p>
            <w:pPr>
              <w:pStyle w:val="TableContents"/>
              <w:bidi w:val="0"/>
              <w:spacing w:before="0" w:after="283"/>
              <w:jc w:val="left"/>
              <w:rPr/>
            </w:pPr>
            <w:r>
              <w:rPr/>
              <w:t>Total fixed income securities</w:t>
            </w:r>
          </w:p>
        </w:tc>
        <w:tc>
          <w:tcPr>
            <w:tcW w:w="90" w:type="dxa"/>
            <w:tcBorders/>
            <w:vAlign w:val="center"/>
          </w:tcPr>
          <w:p>
            <w:pPr>
              <w:pStyle w:val="TableContents"/>
              <w:bidi w:val="0"/>
              <w:spacing w:before="0" w:after="283"/>
              <w:jc w:val="left"/>
              <w:rPr/>
            </w:pPr>
            <w:r>
              <w:rPr/>
              <w:t> </w:t>
            </w:r>
          </w:p>
        </w:tc>
        <w:tc>
          <w:tcPr>
            <w:tcW w:w="281" w:type="dxa"/>
            <w:tcBorders>
              <w:bottom w:val="double" w:sz="6" w:space="0" w:color="000000"/>
            </w:tcBorders>
            <w:tcMar>
              <w:bottom w:w="28" w:type="dxa"/>
            </w:tcMar>
            <w:vAlign w:val="center"/>
          </w:tcPr>
          <w:p>
            <w:pPr>
              <w:pStyle w:val="TableContents"/>
              <w:bidi w:val="0"/>
              <w:spacing w:before="0" w:after="283"/>
              <w:jc w:val="left"/>
              <w:rPr/>
            </w:pPr>
            <w:r>
              <w:rPr/>
              <w:t>$</w:t>
            </w:r>
          </w:p>
        </w:tc>
        <w:tc>
          <w:tcPr>
            <w:tcW w:w="1373" w:type="dxa"/>
            <w:tcBorders>
              <w:bottom w:val="double" w:sz="6" w:space="0" w:color="000000"/>
            </w:tcBorders>
            <w:tcMar>
              <w:bottom w:w="28" w:type="dxa"/>
            </w:tcMar>
            <w:vAlign w:val="center"/>
          </w:tcPr>
          <w:p>
            <w:pPr>
              <w:pStyle w:val="TableContents"/>
              <w:bidi w:val="0"/>
              <w:spacing w:before="0" w:after="283"/>
              <w:jc w:val="right"/>
              <w:rPr/>
            </w:pPr>
            <w:r>
              <w:rPr/>
              <w:t>329,686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bottom w:val="double" w:sz="6" w:space="0" w:color="000000"/>
            </w:tcBorders>
            <w:tcMar>
              <w:bottom w:w="28" w:type="dxa"/>
            </w:tcMar>
            <w:vAlign w:val="center"/>
          </w:tcPr>
          <w:p>
            <w:pPr>
              <w:pStyle w:val="TableContents"/>
              <w:bidi w:val="0"/>
              <w:spacing w:before="0" w:after="283"/>
              <w:jc w:val="left"/>
              <w:rPr/>
            </w:pPr>
            <w:r>
              <w:rPr/>
              <w:t>$</w:t>
            </w:r>
          </w:p>
        </w:tc>
        <w:tc>
          <w:tcPr>
            <w:tcW w:w="950" w:type="dxa"/>
            <w:tcBorders>
              <w:bottom w:val="double" w:sz="6" w:space="0" w:color="000000"/>
            </w:tcBorders>
            <w:tcMar>
              <w:bottom w:w="28" w:type="dxa"/>
            </w:tcMar>
            <w:vAlign w:val="center"/>
          </w:tcPr>
          <w:p>
            <w:pPr>
              <w:pStyle w:val="TableContents"/>
              <w:bidi w:val="0"/>
              <w:spacing w:before="0" w:after="283"/>
              <w:jc w:val="right"/>
              <w:rPr/>
            </w:pPr>
            <w:r>
              <w:rPr/>
              <w:t>314,771</w:t>
            </w:r>
          </w:p>
        </w:tc>
        <w:tc>
          <w:tcPr>
            <w:tcW w:w="142"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6500" w:type="dxa"/>
        <w:jc w:val="left"/>
        <w:tblInd w:w="0" w:type="dxa"/>
        <w:tblLayout w:type="fixed"/>
        <w:tblCellMar>
          <w:top w:w="0" w:type="dxa"/>
          <w:left w:w="0" w:type="dxa"/>
          <w:bottom w:w="0" w:type="dxa"/>
          <w:right w:w="0" w:type="dxa"/>
        </w:tblCellMar>
      </w:tblPr>
      <w:tblGrid>
        <w:gridCol w:w="3290"/>
        <w:gridCol w:w="90"/>
        <w:gridCol w:w="281"/>
        <w:gridCol w:w="1373"/>
        <w:gridCol w:w="90"/>
        <w:gridCol w:w="90"/>
        <w:gridCol w:w="194"/>
        <w:gridCol w:w="950"/>
        <w:gridCol w:w="142"/>
      </w:tblGrid>
      <w:tr>
        <w:trPr/>
        <w:tc>
          <w:tcPr>
            <w:tcW w:w="3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42"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 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142"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Due to mature:</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One year or less</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1373" w:type="dxa"/>
            <w:tcBorders/>
            <w:vAlign w:val="center"/>
          </w:tcPr>
          <w:p>
            <w:pPr>
              <w:pStyle w:val="TableContents"/>
              <w:bidi w:val="0"/>
              <w:spacing w:before="0" w:after="283"/>
              <w:jc w:val="right"/>
              <w:rPr/>
            </w:pPr>
            <w:r>
              <w:rPr/>
              <w:t>5,750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jc w:val="right"/>
              <w:rPr/>
            </w:pPr>
            <w:r>
              <w:rPr/>
              <w:t>5,696</w:t>
            </w:r>
          </w:p>
        </w:tc>
        <w:tc>
          <w:tcPr>
            <w:tcW w:w="142"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After one year through five years</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57,986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55,882</w:t>
            </w:r>
          </w:p>
        </w:tc>
        <w:tc>
          <w:tcPr>
            <w:tcW w:w="142"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After five years through ten years</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79,544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74,070</w:t>
            </w:r>
          </w:p>
        </w:tc>
        <w:tc>
          <w:tcPr>
            <w:tcW w:w="142"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After ten years</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41,465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36,723</w:t>
            </w:r>
          </w:p>
        </w:tc>
        <w:tc>
          <w:tcPr>
            <w:tcW w:w="142"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Mortgage / asset-backed securities</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142,822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132,092</w:t>
            </w:r>
          </w:p>
        </w:tc>
        <w:tc>
          <w:tcPr>
            <w:tcW w:w="142"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Redeemable preferred stocks</w:t>
            </w:r>
          </w:p>
        </w:tc>
        <w:tc>
          <w:tcPr>
            <w:tcW w:w="90" w:type="dxa"/>
            <w:tcBorders/>
            <w:shd w:fill="CCEEFF" w:val="clear"/>
            <w:vAlign w:val="center"/>
          </w:tcPr>
          <w:p>
            <w:pPr>
              <w:pStyle w:val="TableContents"/>
              <w:bidi w:val="0"/>
              <w:spacing w:before="0" w:after="283"/>
              <w:jc w:val="left"/>
              <w:rPr/>
            </w:pPr>
            <w:r>
              <w:rPr/>
              <w:t> </w:t>
            </w:r>
          </w:p>
        </w:tc>
        <w:tc>
          <w:tcPr>
            <w:tcW w:w="2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3,737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3,249</w:t>
            </w:r>
          </w:p>
        </w:tc>
        <w:tc>
          <w:tcPr>
            <w:tcW w:w="142" w:type="dxa"/>
            <w:tcBorders/>
            <w:shd w:fill="CCEEFF" w:val="clear"/>
            <w:vAlign w:val="center"/>
          </w:tcPr>
          <w:p>
            <w:pPr>
              <w:pStyle w:val="TableContents"/>
              <w:bidi w:val="0"/>
              <w:spacing w:before="0" w:after="283"/>
              <w:ind w:left="0" w:right="0" w:firstLine="7"/>
              <w:jc w:val="left"/>
              <w:rPr/>
            </w:pPr>
            <w:r>
              <w:rPr/>
              <w:t> </w:t>
            </w:r>
          </w:p>
        </w:tc>
      </w:tr>
      <w:tr>
        <w:trPr/>
        <w:tc>
          <w:tcPr>
            <w:tcW w:w="3290" w:type="dxa"/>
            <w:tcBorders/>
            <w:vAlign w:val="center"/>
          </w:tcPr>
          <w:p>
            <w:pPr>
              <w:pStyle w:val="TableContents"/>
              <w:bidi w:val="0"/>
              <w:spacing w:before="0" w:after="283"/>
              <w:jc w:val="left"/>
              <w:rPr/>
            </w:pPr>
            <w:r>
              <w:rPr/>
              <w:t>Total fixed income securities</w:t>
            </w:r>
          </w:p>
        </w:tc>
        <w:tc>
          <w:tcPr>
            <w:tcW w:w="90" w:type="dxa"/>
            <w:tcBorders/>
            <w:vAlign w:val="center"/>
          </w:tcPr>
          <w:p>
            <w:pPr>
              <w:pStyle w:val="TableContents"/>
              <w:bidi w:val="0"/>
              <w:spacing w:before="0" w:after="283"/>
              <w:jc w:val="left"/>
              <w:rPr/>
            </w:pPr>
            <w:r>
              <w:rPr/>
              <w:t> </w:t>
            </w:r>
          </w:p>
        </w:tc>
        <w:tc>
          <w:tcPr>
            <w:tcW w:w="281" w:type="dxa"/>
            <w:tcBorders>
              <w:bottom w:val="double" w:sz="6" w:space="0" w:color="000000"/>
            </w:tcBorders>
            <w:tcMar>
              <w:bottom w:w="28" w:type="dxa"/>
            </w:tcMar>
            <w:vAlign w:val="center"/>
          </w:tcPr>
          <w:p>
            <w:pPr>
              <w:pStyle w:val="TableContents"/>
              <w:bidi w:val="0"/>
              <w:spacing w:before="0" w:after="283"/>
              <w:jc w:val="left"/>
              <w:rPr/>
            </w:pPr>
            <w:r>
              <w:rPr/>
              <w:t>$</w:t>
            </w:r>
          </w:p>
        </w:tc>
        <w:tc>
          <w:tcPr>
            <w:tcW w:w="1373" w:type="dxa"/>
            <w:tcBorders>
              <w:bottom w:val="double" w:sz="6" w:space="0" w:color="000000"/>
            </w:tcBorders>
            <w:tcMar>
              <w:bottom w:w="28" w:type="dxa"/>
            </w:tcMar>
            <w:vAlign w:val="center"/>
          </w:tcPr>
          <w:p>
            <w:pPr>
              <w:pStyle w:val="TableContents"/>
              <w:bidi w:val="0"/>
              <w:spacing w:before="0" w:after="283"/>
              <w:jc w:val="right"/>
              <w:rPr/>
            </w:pPr>
            <w:r>
              <w:rPr/>
              <w:t>331,304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bottom w:val="double" w:sz="6" w:space="0" w:color="000000"/>
            </w:tcBorders>
            <w:tcMar>
              <w:bottom w:w="28" w:type="dxa"/>
            </w:tcMar>
            <w:vAlign w:val="center"/>
          </w:tcPr>
          <w:p>
            <w:pPr>
              <w:pStyle w:val="TableContents"/>
              <w:bidi w:val="0"/>
              <w:spacing w:before="0" w:after="283"/>
              <w:jc w:val="left"/>
              <w:rPr/>
            </w:pPr>
            <w:r>
              <w:rPr/>
              <w:t>$</w:t>
            </w:r>
          </w:p>
        </w:tc>
        <w:tc>
          <w:tcPr>
            <w:tcW w:w="950" w:type="dxa"/>
            <w:tcBorders>
              <w:bottom w:val="double" w:sz="6" w:space="0" w:color="000000"/>
            </w:tcBorders>
            <w:tcMar>
              <w:bottom w:w="28" w:type="dxa"/>
            </w:tcMar>
            <w:vAlign w:val="center"/>
          </w:tcPr>
          <w:p>
            <w:pPr>
              <w:pStyle w:val="TableContents"/>
              <w:bidi w:val="0"/>
              <w:spacing w:before="0" w:after="283"/>
              <w:jc w:val="right"/>
              <w:rPr/>
            </w:pPr>
            <w:r>
              <w:rPr/>
              <w:t>307,712</w:t>
            </w:r>
          </w:p>
        </w:tc>
        <w:tc>
          <w:tcPr>
            <w:tcW w:w="142"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income securities with a fair value of $4,556 at September 30, 2025, and $5,634 at December 31, 2024, were deposited with various state regulatory agencies as required by law. The Company has not pledged any assets to secure any obligations.</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category and duration of the Company’s gross unrealized losses on fixed income securities, presented on a consolidated basis, are shown below. Investments with unrealized losses are categorized with a duration of greater than 12 months when all positions of a security have continually been in a loss position for at least 12 months.</w:t>
      </w:r>
    </w:p>
    <w:tbl>
      <w:tblPr>
        <w:tblW w:w="10205" w:type="dxa"/>
        <w:jc w:val="left"/>
        <w:tblInd w:w="0" w:type="dxa"/>
        <w:tblLayout w:type="fixed"/>
        <w:tblCellMar>
          <w:top w:w="0" w:type="dxa"/>
          <w:left w:w="0" w:type="dxa"/>
          <w:bottom w:w="0" w:type="dxa"/>
          <w:right w:w="0" w:type="dxa"/>
        </w:tblCellMar>
      </w:tblPr>
      <w:tblGrid>
        <w:gridCol w:w="2481"/>
        <w:gridCol w:w="90"/>
        <w:gridCol w:w="182"/>
        <w:gridCol w:w="763"/>
        <w:gridCol w:w="96"/>
        <w:gridCol w:w="96"/>
        <w:gridCol w:w="301"/>
        <w:gridCol w:w="859"/>
        <w:gridCol w:w="125"/>
        <w:gridCol w:w="90"/>
        <w:gridCol w:w="177"/>
        <w:gridCol w:w="868"/>
        <w:gridCol w:w="94"/>
        <w:gridCol w:w="94"/>
        <w:gridCol w:w="206"/>
        <w:gridCol w:w="954"/>
        <w:gridCol w:w="125"/>
        <w:gridCol w:w="90"/>
        <w:gridCol w:w="170"/>
        <w:gridCol w:w="830"/>
        <w:gridCol w:w="90"/>
        <w:gridCol w:w="90"/>
        <w:gridCol w:w="206"/>
        <w:gridCol w:w="954"/>
        <w:gridCol w:w="174"/>
      </w:tblGrid>
      <w:tr>
        <w:trPr/>
        <w:tc>
          <w:tcPr>
            <w:tcW w:w="24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6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174" w:type="dxa"/>
            <w:tcBorders/>
            <w:vAlign w:val="center"/>
          </w:tcPr>
          <w:p>
            <w:pPr>
              <w:pStyle w:val="TableContents"/>
              <w:bidi w:val="0"/>
              <w:spacing w:before="0" w:after="283"/>
              <w:jc w:val="left"/>
              <w:rPr/>
            </w:pPr>
            <w:r>
              <w:rPr/>
              <w:t> </w:t>
            </w:r>
          </w:p>
        </w:tc>
      </w:tr>
      <w:tr>
        <w:trPr/>
        <w:tc>
          <w:tcPr>
            <w:tcW w:w="24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Less than 12 Months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9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Greater than 12 months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74" w:type="dxa"/>
            <w:tcBorders/>
            <w:vAlign w:val="center"/>
          </w:tcPr>
          <w:p>
            <w:pPr>
              <w:pStyle w:val="TableContents"/>
              <w:bidi w:val="0"/>
              <w:spacing w:before="0" w:after="283"/>
              <w:jc w:val="left"/>
              <w:rPr/>
            </w:pPr>
            <w:r>
              <w:rPr/>
              <w:t> </w:t>
            </w:r>
          </w:p>
        </w:tc>
      </w:tr>
      <w:tr>
        <w:trPr/>
        <w:tc>
          <w:tcPr>
            <w:tcW w:w="24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174" w:type="dxa"/>
            <w:tcBorders/>
            <w:vAlign w:val="center"/>
          </w:tcPr>
          <w:p>
            <w:pPr>
              <w:pStyle w:val="TableContents"/>
              <w:bidi w:val="0"/>
              <w:spacing w:before="0" w:after="283"/>
              <w:jc w:val="left"/>
              <w:rPr/>
            </w:pPr>
            <w:r>
              <w:rPr/>
              <w:t> </w:t>
            </w:r>
          </w:p>
        </w:tc>
      </w:tr>
      <w:tr>
        <w:trPr/>
        <w:tc>
          <w:tcPr>
            <w:tcW w:w="2481" w:type="dxa"/>
            <w:tcBorders/>
            <w:shd w:fill="CCEEFF" w:val="clear"/>
            <w:vAlign w:val="center"/>
          </w:tcPr>
          <w:p>
            <w:pPr>
              <w:pStyle w:val="TableContents"/>
              <w:bidi w:val="0"/>
              <w:spacing w:before="0" w:after="283"/>
              <w:jc w:val="left"/>
              <w:rPr/>
            </w:pPr>
            <w:r>
              <w:rPr/>
              <w:t>Fixed income securities: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2481" w:type="dxa"/>
            <w:tcBorders/>
            <w:vAlign w:val="center"/>
          </w:tcPr>
          <w:p>
            <w:pPr>
              <w:pStyle w:val="TableContents"/>
              <w:bidi w:val="0"/>
              <w:spacing w:before="0" w:after="283"/>
              <w:jc w:val="left"/>
              <w:rPr/>
            </w:pPr>
            <w:r>
              <w:rPr/>
              <w:t>U.S. Government and agencies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763" w:type="dxa"/>
            <w:tcBorders/>
            <w:vAlign w:val="center"/>
          </w:tcPr>
          <w:p>
            <w:pPr>
              <w:pStyle w:val="TableContents"/>
              <w:bidi w:val="0"/>
              <w:spacing w:before="0" w:after="283"/>
              <w:jc w:val="right"/>
              <w:rPr/>
            </w:pPr>
            <w:r>
              <w:rPr/>
              <w:t>995</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859" w:type="dxa"/>
            <w:tcBorders/>
            <w:vAlign w:val="center"/>
          </w:tcPr>
          <w:p>
            <w:pPr>
              <w:pStyle w:val="TableContents"/>
              <w:bidi w:val="0"/>
              <w:spacing w:before="0" w:after="283"/>
              <w:jc w:val="right"/>
              <w:rPr/>
            </w:pPr>
            <w:r>
              <w:rPr/>
              <w:t>(8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w:t>
            </w:r>
          </w:p>
        </w:tc>
        <w:tc>
          <w:tcPr>
            <w:tcW w:w="868" w:type="dxa"/>
            <w:tcBorders/>
            <w:vAlign w:val="center"/>
          </w:tcPr>
          <w:p>
            <w:pPr>
              <w:pStyle w:val="TableContents"/>
              <w:bidi w:val="0"/>
              <w:spacing w:before="0" w:after="283"/>
              <w:jc w:val="right"/>
              <w:rPr/>
            </w:pPr>
            <w:r>
              <w:rPr/>
              <w:t>4,293</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954" w:type="dxa"/>
            <w:tcBorders/>
            <w:vAlign w:val="center"/>
          </w:tcPr>
          <w:p>
            <w:pPr>
              <w:pStyle w:val="TableContents"/>
              <w:bidi w:val="0"/>
              <w:spacing w:before="0" w:after="283"/>
              <w:jc w:val="right"/>
              <w:rPr/>
            </w:pPr>
            <w:r>
              <w:rPr/>
              <w:t>(109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5,288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954" w:type="dxa"/>
            <w:tcBorders/>
            <w:vAlign w:val="center"/>
          </w:tcPr>
          <w:p>
            <w:pPr>
              <w:pStyle w:val="TableContents"/>
              <w:bidi w:val="0"/>
              <w:spacing w:before="0" w:after="283"/>
              <w:jc w:val="right"/>
              <w:rPr/>
            </w:pPr>
            <w:r>
              <w:rPr/>
              <w:t>(117</w:t>
            </w:r>
          </w:p>
        </w:tc>
        <w:tc>
          <w:tcPr>
            <w:tcW w:w="174" w:type="dxa"/>
            <w:tcBorders/>
            <w:vAlign w:val="center"/>
          </w:tcPr>
          <w:p>
            <w:pPr>
              <w:pStyle w:val="TableContents"/>
              <w:bidi w:val="0"/>
              <w:spacing w:before="0" w:after="283"/>
              <w:jc w:val="left"/>
              <w:rPr/>
            </w:pPr>
            <w:r>
              <w:rPr/>
              <w:t>)</w:t>
            </w:r>
          </w:p>
        </w:tc>
      </w:tr>
      <w:tr>
        <w:trPr/>
        <w:tc>
          <w:tcPr>
            <w:tcW w:w="2481" w:type="dxa"/>
            <w:tcBorders/>
            <w:shd w:fill="CCEEFF" w:val="clear"/>
            <w:vAlign w:val="center"/>
          </w:tcPr>
          <w:p>
            <w:pPr>
              <w:pStyle w:val="TableContents"/>
              <w:bidi w:val="0"/>
              <w:spacing w:before="0" w:after="283"/>
              <w:jc w:val="left"/>
              <w:rPr/>
            </w:pPr>
            <w:r>
              <w:rPr/>
              <w:t>Obligations of states and political subdivisions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6,596</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(329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32,184</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(4,752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38,780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(5,081</w:t>
            </w:r>
          </w:p>
        </w:tc>
        <w:tc>
          <w:tcPr>
            <w:tcW w:w="174" w:type="dxa"/>
            <w:tcBorders/>
            <w:shd w:fill="CCEEFF" w:val="clear"/>
            <w:vAlign w:val="center"/>
          </w:tcPr>
          <w:p>
            <w:pPr>
              <w:pStyle w:val="TableContents"/>
              <w:bidi w:val="0"/>
              <w:spacing w:before="0" w:after="283"/>
              <w:jc w:val="left"/>
              <w:rPr/>
            </w:pPr>
            <w:r>
              <w:rPr/>
              <w:t>)</w:t>
            </w:r>
          </w:p>
        </w:tc>
      </w:tr>
      <w:tr>
        <w:trPr/>
        <w:tc>
          <w:tcPr>
            <w:tcW w:w="2481" w:type="dxa"/>
            <w:tcBorders/>
            <w:vAlign w:val="center"/>
          </w:tcPr>
          <w:p>
            <w:pPr>
              <w:pStyle w:val="TableContents"/>
              <w:bidi w:val="0"/>
              <w:spacing w:before="0" w:after="283"/>
              <w:jc w:val="left"/>
              <w:rPr/>
            </w:pPr>
            <w:r>
              <w:rPr/>
              <w:t>Corporate securities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2,229</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(152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65,190</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(3,803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67,419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(3,955</w:t>
            </w:r>
          </w:p>
        </w:tc>
        <w:tc>
          <w:tcPr>
            <w:tcW w:w="174" w:type="dxa"/>
            <w:tcBorders/>
            <w:vAlign w:val="center"/>
          </w:tcPr>
          <w:p>
            <w:pPr>
              <w:pStyle w:val="TableContents"/>
              <w:bidi w:val="0"/>
              <w:spacing w:before="0" w:after="283"/>
              <w:jc w:val="left"/>
              <w:rPr/>
            </w:pPr>
            <w:r>
              <w:rPr/>
              <w:t>)</w:t>
            </w:r>
          </w:p>
        </w:tc>
      </w:tr>
      <w:tr>
        <w:trPr/>
        <w:tc>
          <w:tcPr>
            <w:tcW w:w="2481" w:type="dxa"/>
            <w:tcBorders/>
            <w:shd w:fill="CCEEFF" w:val="clear"/>
            <w:vAlign w:val="center"/>
          </w:tcPr>
          <w:p>
            <w:pPr>
              <w:pStyle w:val="TableContents"/>
              <w:bidi w:val="0"/>
              <w:spacing w:before="0" w:after="283"/>
              <w:jc w:val="left"/>
              <w:rPr/>
            </w:pPr>
            <w:r>
              <w:rPr/>
              <w:t>Residential mortgage-backed securities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10,283</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31,749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(5,286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42,032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(5,363</w:t>
            </w:r>
          </w:p>
        </w:tc>
        <w:tc>
          <w:tcPr>
            <w:tcW w:w="174" w:type="dxa"/>
            <w:tcBorders/>
            <w:shd w:fill="CCEEFF" w:val="clear"/>
            <w:vAlign w:val="center"/>
          </w:tcPr>
          <w:p>
            <w:pPr>
              <w:pStyle w:val="TableContents"/>
              <w:bidi w:val="0"/>
              <w:spacing w:before="0" w:after="283"/>
              <w:jc w:val="left"/>
              <w:rPr/>
            </w:pPr>
            <w:r>
              <w:rPr/>
              <w:t>)</w:t>
            </w:r>
          </w:p>
        </w:tc>
      </w:tr>
      <w:tr>
        <w:trPr/>
        <w:tc>
          <w:tcPr>
            <w:tcW w:w="2481" w:type="dxa"/>
            <w:tcBorders/>
            <w:vAlign w:val="center"/>
          </w:tcPr>
          <w:p>
            <w:pPr>
              <w:pStyle w:val="TableContents"/>
              <w:bidi w:val="0"/>
              <w:spacing w:before="0" w:after="283"/>
              <w:jc w:val="left"/>
              <w:rPr/>
            </w:pPr>
            <w:r>
              <w:rPr/>
              <w:t>Commercial mortgage-backed securities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0"/>
              <w:jc w:val="right"/>
              <w:rPr/>
            </w:pPr>
            <w:r>
              <w:rPr/>
              <w:t>—</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20,888</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(2,231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20,888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(2,231</w:t>
            </w:r>
          </w:p>
        </w:tc>
        <w:tc>
          <w:tcPr>
            <w:tcW w:w="174" w:type="dxa"/>
            <w:tcBorders/>
            <w:vAlign w:val="center"/>
          </w:tcPr>
          <w:p>
            <w:pPr>
              <w:pStyle w:val="TableContents"/>
              <w:bidi w:val="0"/>
              <w:spacing w:before="0" w:after="283"/>
              <w:jc w:val="left"/>
              <w:rPr/>
            </w:pPr>
            <w:r>
              <w:rPr/>
              <w:t>)</w:t>
            </w:r>
          </w:p>
        </w:tc>
      </w:tr>
      <w:tr>
        <w:trPr/>
        <w:tc>
          <w:tcPr>
            <w:tcW w:w="2481" w:type="dxa"/>
            <w:tcBorders/>
            <w:shd w:fill="CCEEFF" w:val="clear"/>
            <w:vAlign w:val="center"/>
          </w:tcPr>
          <w:p>
            <w:pPr>
              <w:pStyle w:val="TableContents"/>
              <w:bidi w:val="0"/>
              <w:spacing w:before="0" w:after="283"/>
              <w:jc w:val="left"/>
              <w:rPr/>
            </w:pPr>
            <w:r>
              <w:rPr/>
              <w:t>Asset-backed securities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2,803</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(182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6,743</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(273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9,546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(455</w:t>
            </w:r>
          </w:p>
        </w:tc>
        <w:tc>
          <w:tcPr>
            <w:tcW w:w="174" w:type="dxa"/>
            <w:tcBorders/>
            <w:shd w:fill="CCEEFF" w:val="clear"/>
            <w:vAlign w:val="center"/>
          </w:tcPr>
          <w:p>
            <w:pPr>
              <w:pStyle w:val="TableContents"/>
              <w:bidi w:val="0"/>
              <w:spacing w:before="0" w:after="283"/>
              <w:jc w:val="left"/>
              <w:rPr/>
            </w:pPr>
            <w:r>
              <w:rPr/>
              <w:t>)</w:t>
            </w:r>
          </w:p>
        </w:tc>
      </w:tr>
      <w:tr>
        <w:trPr/>
        <w:tc>
          <w:tcPr>
            <w:tcW w:w="2481" w:type="dxa"/>
            <w:tcBorders/>
            <w:vAlign w:val="center"/>
          </w:tcPr>
          <w:p>
            <w:pPr>
              <w:pStyle w:val="TableContents"/>
              <w:bidi w:val="0"/>
              <w:spacing w:before="0" w:after="283"/>
              <w:jc w:val="left"/>
              <w:rPr/>
            </w:pPr>
            <w:r>
              <w:rPr/>
              <w:t>Redeemable preferred stocks</w:t>
            </w:r>
          </w:p>
        </w:tc>
        <w:tc>
          <w:tcPr>
            <w:tcW w:w="90" w:type="dxa"/>
            <w:tcBorders/>
            <w:vAlign w:val="center"/>
          </w:tcPr>
          <w:p>
            <w:pPr>
              <w:pStyle w:val="TableContents"/>
              <w:bidi w:val="0"/>
              <w:spacing w:before="0" w:after="283"/>
              <w:jc w:val="left"/>
              <w:rPr/>
            </w:pPr>
            <w:r>
              <w:rPr/>
              <w:t> </w:t>
            </w:r>
          </w:p>
        </w:tc>
        <w:tc>
          <w:tcPr>
            <w:tcW w:w="182" w:type="dxa"/>
            <w:tcBorders>
              <w:bottom w:val="single" w:sz="8" w:space="0" w:color="000000"/>
            </w:tcBorders>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tcMar>
              <w:bottom w:w="28" w:type="dxa"/>
            </w:tcMar>
            <w:vAlign w:val="center"/>
          </w:tcPr>
          <w:p>
            <w:pPr>
              <w:pStyle w:val="TableContents"/>
              <w:bidi w:val="0"/>
              <w:spacing w:before="0" w:after="0"/>
              <w:jc w:val="right"/>
              <w:rPr/>
            </w:pPr>
            <w:r>
              <w:rPr/>
              <w:t>—</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301" w:type="dxa"/>
            <w:tcBorders>
              <w:bottom w:val="single" w:sz="8" w:space="0" w:color="000000"/>
            </w:tcBorders>
            <w:tcMar>
              <w:bottom w:w="28" w:type="dxa"/>
            </w:tcMar>
            <w:vAlign w:val="center"/>
          </w:tcPr>
          <w:p>
            <w:pPr>
              <w:pStyle w:val="TableContents"/>
              <w:bidi w:val="0"/>
              <w:spacing w:before="0" w:after="283"/>
              <w:jc w:val="left"/>
              <w:rPr/>
            </w:pPr>
            <w:r>
              <w:rPr/>
              <w:t> </w:t>
            </w:r>
          </w:p>
        </w:tc>
        <w:tc>
          <w:tcPr>
            <w:tcW w:w="859" w:type="dxa"/>
            <w:tcBorders>
              <w:bottom w:val="single" w:sz="8"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868" w:type="dxa"/>
            <w:tcBorders>
              <w:bottom w:val="single" w:sz="8" w:space="0" w:color="000000"/>
            </w:tcBorders>
            <w:tcMar>
              <w:bottom w:w="28" w:type="dxa"/>
            </w:tcMar>
            <w:vAlign w:val="center"/>
          </w:tcPr>
          <w:p>
            <w:pPr>
              <w:pStyle w:val="TableContents"/>
              <w:bidi w:val="0"/>
              <w:spacing w:before="0" w:after="283"/>
              <w:jc w:val="right"/>
              <w:rPr/>
            </w:pPr>
            <w:r>
              <w:rPr/>
              <w:t>3,289</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06" w:type="dxa"/>
            <w:tcBorders>
              <w:bottom w:val="single" w:sz="8" w:space="0" w:color="000000"/>
            </w:tcBorders>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tcMar>
              <w:bottom w:w="28" w:type="dxa"/>
            </w:tcMar>
            <w:vAlign w:val="center"/>
          </w:tcPr>
          <w:p>
            <w:pPr>
              <w:pStyle w:val="TableContents"/>
              <w:bidi w:val="0"/>
              <w:spacing w:before="0" w:after="283"/>
              <w:jc w:val="right"/>
              <w:rPr/>
            </w:pPr>
            <w:r>
              <w:rPr/>
              <w:t>(447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3,289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bottom w:val="single" w:sz="8" w:space="0" w:color="000000"/>
            </w:tcBorders>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tcMar>
              <w:bottom w:w="28" w:type="dxa"/>
            </w:tcMar>
            <w:vAlign w:val="center"/>
          </w:tcPr>
          <w:p>
            <w:pPr>
              <w:pStyle w:val="TableContents"/>
              <w:bidi w:val="0"/>
              <w:spacing w:before="0" w:after="283"/>
              <w:jc w:val="right"/>
              <w:rPr/>
            </w:pPr>
            <w:r>
              <w:rPr/>
              <w:t>(447</w:t>
            </w:r>
          </w:p>
        </w:tc>
        <w:tc>
          <w:tcPr>
            <w:tcW w:w="174" w:type="dxa"/>
            <w:tcBorders/>
            <w:vAlign w:val="center"/>
          </w:tcPr>
          <w:p>
            <w:pPr>
              <w:pStyle w:val="TableContents"/>
              <w:bidi w:val="0"/>
              <w:spacing w:before="0" w:after="283"/>
              <w:jc w:val="left"/>
              <w:rPr/>
            </w:pPr>
            <w:r>
              <w:rPr/>
              <w:t>)</w:t>
            </w:r>
          </w:p>
        </w:tc>
      </w:tr>
      <w:tr>
        <w:trPr/>
        <w:tc>
          <w:tcPr>
            <w:tcW w:w="2481" w:type="dxa"/>
            <w:tcBorders/>
            <w:shd w:fill="CCEEFF" w:val="clear"/>
            <w:vAlign w:val="center"/>
          </w:tcPr>
          <w:p>
            <w:pPr>
              <w:pStyle w:val="TableContents"/>
              <w:bidi w:val="0"/>
              <w:spacing w:before="0" w:after="283"/>
              <w:jc w:val="left"/>
              <w:rPr/>
            </w:pPr>
            <w:r>
              <w:rPr/>
              <w:t>Total fixed income securities</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63" w:type="dxa"/>
            <w:tcBorders>
              <w:bottom w:val="single" w:sz="8" w:space="0" w:color="000000"/>
            </w:tcBorders>
            <w:shd w:fill="CCEEFF" w:val="clear"/>
            <w:tcMar>
              <w:bottom w:w="28" w:type="dxa"/>
            </w:tcMar>
            <w:vAlign w:val="center"/>
          </w:tcPr>
          <w:p>
            <w:pPr>
              <w:pStyle w:val="TableContents"/>
              <w:bidi w:val="0"/>
              <w:spacing w:before="0" w:after="283"/>
              <w:jc w:val="right"/>
              <w:rPr/>
            </w:pPr>
            <w:r>
              <w:rPr/>
              <w:t>22,906</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pPr>
            <w:r>
              <w:rPr/>
              <w:t>(748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68" w:type="dxa"/>
            <w:tcBorders>
              <w:bottom w:val="single" w:sz="8" w:space="0" w:color="000000"/>
            </w:tcBorders>
            <w:shd w:fill="CCEEFF" w:val="clear"/>
            <w:tcMar>
              <w:bottom w:w="28" w:type="dxa"/>
            </w:tcMar>
            <w:vAlign w:val="center"/>
          </w:tcPr>
          <w:p>
            <w:pPr>
              <w:pStyle w:val="TableContents"/>
              <w:bidi w:val="0"/>
              <w:spacing w:before="0" w:after="283"/>
              <w:jc w:val="right"/>
              <w:rPr/>
            </w:pPr>
            <w:r>
              <w:rPr/>
              <w:t>164,336</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(16,901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187,242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(17,649</w:t>
            </w:r>
          </w:p>
        </w:tc>
        <w:tc>
          <w:tcPr>
            <w:tcW w:w="174" w:type="dxa"/>
            <w:tcBorders/>
            <w:shd w:fill="CCEEFF" w:val="clear"/>
            <w:vAlign w:val="center"/>
          </w:tcPr>
          <w:p>
            <w:pPr>
              <w:pStyle w:val="TableContents"/>
              <w:bidi w:val="0"/>
              <w:spacing w:before="0" w:after="283"/>
              <w:jc w:val="left"/>
              <w:rPr/>
            </w:pPr>
            <w:r>
              <w:rPr/>
              <w:t>)</w:t>
            </w:r>
          </w:p>
        </w:tc>
      </w:tr>
      <w:tr>
        <w:trPr/>
        <w:tc>
          <w:tcPr>
            <w:tcW w:w="24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4"/>
        <w:gridCol w:w="90"/>
        <w:gridCol w:w="177"/>
        <w:gridCol w:w="740"/>
        <w:gridCol w:w="93"/>
        <w:gridCol w:w="93"/>
        <w:gridCol w:w="236"/>
        <w:gridCol w:w="924"/>
        <w:gridCol w:w="125"/>
        <w:gridCol w:w="90"/>
        <w:gridCol w:w="178"/>
        <w:gridCol w:w="869"/>
        <w:gridCol w:w="94"/>
        <w:gridCol w:w="94"/>
        <w:gridCol w:w="206"/>
        <w:gridCol w:w="954"/>
        <w:gridCol w:w="125"/>
        <w:gridCol w:w="90"/>
        <w:gridCol w:w="170"/>
        <w:gridCol w:w="830"/>
        <w:gridCol w:w="90"/>
        <w:gridCol w:w="90"/>
        <w:gridCol w:w="206"/>
        <w:gridCol w:w="954"/>
        <w:gridCol w:w="173"/>
      </w:tblGrid>
      <w:tr>
        <w:trPr/>
        <w:tc>
          <w:tcPr>
            <w:tcW w:w="25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28"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73" w:type="dxa"/>
            <w:tcBorders/>
            <w:vAlign w:val="center"/>
          </w:tcPr>
          <w:p>
            <w:pPr>
              <w:pStyle w:val="TableContents"/>
              <w:bidi w:val="0"/>
              <w:spacing w:before="0" w:after="283"/>
              <w:jc w:val="left"/>
              <w:rPr/>
            </w:pPr>
            <w:r>
              <w:rPr/>
              <w:t> </w:t>
            </w:r>
          </w:p>
        </w:tc>
      </w:tr>
      <w:tr>
        <w:trPr/>
        <w:tc>
          <w:tcPr>
            <w:tcW w:w="25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Less than 12 Months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Greater than 12 months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73" w:type="dxa"/>
            <w:tcBorders/>
            <w:vAlign w:val="center"/>
          </w:tcPr>
          <w:p>
            <w:pPr>
              <w:pStyle w:val="TableContents"/>
              <w:bidi w:val="0"/>
              <w:spacing w:before="0" w:after="283"/>
              <w:jc w:val="left"/>
              <w:rPr/>
            </w:pPr>
            <w:r>
              <w:rPr/>
              <w:t> </w:t>
            </w:r>
          </w:p>
        </w:tc>
      </w:tr>
      <w:tr>
        <w:trPr/>
        <w:tc>
          <w:tcPr>
            <w:tcW w:w="25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173" w:type="dxa"/>
            <w:tcBorders/>
            <w:vAlign w:val="center"/>
          </w:tcPr>
          <w:p>
            <w:pPr>
              <w:pStyle w:val="TableContents"/>
              <w:bidi w:val="0"/>
              <w:spacing w:before="0" w:after="283"/>
              <w:jc w:val="left"/>
              <w:rPr/>
            </w:pPr>
            <w:r>
              <w:rPr/>
              <w:t> </w:t>
            </w:r>
          </w:p>
        </w:tc>
      </w:tr>
      <w:tr>
        <w:trPr/>
        <w:tc>
          <w:tcPr>
            <w:tcW w:w="2514" w:type="dxa"/>
            <w:tcBorders/>
            <w:shd w:fill="CCEEFF" w:val="clear"/>
            <w:vAlign w:val="center"/>
          </w:tcPr>
          <w:p>
            <w:pPr>
              <w:pStyle w:val="TableContents"/>
              <w:bidi w:val="0"/>
              <w:spacing w:before="0" w:after="283"/>
              <w:jc w:val="left"/>
              <w:rPr/>
            </w:pPr>
            <w:r>
              <w:rPr/>
              <w:t>Fixed income securities:</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2514" w:type="dxa"/>
            <w:tcBorders/>
            <w:vAlign w:val="center"/>
          </w:tcPr>
          <w:p>
            <w:pPr>
              <w:pStyle w:val="TableContents"/>
              <w:bidi w:val="0"/>
              <w:spacing w:before="0" w:after="283"/>
              <w:jc w:val="left"/>
              <w:rPr/>
            </w:pPr>
            <w:r>
              <w:rPr/>
              <w:t>U.S. Government and agencies</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5,443</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924" w:type="dxa"/>
            <w:tcBorders/>
            <w:vAlign w:val="center"/>
          </w:tcPr>
          <w:p>
            <w:pPr>
              <w:pStyle w:val="TableContents"/>
              <w:bidi w:val="0"/>
              <w:spacing w:before="0" w:after="283"/>
              <w:jc w:val="right"/>
              <w:rPr/>
            </w:pPr>
            <w:r>
              <w:rPr/>
              <w:t>(109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869" w:type="dxa"/>
            <w:tcBorders/>
            <w:vAlign w:val="center"/>
          </w:tcPr>
          <w:p>
            <w:pPr>
              <w:pStyle w:val="TableContents"/>
              <w:bidi w:val="0"/>
              <w:spacing w:before="0" w:after="283"/>
              <w:jc w:val="right"/>
              <w:rPr/>
            </w:pPr>
            <w:r>
              <w:rPr/>
              <w:t>4,177</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954" w:type="dxa"/>
            <w:tcBorders/>
            <w:vAlign w:val="center"/>
          </w:tcPr>
          <w:p>
            <w:pPr>
              <w:pStyle w:val="TableContents"/>
              <w:bidi w:val="0"/>
              <w:spacing w:before="0" w:after="283"/>
              <w:jc w:val="right"/>
              <w:rPr/>
            </w:pPr>
            <w:r>
              <w:rPr/>
              <w:t>(226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9,620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954" w:type="dxa"/>
            <w:tcBorders/>
            <w:vAlign w:val="center"/>
          </w:tcPr>
          <w:p>
            <w:pPr>
              <w:pStyle w:val="TableContents"/>
              <w:bidi w:val="0"/>
              <w:spacing w:before="0" w:after="283"/>
              <w:jc w:val="right"/>
              <w:rPr/>
            </w:pPr>
            <w:r>
              <w:rPr/>
              <w:t>(335</w:t>
            </w:r>
          </w:p>
        </w:tc>
        <w:tc>
          <w:tcPr>
            <w:tcW w:w="173" w:type="dxa"/>
            <w:tcBorders/>
            <w:vAlign w:val="center"/>
          </w:tcPr>
          <w:p>
            <w:pPr>
              <w:pStyle w:val="TableContents"/>
              <w:bidi w:val="0"/>
              <w:spacing w:before="0" w:after="283"/>
              <w:jc w:val="left"/>
              <w:rPr/>
            </w:pPr>
            <w:r>
              <w:rPr/>
              <w:t>)</w:t>
            </w:r>
          </w:p>
        </w:tc>
      </w:tr>
      <w:tr>
        <w:trPr/>
        <w:tc>
          <w:tcPr>
            <w:tcW w:w="2514" w:type="dxa"/>
            <w:tcBorders/>
            <w:shd w:fill="CCEEFF" w:val="clear"/>
            <w:vAlign w:val="center"/>
          </w:tcPr>
          <w:p>
            <w:pPr>
              <w:pStyle w:val="TableContents"/>
              <w:bidi w:val="0"/>
              <w:spacing w:before="0" w:after="283"/>
              <w:jc w:val="left"/>
              <w:rPr/>
            </w:pPr>
            <w:r>
              <w:rPr/>
              <w:t>Obligations of states and political subdivisions</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8,465</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(143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29,428</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(4,777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37,893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(4,920</w:t>
            </w:r>
          </w:p>
        </w:tc>
        <w:tc>
          <w:tcPr>
            <w:tcW w:w="173" w:type="dxa"/>
            <w:tcBorders/>
            <w:shd w:fill="CCEEFF" w:val="clear"/>
            <w:vAlign w:val="center"/>
          </w:tcPr>
          <w:p>
            <w:pPr>
              <w:pStyle w:val="TableContents"/>
              <w:bidi w:val="0"/>
              <w:spacing w:before="0" w:after="283"/>
              <w:jc w:val="left"/>
              <w:rPr/>
            </w:pPr>
            <w:r>
              <w:rPr/>
              <w:t>)</w:t>
            </w:r>
          </w:p>
        </w:tc>
      </w:tr>
      <w:tr>
        <w:trPr/>
        <w:tc>
          <w:tcPr>
            <w:tcW w:w="2514" w:type="dxa"/>
            <w:tcBorders/>
            <w:vAlign w:val="center"/>
          </w:tcPr>
          <w:p>
            <w:pPr>
              <w:pStyle w:val="TableContents"/>
              <w:bidi w:val="0"/>
              <w:spacing w:before="0" w:after="283"/>
              <w:jc w:val="left"/>
              <w:rPr/>
            </w:pPr>
            <w:r>
              <w:rPr/>
              <w:t>Corporate securities</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25,790</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(481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76,364</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(7,036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102,154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(7,517</w:t>
            </w:r>
          </w:p>
        </w:tc>
        <w:tc>
          <w:tcPr>
            <w:tcW w:w="173" w:type="dxa"/>
            <w:tcBorders/>
            <w:vAlign w:val="center"/>
          </w:tcPr>
          <w:p>
            <w:pPr>
              <w:pStyle w:val="TableContents"/>
              <w:bidi w:val="0"/>
              <w:spacing w:before="0" w:after="283"/>
              <w:jc w:val="left"/>
              <w:rPr/>
            </w:pPr>
            <w:r>
              <w:rPr/>
              <w:t>)</w:t>
            </w:r>
          </w:p>
        </w:tc>
      </w:tr>
      <w:tr>
        <w:trPr/>
        <w:tc>
          <w:tcPr>
            <w:tcW w:w="2514" w:type="dxa"/>
            <w:tcBorders/>
            <w:shd w:fill="CCEEFF" w:val="clear"/>
            <w:vAlign w:val="center"/>
          </w:tcPr>
          <w:p>
            <w:pPr>
              <w:pStyle w:val="TableContents"/>
              <w:bidi w:val="0"/>
              <w:spacing w:before="0" w:after="283"/>
              <w:jc w:val="left"/>
              <w:rPr/>
            </w:pPr>
            <w:r>
              <w:rPr/>
              <w:t>Residential mortgage-backed securities</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20,827</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(451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23,159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(4,530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43,986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(4,981</w:t>
            </w:r>
          </w:p>
        </w:tc>
        <w:tc>
          <w:tcPr>
            <w:tcW w:w="173" w:type="dxa"/>
            <w:tcBorders/>
            <w:shd w:fill="CCEEFF" w:val="clear"/>
            <w:vAlign w:val="center"/>
          </w:tcPr>
          <w:p>
            <w:pPr>
              <w:pStyle w:val="TableContents"/>
              <w:bidi w:val="0"/>
              <w:spacing w:before="0" w:after="283"/>
              <w:jc w:val="left"/>
              <w:rPr/>
            </w:pPr>
            <w:r>
              <w:rPr/>
              <w:t>)</w:t>
            </w:r>
          </w:p>
        </w:tc>
      </w:tr>
      <w:tr>
        <w:trPr/>
        <w:tc>
          <w:tcPr>
            <w:tcW w:w="2514" w:type="dxa"/>
            <w:tcBorders/>
            <w:vAlign w:val="center"/>
          </w:tcPr>
          <w:p>
            <w:pPr>
              <w:pStyle w:val="TableContents"/>
              <w:bidi w:val="0"/>
              <w:spacing w:before="0" w:after="283"/>
              <w:jc w:val="left"/>
              <w:rPr/>
            </w:pPr>
            <w:r>
              <w:rPr/>
              <w:t>Commercial mortgage-backed securities</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1,409</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(50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19,442</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(2,893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20,851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(2,943</w:t>
            </w:r>
          </w:p>
        </w:tc>
        <w:tc>
          <w:tcPr>
            <w:tcW w:w="173" w:type="dxa"/>
            <w:tcBorders/>
            <w:vAlign w:val="center"/>
          </w:tcPr>
          <w:p>
            <w:pPr>
              <w:pStyle w:val="TableContents"/>
              <w:bidi w:val="0"/>
              <w:spacing w:before="0" w:after="283"/>
              <w:jc w:val="left"/>
              <w:rPr/>
            </w:pPr>
            <w:r>
              <w:rPr/>
              <w:t>)</w:t>
            </w:r>
          </w:p>
        </w:tc>
      </w:tr>
      <w:tr>
        <w:trPr/>
        <w:tc>
          <w:tcPr>
            <w:tcW w:w="2514" w:type="dxa"/>
            <w:tcBorders/>
            <w:shd w:fill="CCEEFF" w:val="clear"/>
            <w:vAlign w:val="center"/>
          </w:tcPr>
          <w:p>
            <w:pPr>
              <w:pStyle w:val="TableContents"/>
              <w:bidi w:val="0"/>
              <w:spacing w:before="0" w:after="283"/>
              <w:jc w:val="left"/>
              <w:rPr/>
            </w:pPr>
            <w:r>
              <w:rPr/>
              <w:t>Asset-backed securities</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10,926</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(122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20,579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(3,179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31,505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(3,301</w:t>
            </w:r>
          </w:p>
        </w:tc>
        <w:tc>
          <w:tcPr>
            <w:tcW w:w="173" w:type="dxa"/>
            <w:tcBorders/>
            <w:shd w:fill="CCEEFF" w:val="clear"/>
            <w:vAlign w:val="center"/>
          </w:tcPr>
          <w:p>
            <w:pPr>
              <w:pStyle w:val="TableContents"/>
              <w:bidi w:val="0"/>
              <w:spacing w:before="0" w:after="283"/>
              <w:jc w:val="left"/>
              <w:rPr/>
            </w:pPr>
            <w:r>
              <w:rPr/>
              <w:t>)</w:t>
            </w:r>
          </w:p>
        </w:tc>
      </w:tr>
      <w:tr>
        <w:trPr/>
        <w:tc>
          <w:tcPr>
            <w:tcW w:w="2514" w:type="dxa"/>
            <w:tcBorders/>
            <w:vAlign w:val="center"/>
          </w:tcPr>
          <w:p>
            <w:pPr>
              <w:pStyle w:val="TableContents"/>
              <w:bidi w:val="0"/>
              <w:spacing w:before="0" w:after="283"/>
              <w:jc w:val="left"/>
              <w:rPr/>
            </w:pPr>
            <w:r>
              <w:rPr/>
              <w:t>Redeemable preferred stocks</w:t>
            </w:r>
          </w:p>
        </w:tc>
        <w:tc>
          <w:tcPr>
            <w:tcW w:w="90" w:type="dxa"/>
            <w:tcBorders/>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right"/>
              <w:rPr/>
            </w:pPr>
            <w:r>
              <w:rPr/>
              <w:t>—</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36" w:type="dxa"/>
            <w:tcBorders>
              <w:bottom w:val="single" w:sz="8" w:space="0" w:color="000000"/>
            </w:tcBorders>
            <w:tcMar>
              <w:bottom w:w="28" w:type="dxa"/>
            </w:tcMar>
            <w:vAlign w:val="center"/>
          </w:tcPr>
          <w:p>
            <w:pPr>
              <w:pStyle w:val="TableContents"/>
              <w:bidi w:val="0"/>
              <w:spacing w:before="0" w:after="283"/>
              <w:jc w:val="left"/>
              <w:rPr/>
            </w:pPr>
            <w:r>
              <w:rPr/>
              <w:t> </w:t>
            </w:r>
          </w:p>
        </w:tc>
        <w:tc>
          <w:tcPr>
            <w:tcW w:w="924" w:type="dxa"/>
            <w:tcBorders>
              <w:bottom w:val="single" w:sz="8"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single" w:sz="8" w:space="0" w:color="000000"/>
            </w:tcBorders>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tcMar>
              <w:bottom w:w="28" w:type="dxa"/>
            </w:tcMar>
            <w:vAlign w:val="center"/>
          </w:tcPr>
          <w:p>
            <w:pPr>
              <w:pStyle w:val="TableContents"/>
              <w:bidi w:val="0"/>
              <w:spacing w:before="0" w:after="283"/>
              <w:jc w:val="right"/>
              <w:rPr/>
            </w:pPr>
            <w:r>
              <w:rPr/>
              <w:t>3,249</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06" w:type="dxa"/>
            <w:tcBorders>
              <w:bottom w:val="single" w:sz="8" w:space="0" w:color="000000"/>
            </w:tcBorders>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tcMar>
              <w:bottom w:w="28" w:type="dxa"/>
            </w:tcMar>
            <w:vAlign w:val="center"/>
          </w:tcPr>
          <w:p>
            <w:pPr>
              <w:pStyle w:val="TableContents"/>
              <w:bidi w:val="0"/>
              <w:spacing w:before="0" w:after="283"/>
              <w:jc w:val="right"/>
              <w:rPr/>
            </w:pPr>
            <w:r>
              <w:rPr/>
              <w:t>(488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3,249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bottom w:val="single" w:sz="8" w:space="0" w:color="000000"/>
            </w:tcBorders>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tcMar>
              <w:bottom w:w="28" w:type="dxa"/>
            </w:tcMar>
            <w:vAlign w:val="center"/>
          </w:tcPr>
          <w:p>
            <w:pPr>
              <w:pStyle w:val="TableContents"/>
              <w:bidi w:val="0"/>
              <w:spacing w:before="0" w:after="283"/>
              <w:jc w:val="right"/>
              <w:rPr/>
            </w:pPr>
            <w:r>
              <w:rPr/>
              <w:t>(488</w:t>
            </w:r>
          </w:p>
        </w:tc>
        <w:tc>
          <w:tcPr>
            <w:tcW w:w="173" w:type="dxa"/>
            <w:tcBorders/>
            <w:vAlign w:val="center"/>
          </w:tcPr>
          <w:p>
            <w:pPr>
              <w:pStyle w:val="TableContents"/>
              <w:bidi w:val="0"/>
              <w:spacing w:before="0" w:after="283"/>
              <w:jc w:val="left"/>
              <w:rPr/>
            </w:pPr>
            <w:r>
              <w:rPr/>
              <w:t>)</w:t>
            </w:r>
          </w:p>
        </w:tc>
      </w:tr>
      <w:tr>
        <w:trPr/>
        <w:tc>
          <w:tcPr>
            <w:tcW w:w="2514" w:type="dxa"/>
            <w:tcBorders/>
            <w:shd w:fill="CCEEFF" w:val="clear"/>
            <w:vAlign w:val="center"/>
          </w:tcPr>
          <w:p>
            <w:pPr>
              <w:pStyle w:val="TableContents"/>
              <w:bidi w:val="0"/>
              <w:spacing w:before="0" w:after="283"/>
              <w:jc w:val="left"/>
              <w:rPr/>
            </w:pPr>
            <w:r>
              <w:rPr/>
              <w:t>Total fixed income securities</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72,860</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24" w:type="dxa"/>
            <w:tcBorders>
              <w:bottom w:val="single" w:sz="8" w:space="0" w:color="000000"/>
            </w:tcBorders>
            <w:shd w:fill="CCEEFF" w:val="clear"/>
            <w:tcMar>
              <w:bottom w:w="28" w:type="dxa"/>
            </w:tcMar>
            <w:vAlign w:val="center"/>
          </w:tcPr>
          <w:p>
            <w:pPr>
              <w:pStyle w:val="TableContents"/>
              <w:bidi w:val="0"/>
              <w:spacing w:before="0" w:after="283"/>
              <w:jc w:val="right"/>
              <w:rPr/>
            </w:pPr>
            <w:r>
              <w:rPr/>
              <w:t>(1,356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pPr>
            <w:r>
              <w:rPr/>
              <w:t>176,398</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(23,129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249,258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(24,485</w:t>
            </w:r>
          </w:p>
        </w:tc>
        <w:tc>
          <w:tcPr>
            <w:tcW w:w="173"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along with our investment advisor, frequently review our investment portfolio for declines in fair value that could be indicative of credit losses, which are recognized through an allowance account. We consider a number of factors when determining if an allowance for credit losses is necessary, including payment and default history, credit spreads, credit ratings and rating actions, and probability of default. We determine the credit loss component of fixed income investments by utilizing discounted cash flow modeling to determine the present value of the security and comparing the present value with the amortized cost of the security. We have not recognized any credit losses for fixed income securities since adoption of the credit loss standard. Therefore, there was no beginning balance, activity, or ending balance of credit losses as of and during the nine months ended September 30, 2025 and 2024. See Part II, Item 8, Note 3 “Summary of Significant Accounting Policies and Basis of Presentation” section of the 2024 Annual Report for additional information.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 for continuing and discontinued operations consisted of the following:</w:t>
      </w:r>
    </w:p>
    <w:tbl>
      <w:tblPr>
        <w:tblW w:w="10205" w:type="dxa"/>
        <w:jc w:val="left"/>
        <w:tblInd w:w="0" w:type="dxa"/>
        <w:tblLayout w:type="fixed"/>
        <w:tblCellMar>
          <w:top w:w="0" w:type="dxa"/>
          <w:left w:w="0" w:type="dxa"/>
          <w:bottom w:w="0" w:type="dxa"/>
          <w:right w:w="0" w:type="dxa"/>
        </w:tblCellMar>
      </w:tblPr>
      <w:tblGrid>
        <w:gridCol w:w="3564"/>
        <w:gridCol w:w="90"/>
        <w:gridCol w:w="302"/>
        <w:gridCol w:w="1052"/>
        <w:gridCol w:w="159"/>
        <w:gridCol w:w="159"/>
        <w:gridCol w:w="302"/>
        <w:gridCol w:w="1052"/>
        <w:gridCol w:w="90"/>
        <w:gridCol w:w="90"/>
        <w:gridCol w:w="265"/>
        <w:gridCol w:w="1107"/>
        <w:gridCol w:w="139"/>
        <w:gridCol w:w="139"/>
        <w:gridCol w:w="265"/>
        <w:gridCol w:w="1107"/>
        <w:gridCol w:w="323"/>
      </w:tblGrid>
      <w:tr>
        <w:trPr/>
        <w:tc>
          <w:tcPr>
            <w:tcW w:w="35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323" w:type="dxa"/>
            <w:tcBorders/>
            <w:vAlign w:val="center"/>
          </w:tcPr>
          <w:p>
            <w:pPr>
              <w:pStyle w:val="TableContents"/>
              <w:bidi w:val="0"/>
              <w:spacing w:before="0" w:after="283"/>
              <w:jc w:val="left"/>
              <w:rPr/>
            </w:pPr>
            <w:r>
              <w:rPr/>
              <w:t> </w:t>
            </w:r>
          </w:p>
        </w:tc>
      </w:tr>
      <w:tr>
        <w:trPr/>
        <w:tc>
          <w:tcPr>
            <w:tcW w:w="35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323" w:type="dxa"/>
            <w:tcBorders/>
            <w:vAlign w:val="center"/>
          </w:tcPr>
          <w:p>
            <w:pPr>
              <w:pStyle w:val="TableContents"/>
              <w:bidi w:val="0"/>
              <w:spacing w:before="0" w:after="283"/>
              <w:jc w:val="left"/>
              <w:rPr/>
            </w:pPr>
            <w:r>
              <w:rPr/>
              <w:t> </w:t>
            </w:r>
          </w:p>
        </w:tc>
      </w:tr>
      <w:tr>
        <w:trPr/>
        <w:tc>
          <w:tcPr>
            <w:tcW w:w="3564"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323" w:type="dxa"/>
            <w:tcBorders/>
            <w:shd w:fill="CCEEFF" w:val="clear"/>
            <w:vAlign w:val="center"/>
          </w:tcPr>
          <w:p>
            <w:pPr>
              <w:pStyle w:val="TableContents"/>
              <w:bidi w:val="0"/>
              <w:spacing w:before="0" w:after="283"/>
              <w:ind w:left="0" w:right="0" w:firstLine="180"/>
              <w:jc w:val="left"/>
              <w:rPr/>
            </w:pPr>
            <w:r>
              <w:rPr/>
              <w:t> </w:t>
            </w:r>
          </w:p>
        </w:tc>
      </w:tr>
      <w:tr>
        <w:trPr/>
        <w:tc>
          <w:tcPr>
            <w:tcW w:w="3564" w:type="dxa"/>
            <w:tcBorders/>
            <w:vAlign w:val="center"/>
          </w:tcPr>
          <w:p>
            <w:pPr>
              <w:pStyle w:val="TableContents"/>
              <w:bidi w:val="0"/>
              <w:spacing w:before="0" w:after="283"/>
              <w:jc w:val="left"/>
              <w:rPr/>
            </w:pPr>
            <w:r>
              <w:rPr/>
              <w:t>Fixed income securities</w:t>
            </w:r>
          </w:p>
        </w:tc>
        <w:tc>
          <w:tcPr>
            <w:tcW w:w="9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3,260</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3,025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1107" w:type="dxa"/>
            <w:tcBorders/>
            <w:vAlign w:val="center"/>
          </w:tcPr>
          <w:p>
            <w:pPr>
              <w:pStyle w:val="TableContents"/>
              <w:bidi w:val="0"/>
              <w:spacing w:before="0" w:after="283"/>
              <w:jc w:val="right"/>
              <w:rPr/>
            </w:pPr>
            <w:r>
              <w:rPr/>
              <w:t>9,581</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1107" w:type="dxa"/>
            <w:tcBorders/>
            <w:vAlign w:val="center"/>
          </w:tcPr>
          <w:p>
            <w:pPr>
              <w:pStyle w:val="TableContents"/>
              <w:bidi w:val="0"/>
              <w:spacing w:before="0" w:after="283"/>
              <w:jc w:val="right"/>
              <w:rPr/>
            </w:pPr>
            <w:r>
              <w:rPr/>
              <w:t>8,521</w:t>
            </w:r>
          </w:p>
        </w:tc>
        <w:tc>
          <w:tcPr>
            <w:tcW w:w="323" w:type="dxa"/>
            <w:tcBorders/>
            <w:vAlign w:val="center"/>
          </w:tcPr>
          <w:p>
            <w:pPr>
              <w:pStyle w:val="TableContents"/>
              <w:bidi w:val="0"/>
              <w:spacing w:before="0" w:after="283"/>
              <w:ind w:left="0" w:right="0" w:firstLine="180"/>
              <w:jc w:val="left"/>
              <w:rPr/>
            </w:pPr>
            <w:r>
              <w:rPr/>
              <w:t> </w:t>
            </w:r>
          </w:p>
        </w:tc>
      </w:tr>
      <w:tr>
        <w:trPr/>
        <w:tc>
          <w:tcPr>
            <w:tcW w:w="3564" w:type="dxa"/>
            <w:tcBorders/>
            <w:shd w:fill="CCEEFF" w:val="clear"/>
            <w:vAlign w:val="center"/>
          </w:tcPr>
          <w:p>
            <w:pPr>
              <w:pStyle w:val="TableContents"/>
              <w:bidi w:val="0"/>
              <w:spacing w:before="0" w:after="283"/>
              <w:jc w:val="left"/>
              <w:rPr/>
            </w:pPr>
            <w:r>
              <w:rPr/>
              <w:t>Equity securities</w:t>
            </w:r>
          </w:p>
        </w:tc>
        <w:tc>
          <w:tcPr>
            <w:tcW w:w="9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224</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215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679</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638</w:t>
            </w:r>
          </w:p>
        </w:tc>
        <w:tc>
          <w:tcPr>
            <w:tcW w:w="323" w:type="dxa"/>
            <w:tcBorders/>
            <w:shd w:fill="CCEEFF" w:val="clear"/>
            <w:vAlign w:val="center"/>
          </w:tcPr>
          <w:p>
            <w:pPr>
              <w:pStyle w:val="TableContents"/>
              <w:bidi w:val="0"/>
              <w:spacing w:before="0" w:after="283"/>
              <w:ind w:left="0" w:right="0" w:firstLine="180"/>
              <w:jc w:val="left"/>
              <w:rPr/>
            </w:pPr>
            <w:r>
              <w:rPr/>
              <w:t> </w:t>
            </w:r>
          </w:p>
        </w:tc>
      </w:tr>
      <w:tr>
        <w:trPr/>
        <w:tc>
          <w:tcPr>
            <w:tcW w:w="3564" w:type="dxa"/>
            <w:tcBorders/>
            <w:vAlign w:val="center"/>
          </w:tcPr>
          <w:p>
            <w:pPr>
              <w:pStyle w:val="TableContents"/>
              <w:bidi w:val="0"/>
              <w:spacing w:before="0" w:after="283"/>
              <w:jc w:val="left"/>
              <w:rPr/>
            </w:pPr>
            <w:r>
              <w:rPr/>
              <w:t>Real estate</w:t>
            </w:r>
          </w:p>
        </w:tc>
        <w:tc>
          <w:tcPr>
            <w:tcW w:w="9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66</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197</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272</w:t>
            </w:r>
          </w:p>
        </w:tc>
        <w:tc>
          <w:tcPr>
            <w:tcW w:w="323" w:type="dxa"/>
            <w:tcBorders/>
            <w:vAlign w:val="center"/>
          </w:tcPr>
          <w:p>
            <w:pPr>
              <w:pStyle w:val="TableContents"/>
              <w:bidi w:val="0"/>
              <w:spacing w:before="0" w:after="283"/>
              <w:ind w:left="0" w:right="0" w:firstLine="180"/>
              <w:jc w:val="left"/>
              <w:rPr/>
            </w:pPr>
            <w:r>
              <w:rPr/>
              <w:t> </w:t>
            </w:r>
          </w:p>
        </w:tc>
      </w:tr>
      <w:tr>
        <w:trPr/>
        <w:tc>
          <w:tcPr>
            <w:tcW w:w="3564"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pPr>
            <w:r>
              <w:rPr/>
              <w:t>315</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pPr>
            <w:r>
              <w:rPr/>
              <w:t>389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single" w:sz="8" w:space="0" w:color="000000"/>
            </w:tcBorders>
            <w:shd w:fill="CCEEFF" w:val="clear"/>
            <w:tcMar>
              <w:bottom w:w="28" w:type="dxa"/>
            </w:tcMar>
            <w:vAlign w:val="center"/>
          </w:tcPr>
          <w:p>
            <w:pPr>
              <w:pStyle w:val="TableContents"/>
              <w:bidi w:val="0"/>
              <w:spacing w:before="0" w:after="283"/>
              <w:jc w:val="right"/>
              <w:rPr/>
            </w:pPr>
            <w:r>
              <w:rPr/>
              <w:t>1,063</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single" w:sz="8" w:space="0" w:color="000000"/>
            </w:tcBorders>
            <w:shd w:fill="CCEEFF" w:val="clear"/>
            <w:tcMar>
              <w:bottom w:w="28" w:type="dxa"/>
            </w:tcMar>
            <w:vAlign w:val="center"/>
          </w:tcPr>
          <w:p>
            <w:pPr>
              <w:pStyle w:val="TableContents"/>
              <w:bidi w:val="0"/>
              <w:spacing w:before="0" w:after="283"/>
              <w:jc w:val="right"/>
              <w:rPr/>
            </w:pPr>
            <w:r>
              <w:rPr/>
              <w:t>1,258</w:t>
            </w:r>
          </w:p>
        </w:tc>
        <w:tc>
          <w:tcPr>
            <w:tcW w:w="323" w:type="dxa"/>
            <w:tcBorders/>
            <w:shd w:fill="CCEEFF" w:val="clear"/>
            <w:vAlign w:val="center"/>
          </w:tcPr>
          <w:p>
            <w:pPr>
              <w:pStyle w:val="TableContents"/>
              <w:bidi w:val="0"/>
              <w:spacing w:before="0" w:after="283"/>
              <w:jc w:val="left"/>
              <w:rPr/>
            </w:pPr>
            <w:r>
              <w:rPr/>
              <w:t> </w:t>
            </w:r>
          </w:p>
        </w:tc>
      </w:tr>
      <w:tr>
        <w:trPr/>
        <w:tc>
          <w:tcPr>
            <w:tcW w:w="3564" w:type="dxa"/>
            <w:tcBorders/>
            <w:vAlign w:val="center"/>
          </w:tcPr>
          <w:p>
            <w:pPr>
              <w:pStyle w:val="TableContents"/>
              <w:bidi w:val="0"/>
              <w:spacing w:before="0" w:after="283"/>
              <w:jc w:val="left"/>
              <w:rPr/>
            </w:pPr>
            <w:r>
              <w:rPr/>
              <w:t>Total gross investment income</w:t>
            </w:r>
          </w:p>
        </w:tc>
        <w:tc>
          <w:tcPr>
            <w:tcW w:w="9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3,865</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3,712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11,520</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10,689</w:t>
            </w:r>
          </w:p>
        </w:tc>
        <w:tc>
          <w:tcPr>
            <w:tcW w:w="323" w:type="dxa"/>
            <w:tcBorders/>
            <w:vAlign w:val="center"/>
          </w:tcPr>
          <w:p>
            <w:pPr>
              <w:pStyle w:val="TableContents"/>
              <w:bidi w:val="0"/>
              <w:spacing w:before="0" w:after="283"/>
              <w:ind w:left="0" w:right="0" w:firstLine="180"/>
              <w:jc w:val="left"/>
              <w:rPr/>
            </w:pPr>
            <w:r>
              <w:rPr/>
              <w:t> </w:t>
            </w:r>
          </w:p>
        </w:tc>
      </w:tr>
      <w:tr>
        <w:trPr/>
        <w:tc>
          <w:tcPr>
            <w:tcW w:w="3564" w:type="dxa"/>
            <w:tcBorders/>
            <w:shd w:fill="CCEEFF" w:val="clear"/>
            <w:vAlign w:val="center"/>
          </w:tcPr>
          <w:p>
            <w:pPr>
              <w:pStyle w:val="TableContents"/>
              <w:bidi w:val="0"/>
              <w:spacing w:before="0" w:after="283"/>
              <w:jc w:val="left"/>
              <w:rPr/>
            </w:pPr>
            <w:r>
              <w:rPr/>
              <w:t>Investment expenses</w:t>
            </w:r>
          </w:p>
        </w:tc>
        <w:tc>
          <w:tcPr>
            <w:tcW w:w="90" w:type="dxa"/>
            <w:tcBorders/>
            <w:shd w:fill="CCEEFF" w:val="clear"/>
            <w:vAlign w:val="center"/>
          </w:tcPr>
          <w:p>
            <w:pPr>
              <w:pStyle w:val="TableContents"/>
              <w:bidi w:val="0"/>
              <w:spacing w:before="0" w:after="283"/>
              <w:jc w:val="left"/>
              <w:rPr/>
            </w:pPr>
            <w:r>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pPr>
            <w:r>
              <w:rPr/>
              <w:t>825</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pPr>
            <w:r>
              <w:rPr/>
              <w:t>901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single" w:sz="8" w:space="0" w:color="000000"/>
            </w:tcBorders>
            <w:shd w:fill="CCEEFF" w:val="clear"/>
            <w:tcMar>
              <w:bottom w:w="28" w:type="dxa"/>
            </w:tcMar>
            <w:vAlign w:val="center"/>
          </w:tcPr>
          <w:p>
            <w:pPr>
              <w:pStyle w:val="TableContents"/>
              <w:bidi w:val="0"/>
              <w:spacing w:before="0" w:after="283"/>
              <w:jc w:val="right"/>
              <w:rPr/>
            </w:pPr>
            <w:r>
              <w:rPr/>
              <w:t>2,496</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single" w:sz="8" w:space="0" w:color="000000"/>
            </w:tcBorders>
            <w:shd w:fill="CCEEFF" w:val="clear"/>
            <w:tcMar>
              <w:bottom w:w="28" w:type="dxa"/>
            </w:tcMar>
            <w:vAlign w:val="center"/>
          </w:tcPr>
          <w:p>
            <w:pPr>
              <w:pStyle w:val="TableContents"/>
              <w:bidi w:val="0"/>
              <w:spacing w:before="0" w:after="283"/>
              <w:jc w:val="right"/>
              <w:rPr/>
            </w:pPr>
            <w:r>
              <w:rPr/>
              <w:t>2,600</w:t>
            </w:r>
          </w:p>
        </w:tc>
        <w:tc>
          <w:tcPr>
            <w:tcW w:w="323" w:type="dxa"/>
            <w:tcBorders/>
            <w:shd w:fill="CCEEFF" w:val="clear"/>
            <w:vAlign w:val="center"/>
          </w:tcPr>
          <w:p>
            <w:pPr>
              <w:pStyle w:val="TableContents"/>
              <w:bidi w:val="0"/>
              <w:spacing w:before="0" w:after="283"/>
              <w:jc w:val="left"/>
              <w:rPr/>
            </w:pPr>
            <w:r>
              <w:rPr/>
              <w:t> </w:t>
            </w:r>
          </w:p>
        </w:tc>
      </w:tr>
      <w:tr>
        <w:trPr/>
        <w:tc>
          <w:tcPr>
            <w:tcW w:w="3564" w:type="dxa"/>
            <w:tcBorders/>
            <w:vAlign w:val="center"/>
          </w:tcPr>
          <w:p>
            <w:pPr>
              <w:pStyle w:val="TableContents"/>
              <w:bidi w:val="0"/>
              <w:spacing w:before="0" w:after="283"/>
              <w:jc w:val="left"/>
              <w:rPr/>
            </w:pPr>
            <w:r>
              <w:rPr/>
              <w:t>Net investment income – continuing operations</w:t>
            </w:r>
          </w:p>
        </w:tc>
        <w:tc>
          <w:tcPr>
            <w:tcW w:w="9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3,040</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2,811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9,024</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8,089</w:t>
            </w:r>
          </w:p>
        </w:tc>
        <w:tc>
          <w:tcPr>
            <w:tcW w:w="323" w:type="dxa"/>
            <w:tcBorders/>
            <w:vAlign w:val="center"/>
          </w:tcPr>
          <w:p>
            <w:pPr>
              <w:pStyle w:val="TableContents"/>
              <w:bidi w:val="0"/>
              <w:spacing w:before="0" w:after="283"/>
              <w:jc w:val="left"/>
              <w:rPr/>
            </w:pPr>
            <w:r>
              <w:rPr/>
              <w:t> </w:t>
            </w:r>
          </w:p>
        </w:tc>
      </w:tr>
      <w:tr>
        <w:trPr/>
        <w:tc>
          <w:tcPr>
            <w:tcW w:w="3564" w:type="dxa"/>
            <w:tcBorders/>
            <w:shd w:fill="CCEEFF" w:val="clear"/>
            <w:vAlign w:val="center"/>
          </w:tcPr>
          <w:p>
            <w:pPr>
              <w:pStyle w:val="TableContents"/>
              <w:bidi w:val="0"/>
              <w:spacing w:before="0" w:after="283"/>
              <w:jc w:val="left"/>
              <w:rPr/>
            </w:pPr>
            <w:r>
              <w:rPr/>
              <w:t>Net investment income – discontinued operations</w:t>
            </w:r>
          </w:p>
        </w:tc>
        <w:tc>
          <w:tcPr>
            <w:tcW w:w="90" w:type="dxa"/>
            <w:tcBorders/>
            <w:shd w:fill="CCEEFF" w:val="clear"/>
            <w:vAlign w:val="center"/>
          </w:tcPr>
          <w:p>
            <w:pPr>
              <w:pStyle w:val="TableContents"/>
              <w:bidi w:val="0"/>
              <w:spacing w:before="0" w:after="283"/>
              <w:jc w:val="left"/>
              <w:rPr/>
            </w:pPr>
            <w:r>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single" w:sz="8" w:space="0" w:color="000000"/>
            </w:tcBorders>
            <w:shd w:fill="CCEEFF" w:val="clear"/>
            <w:tcMar>
              <w:bottom w:w="28" w:type="dxa"/>
            </w:tcMar>
            <w:vAlign w:val="center"/>
          </w:tcPr>
          <w:p>
            <w:pPr>
              <w:pStyle w:val="TableContents"/>
              <w:bidi w:val="0"/>
              <w:spacing w:before="0" w:after="283"/>
              <w:jc w:val="right"/>
              <w:rPr/>
            </w:pPr>
            <w:r>
              <w:rPr/>
              <w:t>1,419</w:t>
            </w:r>
          </w:p>
        </w:tc>
        <w:tc>
          <w:tcPr>
            <w:tcW w:w="323" w:type="dxa"/>
            <w:tcBorders/>
            <w:shd w:fill="CCEEFF" w:val="clear"/>
            <w:vAlign w:val="center"/>
          </w:tcPr>
          <w:p>
            <w:pPr>
              <w:pStyle w:val="TableContents"/>
              <w:bidi w:val="0"/>
              <w:spacing w:before="0" w:after="283"/>
              <w:jc w:val="left"/>
              <w:rPr/>
            </w:pPr>
            <w:r>
              <w:rPr/>
              <w:t> </w:t>
            </w:r>
          </w:p>
        </w:tc>
      </w:tr>
      <w:tr>
        <w:trPr/>
        <w:tc>
          <w:tcPr>
            <w:tcW w:w="3564" w:type="dxa"/>
            <w:tcBorders/>
            <w:vAlign w:val="center"/>
          </w:tcPr>
          <w:p>
            <w:pPr>
              <w:pStyle w:val="TableContents"/>
              <w:bidi w:val="0"/>
              <w:spacing w:before="0" w:after="283"/>
              <w:jc w:val="left"/>
              <w:rPr/>
            </w:pPr>
            <w:r>
              <w:rPr/>
              <w:t>Net investment income</w:t>
            </w:r>
          </w:p>
        </w:tc>
        <w:tc>
          <w:tcPr>
            <w:tcW w:w="90" w:type="dxa"/>
            <w:tcBorders/>
            <w:vAlign w:val="center"/>
          </w:tcPr>
          <w:p>
            <w:pPr>
              <w:pStyle w:val="TableContents"/>
              <w:bidi w:val="0"/>
              <w:spacing w:before="0" w:after="283"/>
              <w:jc w:val="left"/>
              <w:rPr/>
            </w:pPr>
            <w:r>
              <w:rPr/>
              <w:t> </w:t>
            </w:r>
          </w:p>
        </w:tc>
        <w:tc>
          <w:tcPr>
            <w:tcW w:w="302" w:type="dxa"/>
            <w:tcBorders>
              <w:bottom w:val="double" w:sz="6" w:space="0" w:color="000000"/>
            </w:tcBorders>
            <w:tcMar>
              <w:bottom w:w="28" w:type="dxa"/>
            </w:tcMar>
            <w:vAlign w:val="center"/>
          </w:tcPr>
          <w:p>
            <w:pPr>
              <w:pStyle w:val="TableContents"/>
              <w:bidi w:val="0"/>
              <w:spacing w:before="0" w:after="283"/>
              <w:jc w:val="left"/>
              <w:rPr/>
            </w:pPr>
            <w:r>
              <w:rPr/>
              <w:t>$</w:t>
            </w:r>
          </w:p>
        </w:tc>
        <w:tc>
          <w:tcPr>
            <w:tcW w:w="1052" w:type="dxa"/>
            <w:tcBorders>
              <w:bottom w:val="double" w:sz="6" w:space="0" w:color="000000"/>
            </w:tcBorders>
            <w:tcMar>
              <w:bottom w:w="28" w:type="dxa"/>
            </w:tcMar>
            <w:vAlign w:val="center"/>
          </w:tcPr>
          <w:p>
            <w:pPr>
              <w:pStyle w:val="TableContents"/>
              <w:bidi w:val="0"/>
              <w:spacing w:before="0" w:after="283"/>
              <w:jc w:val="right"/>
              <w:rPr/>
            </w:pPr>
            <w:r>
              <w:rPr/>
              <w:t>3,040</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302" w:type="dxa"/>
            <w:tcBorders>
              <w:bottom w:val="double" w:sz="6" w:space="0" w:color="000000"/>
            </w:tcBorders>
            <w:tcMar>
              <w:bottom w:w="28" w:type="dxa"/>
            </w:tcMar>
            <w:vAlign w:val="center"/>
          </w:tcPr>
          <w:p>
            <w:pPr>
              <w:pStyle w:val="TableContents"/>
              <w:bidi w:val="0"/>
              <w:spacing w:before="0" w:after="283"/>
              <w:jc w:val="left"/>
              <w:rPr/>
            </w:pPr>
            <w:r>
              <w:rPr/>
              <w:t>$</w:t>
            </w:r>
          </w:p>
        </w:tc>
        <w:tc>
          <w:tcPr>
            <w:tcW w:w="1052" w:type="dxa"/>
            <w:tcBorders>
              <w:bottom w:val="double" w:sz="6" w:space="0" w:color="000000"/>
            </w:tcBorders>
            <w:tcMar>
              <w:bottom w:w="28" w:type="dxa"/>
            </w:tcMar>
            <w:vAlign w:val="center"/>
          </w:tcPr>
          <w:p>
            <w:pPr>
              <w:pStyle w:val="TableContents"/>
              <w:bidi w:val="0"/>
              <w:spacing w:before="0" w:after="283"/>
              <w:jc w:val="right"/>
              <w:rPr/>
            </w:pPr>
            <w:r>
              <w:rPr/>
              <w:t>2,811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5" w:type="dxa"/>
            <w:tcBorders>
              <w:bottom w:val="double" w:sz="6" w:space="0" w:color="000000"/>
            </w:tcBorders>
            <w:tcMar>
              <w:bottom w:w="28" w:type="dxa"/>
            </w:tcMar>
            <w:vAlign w:val="center"/>
          </w:tcPr>
          <w:p>
            <w:pPr>
              <w:pStyle w:val="TableContents"/>
              <w:bidi w:val="0"/>
              <w:spacing w:before="0" w:after="283"/>
              <w:jc w:val="left"/>
              <w:rPr/>
            </w:pPr>
            <w:r>
              <w:rPr/>
              <w:t>$</w:t>
            </w:r>
          </w:p>
        </w:tc>
        <w:tc>
          <w:tcPr>
            <w:tcW w:w="1107" w:type="dxa"/>
            <w:tcBorders>
              <w:bottom w:val="double" w:sz="6" w:space="0" w:color="000000"/>
            </w:tcBorders>
            <w:tcMar>
              <w:bottom w:w="28" w:type="dxa"/>
            </w:tcMar>
            <w:vAlign w:val="center"/>
          </w:tcPr>
          <w:p>
            <w:pPr>
              <w:pStyle w:val="TableContents"/>
              <w:bidi w:val="0"/>
              <w:spacing w:before="0" w:after="283"/>
              <w:jc w:val="right"/>
              <w:rPr/>
            </w:pPr>
            <w:r>
              <w:rPr/>
              <w:t>9,024</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65" w:type="dxa"/>
            <w:tcBorders>
              <w:bottom w:val="double" w:sz="6" w:space="0" w:color="000000"/>
            </w:tcBorders>
            <w:tcMar>
              <w:bottom w:w="28" w:type="dxa"/>
            </w:tcMar>
            <w:vAlign w:val="center"/>
          </w:tcPr>
          <w:p>
            <w:pPr>
              <w:pStyle w:val="TableContents"/>
              <w:bidi w:val="0"/>
              <w:spacing w:before="0" w:after="283"/>
              <w:jc w:val="left"/>
              <w:rPr/>
            </w:pPr>
            <w:r>
              <w:rPr/>
              <w:t>$</w:t>
            </w:r>
          </w:p>
        </w:tc>
        <w:tc>
          <w:tcPr>
            <w:tcW w:w="1107" w:type="dxa"/>
            <w:tcBorders>
              <w:bottom w:val="double" w:sz="6" w:space="0" w:color="000000"/>
            </w:tcBorders>
            <w:tcMar>
              <w:bottom w:w="28" w:type="dxa"/>
            </w:tcMar>
            <w:vAlign w:val="center"/>
          </w:tcPr>
          <w:p>
            <w:pPr>
              <w:pStyle w:val="TableContents"/>
              <w:bidi w:val="0"/>
              <w:spacing w:before="0" w:after="283"/>
              <w:jc w:val="right"/>
              <w:rPr/>
            </w:pPr>
            <w:r>
              <w:rPr/>
              <w:t>9,508</w:t>
            </w:r>
          </w:p>
        </w:tc>
        <w:tc>
          <w:tcPr>
            <w:tcW w:w="323"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gains for continuing and discontinued operations consisted of the following:</w:t>
      </w:r>
    </w:p>
    <w:tbl>
      <w:tblPr>
        <w:tblW w:w="10205" w:type="dxa"/>
        <w:jc w:val="left"/>
        <w:tblInd w:w="0" w:type="dxa"/>
        <w:tblLayout w:type="fixed"/>
        <w:tblCellMar>
          <w:top w:w="0" w:type="dxa"/>
          <w:left w:w="0" w:type="dxa"/>
          <w:bottom w:w="0" w:type="dxa"/>
          <w:right w:w="0" w:type="dxa"/>
        </w:tblCellMar>
      </w:tblPr>
      <w:tblGrid>
        <w:gridCol w:w="3898"/>
        <w:gridCol w:w="90"/>
        <w:gridCol w:w="278"/>
        <w:gridCol w:w="967"/>
        <w:gridCol w:w="204"/>
        <w:gridCol w:w="147"/>
        <w:gridCol w:w="278"/>
        <w:gridCol w:w="967"/>
        <w:gridCol w:w="125"/>
        <w:gridCol w:w="90"/>
        <w:gridCol w:w="271"/>
        <w:gridCol w:w="942"/>
        <w:gridCol w:w="199"/>
        <w:gridCol w:w="143"/>
        <w:gridCol w:w="271"/>
        <w:gridCol w:w="942"/>
        <w:gridCol w:w="393"/>
      </w:tblGrid>
      <w:tr>
        <w:trPr/>
        <w:tc>
          <w:tcPr>
            <w:tcW w:w="38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6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393" w:type="dxa"/>
            <w:tcBorders/>
            <w:vAlign w:val="center"/>
          </w:tcPr>
          <w:p>
            <w:pPr>
              <w:pStyle w:val="TableContents"/>
              <w:bidi w:val="0"/>
              <w:spacing w:before="0" w:after="283"/>
              <w:jc w:val="left"/>
              <w:rPr/>
            </w:pPr>
            <w:r>
              <w:rPr/>
              <w:t> </w:t>
            </w:r>
          </w:p>
        </w:tc>
      </w:tr>
      <w:tr>
        <w:trPr/>
        <w:tc>
          <w:tcPr>
            <w:tcW w:w="38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04"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99"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393" w:type="dxa"/>
            <w:tcBorders/>
            <w:vAlign w:val="center"/>
          </w:tcPr>
          <w:p>
            <w:pPr>
              <w:pStyle w:val="TableContents"/>
              <w:bidi w:val="0"/>
              <w:spacing w:before="0" w:after="283"/>
              <w:jc w:val="left"/>
              <w:rPr/>
            </w:pPr>
            <w:r>
              <w:rPr/>
              <w:t> </w:t>
            </w:r>
          </w:p>
        </w:tc>
      </w:tr>
      <w:tr>
        <w:trPr/>
        <w:tc>
          <w:tcPr>
            <w:tcW w:w="3898"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204"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393" w:type="dxa"/>
            <w:tcBorders/>
            <w:shd w:fill="CCEEFF" w:val="clear"/>
            <w:vAlign w:val="center"/>
          </w:tcPr>
          <w:p>
            <w:pPr>
              <w:pStyle w:val="TableContents"/>
              <w:bidi w:val="0"/>
              <w:spacing w:before="0" w:after="283"/>
              <w:jc w:val="left"/>
              <w:rPr/>
            </w:pPr>
            <w:r>
              <w:rPr/>
              <w:t> </w:t>
            </w:r>
          </w:p>
        </w:tc>
      </w:tr>
      <w:tr>
        <w:trPr/>
        <w:tc>
          <w:tcPr>
            <w:tcW w:w="3898" w:type="dxa"/>
            <w:tcBorders/>
            <w:vAlign w:val="center"/>
          </w:tcPr>
          <w:p>
            <w:pPr>
              <w:pStyle w:val="TableContents"/>
              <w:bidi w:val="0"/>
              <w:spacing w:before="0" w:after="283"/>
              <w:jc w:val="left"/>
              <w:rPr/>
            </w:pPr>
            <w:r>
              <w:rPr/>
              <w:t>Gross realized gains:</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 </w:t>
            </w:r>
          </w:p>
        </w:tc>
        <w:tc>
          <w:tcPr>
            <w:tcW w:w="204"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 </w:t>
            </w:r>
          </w:p>
        </w:tc>
        <w:tc>
          <w:tcPr>
            <w:tcW w:w="393" w:type="dxa"/>
            <w:tcBorders/>
            <w:vAlign w:val="center"/>
          </w:tcPr>
          <w:p>
            <w:pPr>
              <w:pStyle w:val="TableContents"/>
              <w:bidi w:val="0"/>
              <w:spacing w:before="0" w:after="283"/>
              <w:jc w:val="left"/>
              <w:rPr/>
            </w:pPr>
            <w:r>
              <w:rPr/>
              <w:t> </w:t>
            </w:r>
          </w:p>
        </w:tc>
      </w:tr>
      <w:tr>
        <w:trPr/>
        <w:tc>
          <w:tcPr>
            <w:tcW w:w="3898" w:type="dxa"/>
            <w:tcBorders/>
            <w:shd w:fill="CCEEFF" w:val="clear"/>
            <w:vAlign w:val="center"/>
          </w:tcPr>
          <w:p>
            <w:pPr>
              <w:pStyle w:val="TableContents"/>
              <w:bidi w:val="0"/>
              <w:spacing w:before="0" w:after="283"/>
              <w:jc w:val="left"/>
              <w:rPr/>
            </w:pPr>
            <w:r>
              <w:rPr/>
              <w:t>Fixed income securities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967" w:type="dxa"/>
            <w:tcBorders/>
            <w:shd w:fill="CCEEFF" w:val="clear"/>
            <w:vAlign w:val="center"/>
          </w:tcPr>
          <w:p>
            <w:pPr>
              <w:pStyle w:val="TableContents"/>
              <w:bidi w:val="0"/>
              <w:spacing w:before="0" w:after="283"/>
              <w:jc w:val="right"/>
              <w:rPr/>
            </w:pPr>
            <w:r>
              <w:rPr/>
              <w:t>2</w:t>
            </w:r>
          </w:p>
        </w:tc>
        <w:tc>
          <w:tcPr>
            <w:tcW w:w="204"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96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942" w:type="dxa"/>
            <w:tcBorders/>
            <w:shd w:fill="CCEEFF" w:val="clear"/>
            <w:vAlign w:val="center"/>
          </w:tcPr>
          <w:p>
            <w:pPr>
              <w:pStyle w:val="TableContents"/>
              <w:bidi w:val="0"/>
              <w:spacing w:before="0" w:after="283"/>
              <w:jc w:val="right"/>
              <w:rPr/>
            </w:pPr>
            <w:r>
              <w:rPr/>
              <w:t>8</w:t>
            </w:r>
          </w:p>
        </w:tc>
        <w:tc>
          <w:tcPr>
            <w:tcW w:w="19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942" w:type="dxa"/>
            <w:tcBorders/>
            <w:shd w:fill="CCEEFF" w:val="clear"/>
            <w:vAlign w:val="center"/>
          </w:tcPr>
          <w:p>
            <w:pPr>
              <w:pStyle w:val="TableContents"/>
              <w:bidi w:val="0"/>
              <w:spacing w:before="0" w:after="283"/>
              <w:jc w:val="right"/>
              <w:rPr/>
            </w:pPr>
            <w:r>
              <w:rPr/>
              <w:t>9</w:t>
            </w:r>
          </w:p>
        </w:tc>
        <w:tc>
          <w:tcPr>
            <w:tcW w:w="393" w:type="dxa"/>
            <w:tcBorders/>
            <w:shd w:fill="CCEEFF" w:val="clear"/>
            <w:vAlign w:val="center"/>
          </w:tcPr>
          <w:p>
            <w:pPr>
              <w:pStyle w:val="TableContents"/>
              <w:bidi w:val="0"/>
              <w:spacing w:before="0" w:after="283"/>
              <w:ind w:left="0" w:right="0" w:firstLine="216"/>
              <w:jc w:val="left"/>
              <w:rPr/>
            </w:pPr>
            <w:r>
              <w:rPr/>
              <w:t> </w:t>
            </w:r>
          </w:p>
        </w:tc>
      </w:tr>
      <w:tr>
        <w:trPr/>
        <w:tc>
          <w:tcPr>
            <w:tcW w:w="3898" w:type="dxa"/>
            <w:tcBorders/>
            <w:vAlign w:val="center"/>
          </w:tcPr>
          <w:p>
            <w:pPr>
              <w:pStyle w:val="TableContents"/>
              <w:bidi w:val="0"/>
              <w:spacing w:before="0" w:after="283"/>
              <w:jc w:val="left"/>
              <w:rPr/>
            </w:pPr>
            <w:r>
              <w:rPr/>
              <w:t>Equity securities</w:t>
            </w:r>
          </w:p>
        </w:tc>
        <w:tc>
          <w:tcPr>
            <w:tcW w:w="90" w:type="dxa"/>
            <w:tcBorders/>
            <w:vAlign w:val="center"/>
          </w:tcPr>
          <w:p>
            <w:pPr>
              <w:pStyle w:val="TableContents"/>
              <w:bidi w:val="0"/>
              <w:spacing w:before="0" w:after="283"/>
              <w:jc w:val="left"/>
              <w:rPr/>
            </w:pPr>
            <w:r>
              <w:rPr/>
              <w:t> </w:t>
            </w:r>
          </w:p>
        </w:tc>
        <w:tc>
          <w:tcPr>
            <w:tcW w:w="278" w:type="dxa"/>
            <w:tcBorders>
              <w:bottom w:val="single" w:sz="8" w:space="0" w:color="000000"/>
            </w:tcBorders>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tcMar>
              <w:bottom w:w="28" w:type="dxa"/>
            </w:tcMar>
            <w:vAlign w:val="center"/>
          </w:tcPr>
          <w:p>
            <w:pPr>
              <w:pStyle w:val="TableContents"/>
              <w:bidi w:val="0"/>
              <w:spacing w:before="0" w:after="283"/>
              <w:jc w:val="right"/>
              <w:rPr/>
            </w:pPr>
            <w:r>
              <w:rPr/>
              <w:t>1,149</w:t>
            </w:r>
          </w:p>
        </w:tc>
        <w:tc>
          <w:tcPr>
            <w:tcW w:w="204"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78" w:type="dxa"/>
            <w:tcBorders>
              <w:bottom w:val="single" w:sz="8" w:space="0" w:color="000000"/>
            </w:tcBorders>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tcMar>
              <w:bottom w:w="28" w:type="dxa"/>
            </w:tcMar>
            <w:vAlign w:val="center"/>
          </w:tcPr>
          <w:p>
            <w:pPr>
              <w:pStyle w:val="TableContents"/>
              <w:bidi w:val="0"/>
              <w:spacing w:before="0" w:after="283"/>
              <w:jc w:val="right"/>
              <w:rPr/>
            </w:pPr>
            <w:r>
              <w:rPr/>
              <w:t>272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 w:type="dxa"/>
            <w:tcBorders>
              <w:bottom w:val="single" w:sz="8" w:space="0" w:color="000000"/>
            </w:tcBorders>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tcMar>
              <w:bottom w:w="28" w:type="dxa"/>
            </w:tcMar>
            <w:vAlign w:val="center"/>
          </w:tcPr>
          <w:p>
            <w:pPr>
              <w:pStyle w:val="TableContents"/>
              <w:bidi w:val="0"/>
              <w:spacing w:before="0" w:after="283"/>
              <w:jc w:val="right"/>
              <w:rPr/>
            </w:pPr>
            <w:r>
              <w:rPr/>
              <w:t>1,892</w:t>
            </w:r>
          </w:p>
        </w:tc>
        <w:tc>
          <w:tcPr>
            <w:tcW w:w="199"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71" w:type="dxa"/>
            <w:tcBorders>
              <w:bottom w:val="single" w:sz="8" w:space="0" w:color="000000"/>
            </w:tcBorders>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tcMar>
              <w:bottom w:w="28" w:type="dxa"/>
            </w:tcMar>
            <w:vAlign w:val="center"/>
          </w:tcPr>
          <w:p>
            <w:pPr>
              <w:pStyle w:val="TableContents"/>
              <w:bidi w:val="0"/>
              <w:spacing w:before="0" w:after="283"/>
              <w:jc w:val="right"/>
              <w:rPr/>
            </w:pPr>
            <w:r>
              <w:rPr/>
              <w:t>653</w:t>
            </w:r>
          </w:p>
        </w:tc>
        <w:tc>
          <w:tcPr>
            <w:tcW w:w="393" w:type="dxa"/>
            <w:tcBorders/>
            <w:vAlign w:val="center"/>
          </w:tcPr>
          <w:p>
            <w:pPr>
              <w:pStyle w:val="TableContents"/>
              <w:bidi w:val="0"/>
              <w:spacing w:before="0" w:after="283"/>
              <w:jc w:val="left"/>
              <w:rPr/>
            </w:pPr>
            <w:r>
              <w:rPr/>
              <w:t> </w:t>
            </w:r>
          </w:p>
        </w:tc>
      </w:tr>
      <w:tr>
        <w:trPr/>
        <w:tc>
          <w:tcPr>
            <w:tcW w:w="3898" w:type="dxa"/>
            <w:tcBorders/>
            <w:shd w:fill="CCEEFF" w:val="clear"/>
            <w:vAlign w:val="center"/>
          </w:tcPr>
          <w:p>
            <w:pPr>
              <w:pStyle w:val="TableContents"/>
              <w:bidi w:val="0"/>
              <w:spacing w:before="0" w:after="283"/>
              <w:jc w:val="left"/>
              <w:rPr/>
            </w:pPr>
            <w:r>
              <w:rPr/>
              <w:t>Total gross realized gains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1,151</w:t>
            </w:r>
          </w:p>
        </w:tc>
        <w:tc>
          <w:tcPr>
            <w:tcW w:w="204"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1,900</w:t>
            </w:r>
          </w:p>
        </w:tc>
        <w:tc>
          <w:tcPr>
            <w:tcW w:w="19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662</w:t>
            </w:r>
          </w:p>
        </w:tc>
        <w:tc>
          <w:tcPr>
            <w:tcW w:w="393" w:type="dxa"/>
            <w:tcBorders/>
            <w:shd w:fill="CCEEFF" w:val="clear"/>
            <w:vAlign w:val="center"/>
          </w:tcPr>
          <w:p>
            <w:pPr>
              <w:pStyle w:val="TableContents"/>
              <w:bidi w:val="0"/>
              <w:spacing w:before="0" w:after="283"/>
              <w:jc w:val="left"/>
              <w:rPr/>
            </w:pPr>
            <w:r>
              <w:rPr/>
              <w:t> </w:t>
            </w:r>
          </w:p>
        </w:tc>
      </w:tr>
      <w:tr>
        <w:trPr/>
        <w:tc>
          <w:tcPr>
            <w:tcW w:w="38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 </w:t>
            </w:r>
          </w:p>
        </w:tc>
        <w:tc>
          <w:tcPr>
            <w:tcW w:w="204"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 </w:t>
            </w:r>
          </w:p>
        </w:tc>
        <w:tc>
          <w:tcPr>
            <w:tcW w:w="393" w:type="dxa"/>
            <w:tcBorders/>
            <w:vAlign w:val="center"/>
          </w:tcPr>
          <w:p>
            <w:pPr>
              <w:pStyle w:val="TableContents"/>
              <w:bidi w:val="0"/>
              <w:spacing w:before="0" w:after="283"/>
              <w:jc w:val="left"/>
              <w:rPr/>
            </w:pPr>
            <w:r>
              <w:rPr/>
              <w:t> </w:t>
            </w:r>
          </w:p>
        </w:tc>
      </w:tr>
      <w:tr>
        <w:trPr/>
        <w:tc>
          <w:tcPr>
            <w:tcW w:w="3898" w:type="dxa"/>
            <w:tcBorders/>
            <w:shd w:fill="CCEEFF" w:val="clear"/>
            <w:vAlign w:val="center"/>
          </w:tcPr>
          <w:p>
            <w:pPr>
              <w:pStyle w:val="TableContents"/>
              <w:bidi w:val="0"/>
              <w:spacing w:before="0" w:after="283"/>
              <w:jc w:val="left"/>
              <w:rPr/>
            </w:pPr>
            <w:r>
              <w:rPr/>
              <w:t>Gross realized losses, excluding credit impairment losses: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204"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393" w:type="dxa"/>
            <w:tcBorders/>
            <w:shd w:fill="CCEEFF" w:val="clear"/>
            <w:vAlign w:val="center"/>
          </w:tcPr>
          <w:p>
            <w:pPr>
              <w:pStyle w:val="TableContents"/>
              <w:bidi w:val="0"/>
              <w:spacing w:before="0" w:after="283"/>
              <w:ind w:left="0" w:right="0" w:firstLine="216"/>
              <w:jc w:val="left"/>
              <w:rPr/>
            </w:pPr>
            <w:r>
              <w:rPr/>
              <w:t> </w:t>
            </w:r>
          </w:p>
        </w:tc>
      </w:tr>
      <w:tr>
        <w:trPr/>
        <w:tc>
          <w:tcPr>
            <w:tcW w:w="3898" w:type="dxa"/>
            <w:tcBorders/>
            <w:vAlign w:val="center"/>
          </w:tcPr>
          <w:p>
            <w:pPr>
              <w:pStyle w:val="TableContents"/>
              <w:bidi w:val="0"/>
              <w:spacing w:before="0" w:after="283"/>
              <w:jc w:val="left"/>
              <w:rPr/>
            </w:pPr>
            <w:r>
              <w:rPr/>
              <w:t>Fixed income securities</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(112</w:t>
            </w:r>
          </w:p>
        </w:tc>
        <w:tc>
          <w:tcPr>
            <w:tcW w:w="204" w:type="dxa"/>
            <w:tcBorders/>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(203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(251</w:t>
            </w:r>
          </w:p>
        </w:tc>
        <w:tc>
          <w:tcPr>
            <w:tcW w:w="199" w:type="dxa"/>
            <w:tcBorders/>
            <w:vAlign w:val="center"/>
          </w:tcPr>
          <w:p>
            <w:pPr>
              <w:pStyle w:val="TableContents"/>
              <w:bidi w:val="0"/>
              <w:spacing w:before="0" w:after="283"/>
              <w:jc w:val="left"/>
              <w:rPr/>
            </w:pPr>
            <w:r>
              <w:rPr/>
              <w:t>)</w:t>
            </w:r>
          </w:p>
        </w:tc>
        <w:tc>
          <w:tcPr>
            <w:tcW w:w="143"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(218</w:t>
            </w:r>
          </w:p>
        </w:tc>
        <w:tc>
          <w:tcPr>
            <w:tcW w:w="393" w:type="dxa"/>
            <w:tcBorders/>
            <w:vAlign w:val="center"/>
          </w:tcPr>
          <w:p>
            <w:pPr>
              <w:pStyle w:val="TableContents"/>
              <w:bidi w:val="0"/>
              <w:spacing w:before="0" w:after="283"/>
              <w:ind w:left="0" w:right="0" w:firstLine="216"/>
              <w:jc w:val="left"/>
              <w:rPr/>
            </w:pPr>
            <w:r>
              <w:rPr/>
              <w:t>)</w:t>
            </w:r>
          </w:p>
        </w:tc>
      </w:tr>
      <w:tr>
        <w:trPr/>
        <w:tc>
          <w:tcPr>
            <w:tcW w:w="3898" w:type="dxa"/>
            <w:tcBorders/>
            <w:shd w:fill="CCEEFF" w:val="clear"/>
            <w:vAlign w:val="center"/>
          </w:tcPr>
          <w:p>
            <w:pPr>
              <w:pStyle w:val="TableContents"/>
              <w:bidi w:val="0"/>
              <w:spacing w:before="0" w:after="283"/>
              <w:jc w:val="left"/>
              <w:rPr/>
            </w:pPr>
            <w:r>
              <w:rPr/>
              <w:t>Equity securities</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pPr>
            <w:r>
              <w:rPr/>
              <w:t>(228</w:t>
            </w:r>
          </w:p>
        </w:tc>
        <w:tc>
          <w:tcPr>
            <w:tcW w:w="204" w:type="dxa"/>
            <w:tcBorders/>
            <w:shd w:fill="CCEEFF" w:val="clear"/>
            <w:vAlign w:val="center"/>
          </w:tcPr>
          <w:p>
            <w:pPr>
              <w:pStyle w:val="TableContents"/>
              <w:bidi w:val="0"/>
              <w:spacing w:before="0" w:after="283"/>
              <w:jc w:val="left"/>
              <w:rPr/>
            </w:pPr>
            <w:r>
              <w:rPr/>
              <w:t>)</w:t>
            </w:r>
          </w:p>
        </w:tc>
        <w:tc>
          <w:tcPr>
            <w:tcW w:w="147" w:type="dxa"/>
            <w:tcBorders/>
            <w:shd w:fill="CCEEFF" w:val="clear"/>
            <w:vAlign w:val="center"/>
          </w:tcPr>
          <w:p>
            <w:pPr>
              <w:pStyle w:val="TableContents"/>
              <w:bidi w:val="0"/>
              <w:spacing w:before="0" w:after="283"/>
              <w:jc w:val="left"/>
              <w:rPr/>
            </w:pPr>
            <w:r>
              <w:rPr/>
              <w:t> </w:t>
            </w:r>
          </w:p>
        </w:tc>
        <w:tc>
          <w:tcPr>
            <w:tcW w:w="2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pPr>
            <w:r>
              <w:rPr/>
              <w:t>(24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(405</w:t>
            </w:r>
          </w:p>
        </w:tc>
        <w:tc>
          <w:tcPr>
            <w:tcW w:w="199" w:type="dxa"/>
            <w:tcBorders/>
            <w:shd w:fill="CCEEFF" w:val="clear"/>
            <w:vAlign w:val="center"/>
          </w:tcPr>
          <w:p>
            <w:pPr>
              <w:pStyle w:val="TableContents"/>
              <w:bidi w:val="0"/>
              <w:spacing w:before="0" w:after="283"/>
              <w:jc w:val="left"/>
              <w:rPr/>
            </w:pPr>
            <w:r>
              <w:rPr/>
              <w:t>)</w:t>
            </w:r>
          </w:p>
        </w:tc>
        <w:tc>
          <w:tcPr>
            <w:tcW w:w="143" w:type="dxa"/>
            <w:tcBorders/>
            <w:shd w:fill="CCEEFF" w:val="clear"/>
            <w:vAlign w:val="center"/>
          </w:tcPr>
          <w:p>
            <w:pPr>
              <w:pStyle w:val="TableContents"/>
              <w:bidi w:val="0"/>
              <w:spacing w:before="0" w:after="283"/>
              <w:jc w:val="left"/>
              <w:rPr/>
            </w:pPr>
            <w:r>
              <w:rPr/>
              <w:t> </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(481</w:t>
            </w:r>
          </w:p>
        </w:tc>
        <w:tc>
          <w:tcPr>
            <w:tcW w:w="393" w:type="dxa"/>
            <w:tcBorders/>
            <w:shd w:fill="CCEEFF" w:val="clear"/>
            <w:vAlign w:val="center"/>
          </w:tcPr>
          <w:p>
            <w:pPr>
              <w:pStyle w:val="TableContents"/>
              <w:bidi w:val="0"/>
              <w:spacing w:before="0" w:after="283"/>
              <w:jc w:val="left"/>
              <w:rPr/>
            </w:pPr>
            <w:r>
              <w:rPr/>
              <w:t>)</w:t>
            </w:r>
          </w:p>
        </w:tc>
      </w:tr>
      <w:tr>
        <w:trPr/>
        <w:tc>
          <w:tcPr>
            <w:tcW w:w="3898" w:type="dxa"/>
            <w:tcBorders/>
            <w:vAlign w:val="center"/>
          </w:tcPr>
          <w:p>
            <w:pPr>
              <w:pStyle w:val="TableContents"/>
              <w:bidi w:val="0"/>
              <w:spacing w:before="0" w:after="283"/>
              <w:jc w:val="left"/>
              <w:rPr/>
            </w:pPr>
            <w:r>
              <w:rPr/>
              <w:t>Total gross realized losses, excluding credit impairment losses</w:t>
            </w:r>
          </w:p>
        </w:tc>
        <w:tc>
          <w:tcPr>
            <w:tcW w:w="90" w:type="dxa"/>
            <w:tcBorders/>
            <w:vAlign w:val="center"/>
          </w:tcPr>
          <w:p>
            <w:pPr>
              <w:pStyle w:val="TableContents"/>
              <w:bidi w:val="0"/>
              <w:spacing w:before="0" w:after="283"/>
              <w:jc w:val="left"/>
              <w:rPr/>
            </w:pPr>
            <w:r>
              <w:rPr/>
              <w:t> </w:t>
            </w:r>
          </w:p>
        </w:tc>
        <w:tc>
          <w:tcPr>
            <w:tcW w:w="278" w:type="dxa"/>
            <w:tcBorders>
              <w:bottom w:val="single" w:sz="8" w:space="0" w:color="000000"/>
            </w:tcBorders>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tcMar>
              <w:bottom w:w="28" w:type="dxa"/>
            </w:tcMar>
            <w:vAlign w:val="center"/>
          </w:tcPr>
          <w:p>
            <w:pPr>
              <w:pStyle w:val="TableContents"/>
              <w:bidi w:val="0"/>
              <w:spacing w:before="0" w:after="283"/>
              <w:jc w:val="right"/>
              <w:rPr/>
            </w:pPr>
            <w:r>
              <w:rPr/>
              <w:t>(340</w:t>
            </w:r>
          </w:p>
        </w:tc>
        <w:tc>
          <w:tcPr>
            <w:tcW w:w="204" w:type="dxa"/>
            <w:tcBorders/>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 </w:t>
            </w:r>
          </w:p>
        </w:tc>
        <w:tc>
          <w:tcPr>
            <w:tcW w:w="278" w:type="dxa"/>
            <w:tcBorders>
              <w:bottom w:val="single" w:sz="8" w:space="0" w:color="000000"/>
            </w:tcBorders>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tcMar>
              <w:bottom w:w="28" w:type="dxa"/>
            </w:tcMar>
            <w:vAlign w:val="center"/>
          </w:tcPr>
          <w:p>
            <w:pPr>
              <w:pStyle w:val="TableContents"/>
              <w:bidi w:val="0"/>
              <w:spacing w:before="0" w:after="283"/>
              <w:jc w:val="right"/>
              <w:rPr/>
            </w:pPr>
            <w:r>
              <w:rPr/>
              <w:t>(227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1" w:type="dxa"/>
            <w:tcBorders>
              <w:bottom w:val="single" w:sz="8" w:space="0" w:color="000000"/>
            </w:tcBorders>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tcMar>
              <w:bottom w:w="28" w:type="dxa"/>
            </w:tcMar>
            <w:vAlign w:val="center"/>
          </w:tcPr>
          <w:p>
            <w:pPr>
              <w:pStyle w:val="TableContents"/>
              <w:bidi w:val="0"/>
              <w:spacing w:before="0" w:after="283"/>
              <w:jc w:val="right"/>
              <w:rPr/>
            </w:pPr>
            <w:r>
              <w:rPr/>
              <w:t>(656</w:t>
            </w:r>
          </w:p>
        </w:tc>
        <w:tc>
          <w:tcPr>
            <w:tcW w:w="199" w:type="dxa"/>
            <w:tcBorders/>
            <w:vAlign w:val="center"/>
          </w:tcPr>
          <w:p>
            <w:pPr>
              <w:pStyle w:val="TableContents"/>
              <w:bidi w:val="0"/>
              <w:spacing w:before="0" w:after="283"/>
              <w:jc w:val="left"/>
              <w:rPr/>
            </w:pPr>
            <w:r>
              <w:rPr/>
              <w:t>)</w:t>
            </w:r>
          </w:p>
        </w:tc>
        <w:tc>
          <w:tcPr>
            <w:tcW w:w="143" w:type="dxa"/>
            <w:tcBorders/>
            <w:vAlign w:val="center"/>
          </w:tcPr>
          <w:p>
            <w:pPr>
              <w:pStyle w:val="TableContents"/>
              <w:bidi w:val="0"/>
              <w:spacing w:before="0" w:after="283"/>
              <w:jc w:val="left"/>
              <w:rPr/>
            </w:pPr>
            <w:r>
              <w:rPr/>
              <w:t> </w:t>
            </w:r>
          </w:p>
        </w:tc>
        <w:tc>
          <w:tcPr>
            <w:tcW w:w="271" w:type="dxa"/>
            <w:tcBorders>
              <w:bottom w:val="single" w:sz="8" w:space="0" w:color="000000"/>
            </w:tcBorders>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tcMar>
              <w:bottom w:w="28" w:type="dxa"/>
            </w:tcMar>
            <w:vAlign w:val="center"/>
          </w:tcPr>
          <w:p>
            <w:pPr>
              <w:pStyle w:val="TableContents"/>
              <w:bidi w:val="0"/>
              <w:spacing w:before="0" w:after="283"/>
              <w:jc w:val="right"/>
              <w:rPr/>
            </w:pPr>
            <w:r>
              <w:rPr/>
              <w:t>(699</w:t>
            </w:r>
          </w:p>
        </w:tc>
        <w:tc>
          <w:tcPr>
            <w:tcW w:w="393" w:type="dxa"/>
            <w:tcBorders/>
            <w:vAlign w:val="center"/>
          </w:tcPr>
          <w:p>
            <w:pPr>
              <w:pStyle w:val="TableContents"/>
              <w:bidi w:val="0"/>
              <w:spacing w:before="0" w:after="283"/>
              <w:jc w:val="left"/>
              <w:rPr/>
            </w:pPr>
            <w:r>
              <w:rPr/>
              <w:t>)</w:t>
            </w:r>
          </w:p>
        </w:tc>
      </w:tr>
      <w:tr>
        <w:trPr/>
        <w:tc>
          <w:tcPr>
            <w:tcW w:w="389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204"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393" w:type="dxa"/>
            <w:tcBorders/>
            <w:shd w:fill="CCEEFF" w:val="clear"/>
            <w:vAlign w:val="center"/>
          </w:tcPr>
          <w:p>
            <w:pPr>
              <w:pStyle w:val="TableContents"/>
              <w:bidi w:val="0"/>
              <w:spacing w:before="0" w:after="283"/>
              <w:jc w:val="left"/>
              <w:rPr/>
            </w:pPr>
            <w:r>
              <w:rPr/>
              <w:t> </w:t>
            </w:r>
          </w:p>
        </w:tc>
      </w:tr>
      <w:tr>
        <w:trPr/>
        <w:tc>
          <w:tcPr>
            <w:tcW w:w="3898" w:type="dxa"/>
            <w:tcBorders/>
            <w:vAlign w:val="center"/>
          </w:tcPr>
          <w:p>
            <w:pPr>
              <w:pStyle w:val="TableContents"/>
              <w:bidi w:val="0"/>
              <w:spacing w:before="0" w:after="283"/>
              <w:jc w:val="left"/>
              <w:rPr/>
            </w:pPr>
            <w:r>
              <w:rPr/>
              <w:t>Net realized gains (losses)</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811</w:t>
            </w:r>
          </w:p>
        </w:tc>
        <w:tc>
          <w:tcPr>
            <w:tcW w:w="204"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1,244</w:t>
            </w:r>
          </w:p>
        </w:tc>
        <w:tc>
          <w:tcPr>
            <w:tcW w:w="199"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(37</w:t>
            </w:r>
          </w:p>
        </w:tc>
        <w:tc>
          <w:tcPr>
            <w:tcW w:w="393" w:type="dxa"/>
            <w:tcBorders/>
            <w:vAlign w:val="center"/>
          </w:tcPr>
          <w:p>
            <w:pPr>
              <w:pStyle w:val="TableContents"/>
              <w:bidi w:val="0"/>
              <w:spacing w:before="0" w:after="283"/>
              <w:jc w:val="left"/>
              <w:rPr/>
            </w:pPr>
            <w:r>
              <w:rPr/>
              <w:t>)</w:t>
            </w:r>
          </w:p>
        </w:tc>
      </w:tr>
      <w:tr>
        <w:trPr/>
        <w:tc>
          <w:tcPr>
            <w:tcW w:w="389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204"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393" w:type="dxa"/>
            <w:tcBorders/>
            <w:shd w:fill="CCEEFF" w:val="clear"/>
            <w:vAlign w:val="center"/>
          </w:tcPr>
          <w:p>
            <w:pPr>
              <w:pStyle w:val="TableContents"/>
              <w:bidi w:val="0"/>
              <w:spacing w:before="0" w:after="283"/>
              <w:jc w:val="left"/>
              <w:rPr/>
            </w:pPr>
            <w:r>
              <w:rPr/>
              <w:t> </w:t>
            </w:r>
          </w:p>
        </w:tc>
      </w:tr>
      <w:tr>
        <w:trPr/>
        <w:tc>
          <w:tcPr>
            <w:tcW w:w="3898" w:type="dxa"/>
            <w:tcBorders/>
            <w:vAlign w:val="center"/>
          </w:tcPr>
          <w:p>
            <w:pPr>
              <w:pStyle w:val="TableContents"/>
              <w:bidi w:val="0"/>
              <w:spacing w:before="0" w:after="283"/>
              <w:jc w:val="left"/>
              <w:rPr/>
            </w:pPr>
            <w:r>
              <w:rPr/>
              <w:t>Change in net unrealized gains on equity securities</w:t>
            </w:r>
          </w:p>
        </w:tc>
        <w:tc>
          <w:tcPr>
            <w:tcW w:w="90" w:type="dxa"/>
            <w:tcBorders/>
            <w:vAlign w:val="center"/>
          </w:tcPr>
          <w:p>
            <w:pPr>
              <w:pStyle w:val="TableContents"/>
              <w:bidi w:val="0"/>
              <w:spacing w:before="0" w:after="283"/>
              <w:jc w:val="left"/>
              <w:rPr/>
            </w:pPr>
            <w:r>
              <w:rPr/>
              <w:t> </w:t>
            </w:r>
          </w:p>
        </w:tc>
        <w:tc>
          <w:tcPr>
            <w:tcW w:w="278" w:type="dxa"/>
            <w:tcBorders>
              <w:bottom w:val="single" w:sz="8" w:space="0" w:color="000000"/>
            </w:tcBorders>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tcMar>
              <w:bottom w:w="28" w:type="dxa"/>
            </w:tcMar>
            <w:vAlign w:val="center"/>
          </w:tcPr>
          <w:p>
            <w:pPr>
              <w:pStyle w:val="TableContents"/>
              <w:bidi w:val="0"/>
              <w:spacing w:before="0" w:after="283"/>
              <w:jc w:val="right"/>
              <w:rPr/>
            </w:pPr>
            <w:r>
              <w:rPr/>
              <w:t>551</w:t>
            </w:r>
          </w:p>
        </w:tc>
        <w:tc>
          <w:tcPr>
            <w:tcW w:w="204"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78" w:type="dxa"/>
            <w:tcBorders>
              <w:bottom w:val="single" w:sz="8" w:space="0" w:color="000000"/>
            </w:tcBorders>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tcMar>
              <w:bottom w:w="28" w:type="dxa"/>
            </w:tcMar>
            <w:vAlign w:val="center"/>
          </w:tcPr>
          <w:p>
            <w:pPr>
              <w:pStyle w:val="TableContents"/>
              <w:bidi w:val="0"/>
              <w:spacing w:before="0" w:after="283"/>
              <w:jc w:val="right"/>
              <w:rPr/>
            </w:pPr>
            <w:r>
              <w:rPr/>
              <w:t>2,367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 w:type="dxa"/>
            <w:tcBorders>
              <w:bottom w:val="single" w:sz="8" w:space="0" w:color="000000"/>
            </w:tcBorders>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tcMar>
              <w:bottom w:w="28" w:type="dxa"/>
            </w:tcMar>
            <w:vAlign w:val="center"/>
          </w:tcPr>
          <w:p>
            <w:pPr>
              <w:pStyle w:val="TableContents"/>
              <w:bidi w:val="0"/>
              <w:spacing w:before="0" w:after="283"/>
              <w:jc w:val="right"/>
              <w:rPr/>
            </w:pPr>
            <w:r>
              <w:rPr/>
              <w:t>577</w:t>
            </w:r>
          </w:p>
        </w:tc>
        <w:tc>
          <w:tcPr>
            <w:tcW w:w="199"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71" w:type="dxa"/>
            <w:tcBorders>
              <w:bottom w:val="single" w:sz="8" w:space="0" w:color="000000"/>
            </w:tcBorders>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tcMar>
              <w:bottom w:w="28" w:type="dxa"/>
            </w:tcMar>
            <w:vAlign w:val="center"/>
          </w:tcPr>
          <w:p>
            <w:pPr>
              <w:pStyle w:val="TableContents"/>
              <w:bidi w:val="0"/>
              <w:spacing w:before="0" w:after="283"/>
              <w:jc w:val="right"/>
              <w:rPr/>
            </w:pPr>
            <w:r>
              <w:rPr/>
              <w:t>3,325</w:t>
            </w:r>
          </w:p>
        </w:tc>
        <w:tc>
          <w:tcPr>
            <w:tcW w:w="393" w:type="dxa"/>
            <w:tcBorders/>
            <w:vAlign w:val="center"/>
          </w:tcPr>
          <w:p>
            <w:pPr>
              <w:pStyle w:val="TableContents"/>
              <w:bidi w:val="0"/>
              <w:spacing w:before="0" w:after="283"/>
              <w:jc w:val="left"/>
              <w:rPr/>
            </w:pPr>
            <w:r>
              <w:rPr/>
              <w:t> </w:t>
            </w:r>
          </w:p>
        </w:tc>
      </w:tr>
      <w:tr>
        <w:trPr/>
        <w:tc>
          <w:tcPr>
            <w:tcW w:w="3898" w:type="dxa"/>
            <w:tcBorders/>
            <w:shd w:fill="CCEEFF" w:val="clear"/>
            <w:vAlign w:val="center"/>
          </w:tcPr>
          <w:p>
            <w:pPr>
              <w:pStyle w:val="TableContents"/>
              <w:bidi w:val="0"/>
              <w:spacing w:before="0" w:after="283"/>
              <w:jc w:val="left"/>
              <w:rPr/>
            </w:pPr>
            <w:r>
              <w:rPr/>
              <w:t>Net investment gains – continuing operations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1,362</w:t>
            </w:r>
          </w:p>
        </w:tc>
        <w:tc>
          <w:tcPr>
            <w:tcW w:w="204"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2,412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1,821</w:t>
            </w:r>
          </w:p>
        </w:tc>
        <w:tc>
          <w:tcPr>
            <w:tcW w:w="19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3,288</w:t>
            </w:r>
          </w:p>
        </w:tc>
        <w:tc>
          <w:tcPr>
            <w:tcW w:w="393" w:type="dxa"/>
            <w:tcBorders/>
            <w:shd w:fill="CCEEFF" w:val="clear"/>
            <w:vAlign w:val="center"/>
          </w:tcPr>
          <w:p>
            <w:pPr>
              <w:pStyle w:val="TableContents"/>
              <w:bidi w:val="0"/>
              <w:spacing w:before="0" w:after="283"/>
              <w:jc w:val="left"/>
              <w:rPr/>
            </w:pPr>
            <w:r>
              <w:rPr/>
              <w:t> </w:t>
            </w:r>
          </w:p>
        </w:tc>
      </w:tr>
      <w:tr>
        <w:trPr/>
        <w:tc>
          <w:tcPr>
            <w:tcW w:w="3898" w:type="dxa"/>
            <w:tcBorders/>
            <w:vAlign w:val="center"/>
          </w:tcPr>
          <w:p>
            <w:pPr>
              <w:pStyle w:val="TableContents"/>
              <w:bidi w:val="0"/>
              <w:spacing w:before="0" w:after="283"/>
              <w:jc w:val="left"/>
              <w:rPr/>
            </w:pPr>
            <w:r>
              <w:rPr/>
              <w:t>Net investment gains – discontinued operations</w:t>
            </w:r>
          </w:p>
        </w:tc>
        <w:tc>
          <w:tcPr>
            <w:tcW w:w="90" w:type="dxa"/>
            <w:tcBorders/>
            <w:vAlign w:val="center"/>
          </w:tcPr>
          <w:p>
            <w:pPr>
              <w:pStyle w:val="TableContents"/>
              <w:bidi w:val="0"/>
              <w:spacing w:before="0" w:after="283"/>
              <w:jc w:val="left"/>
              <w:rPr/>
            </w:pPr>
            <w:r>
              <w:rPr/>
              <w:t> </w:t>
            </w:r>
          </w:p>
        </w:tc>
        <w:tc>
          <w:tcPr>
            <w:tcW w:w="278" w:type="dxa"/>
            <w:tcBorders>
              <w:bottom w:val="single" w:sz="8" w:space="0" w:color="000000"/>
            </w:tcBorders>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tcMar>
              <w:bottom w:w="28" w:type="dxa"/>
            </w:tcMar>
            <w:vAlign w:val="center"/>
          </w:tcPr>
          <w:p>
            <w:pPr>
              <w:pStyle w:val="TableContents"/>
              <w:bidi w:val="0"/>
              <w:spacing w:before="0" w:after="0"/>
              <w:jc w:val="right"/>
              <w:rPr/>
            </w:pPr>
            <w:r>
              <w:rPr/>
              <w:t>—</w:t>
            </w:r>
          </w:p>
        </w:tc>
        <w:tc>
          <w:tcPr>
            <w:tcW w:w="204"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78" w:type="dxa"/>
            <w:tcBorders>
              <w:bottom w:val="single" w:sz="8" w:space="0" w:color="000000"/>
            </w:tcBorders>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 w:type="dxa"/>
            <w:tcBorders>
              <w:bottom w:val="single" w:sz="8" w:space="0" w:color="000000"/>
            </w:tcBorders>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tcMar>
              <w:bottom w:w="28" w:type="dxa"/>
            </w:tcMar>
            <w:vAlign w:val="center"/>
          </w:tcPr>
          <w:p>
            <w:pPr>
              <w:pStyle w:val="TableContents"/>
              <w:bidi w:val="0"/>
              <w:spacing w:before="0" w:after="0"/>
              <w:jc w:val="right"/>
              <w:rPr/>
            </w:pPr>
            <w:r>
              <w:rPr/>
              <w:t>—</w:t>
            </w:r>
          </w:p>
        </w:tc>
        <w:tc>
          <w:tcPr>
            <w:tcW w:w="199"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271" w:type="dxa"/>
            <w:tcBorders>
              <w:bottom w:val="single" w:sz="8" w:space="0" w:color="000000"/>
            </w:tcBorders>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tcMar>
              <w:bottom w:w="28" w:type="dxa"/>
            </w:tcMar>
            <w:vAlign w:val="center"/>
          </w:tcPr>
          <w:p>
            <w:pPr>
              <w:pStyle w:val="TableContents"/>
              <w:bidi w:val="0"/>
              <w:spacing w:before="0" w:after="283"/>
              <w:jc w:val="right"/>
              <w:rPr/>
            </w:pPr>
            <w:r>
              <w:rPr/>
              <w:t>116</w:t>
            </w:r>
          </w:p>
        </w:tc>
        <w:tc>
          <w:tcPr>
            <w:tcW w:w="393" w:type="dxa"/>
            <w:tcBorders/>
            <w:vAlign w:val="center"/>
          </w:tcPr>
          <w:p>
            <w:pPr>
              <w:pStyle w:val="TableContents"/>
              <w:bidi w:val="0"/>
              <w:spacing w:before="0" w:after="283"/>
              <w:jc w:val="left"/>
              <w:rPr/>
            </w:pPr>
            <w:r>
              <w:rPr/>
              <w:t> </w:t>
            </w:r>
          </w:p>
        </w:tc>
      </w:tr>
      <w:tr>
        <w:trPr/>
        <w:tc>
          <w:tcPr>
            <w:tcW w:w="3898" w:type="dxa"/>
            <w:tcBorders/>
            <w:shd w:fill="CCEEFF" w:val="clear"/>
            <w:vAlign w:val="center"/>
          </w:tcPr>
          <w:p>
            <w:pPr>
              <w:pStyle w:val="TableContents"/>
              <w:bidi w:val="0"/>
              <w:spacing w:before="0" w:after="283"/>
              <w:jc w:val="left"/>
              <w:rPr/>
            </w:pPr>
            <w:r>
              <w:rPr/>
              <w:t>Net investment gains</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7" w:type="dxa"/>
            <w:tcBorders>
              <w:bottom w:val="double" w:sz="6" w:space="0" w:color="000000"/>
            </w:tcBorders>
            <w:shd w:fill="CCEEFF" w:val="clear"/>
            <w:tcMar>
              <w:bottom w:w="28" w:type="dxa"/>
            </w:tcMar>
            <w:vAlign w:val="center"/>
          </w:tcPr>
          <w:p>
            <w:pPr>
              <w:pStyle w:val="TableContents"/>
              <w:bidi w:val="0"/>
              <w:spacing w:before="0" w:after="283"/>
              <w:jc w:val="right"/>
              <w:rPr/>
            </w:pPr>
            <w:r>
              <w:rPr/>
              <w:t>1,362</w:t>
            </w:r>
          </w:p>
        </w:tc>
        <w:tc>
          <w:tcPr>
            <w:tcW w:w="204"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7" w:type="dxa"/>
            <w:tcBorders>
              <w:bottom w:val="double" w:sz="6" w:space="0" w:color="000000"/>
            </w:tcBorders>
            <w:shd w:fill="CCEEFF" w:val="clear"/>
            <w:tcMar>
              <w:bottom w:w="28" w:type="dxa"/>
            </w:tcMar>
            <w:vAlign w:val="center"/>
          </w:tcPr>
          <w:p>
            <w:pPr>
              <w:pStyle w:val="TableContents"/>
              <w:bidi w:val="0"/>
              <w:spacing w:before="0" w:after="283"/>
              <w:jc w:val="right"/>
              <w:rPr/>
            </w:pPr>
            <w:r>
              <w:rPr/>
              <w:t>2,412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pPr>
            <w:r>
              <w:rPr/>
              <w:t>1,821</w:t>
            </w:r>
          </w:p>
        </w:tc>
        <w:tc>
          <w:tcPr>
            <w:tcW w:w="19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pPr>
            <w:r>
              <w:rPr/>
              <w:t>3,404</w:t>
            </w:r>
          </w:p>
        </w:tc>
        <w:tc>
          <w:tcPr>
            <w:tcW w:w="393"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investment transactions were $499 and $0 for the nine months ended September 30, 2025 and 2024, respectively. The activity in the current year consisted of one non-cash exchange of a fixed income security.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1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Fair Value Measurements</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fair value measurements to record fair value adjustments to certain assets to determine fair value disclosures. Investment securities available for sale are recorded at fair value on a recurring basis. Additionally, from time to time, we may be required to record other assets or liabilities at fair value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tbl>
      <w:tblPr>
        <w:tblW w:w="10205" w:type="dxa"/>
        <w:jc w:val="left"/>
        <w:tblInd w:w="0" w:type="dxa"/>
        <w:tblLayout w:type="fixed"/>
        <w:tblCellMar>
          <w:top w:w="0" w:type="dxa"/>
          <w:left w:w="0" w:type="dxa"/>
          <w:bottom w:w="0" w:type="dxa"/>
          <w:right w:w="0" w:type="dxa"/>
        </w:tblCellMar>
      </w:tblPr>
      <w:tblGrid>
        <w:gridCol w:w="105"/>
        <w:gridCol w:w="520"/>
        <w:gridCol w:w="9580"/>
      </w:tblGrid>
      <w:tr>
        <w:trPr/>
        <w:tc>
          <w:tcPr>
            <w:tcW w:w="105"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i/>
                <w:sz w:val="20"/>
              </w:rPr>
            </w:pPr>
            <w:r>
              <w:rPr>
                <w:i/>
                <w:sz w:val="20"/>
              </w:rPr>
              <w:t>Level 1:</w:t>
            </w:r>
          </w:p>
        </w:tc>
        <w:tc>
          <w:tcPr>
            <w:tcW w:w="9580" w:type="dxa"/>
            <w:tcBorders/>
            <w:vAlign w:val="center"/>
          </w:tcPr>
          <w:p>
            <w:pPr>
              <w:pStyle w:val="TableContents"/>
              <w:bidi w:val="0"/>
              <w:spacing w:before="0" w:after="283"/>
              <w:jc w:val="left"/>
              <w:rPr>
                <w:sz w:val="20"/>
              </w:rPr>
            </w:pPr>
            <w:r>
              <w:rPr>
                <w:sz w:val="20"/>
              </w:rPr>
              <w:t>Unadjusted quoted prices in active markets that are accessible at the measurement date for identical, unrestricted assets or liabilities.</w:t>
            </w:r>
          </w:p>
        </w:tc>
      </w:tr>
      <w:tr>
        <w:trPr/>
        <w:tc>
          <w:tcPr>
            <w:tcW w:w="105"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20"/>
              </w:rPr>
            </w:pPr>
            <w:r>
              <w:rPr>
                <w:i/>
                <w:sz w:val="20"/>
              </w:rPr>
              <w:t>Level 2</w:t>
            </w:r>
            <w:r>
              <w:rPr>
                <w:sz w:val="20"/>
              </w:rPr>
              <w:t>:</w:t>
            </w:r>
          </w:p>
        </w:tc>
        <w:tc>
          <w:tcPr>
            <w:tcW w:w="9580" w:type="dxa"/>
            <w:tcBorders/>
            <w:vAlign w:val="center"/>
          </w:tcPr>
          <w:p>
            <w:pPr>
              <w:pStyle w:val="TableContents"/>
              <w:bidi w:val="0"/>
              <w:spacing w:before="0" w:after="283"/>
              <w:jc w:val="left"/>
              <w:rPr>
                <w:sz w:val="20"/>
              </w:rPr>
            </w:pPr>
            <w:r>
              <w:rPr>
                <w:sz w:val="20"/>
              </w:rPr>
              <w:t>Quoted prices in markets that are not active, or inputs that are observable either directly or indirectly, for substantially the full term of the asset or liability.  Level 2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tc>
      </w:tr>
      <w:tr>
        <w:trPr/>
        <w:tc>
          <w:tcPr>
            <w:tcW w:w="105"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sz w:val="20"/>
              </w:rPr>
            </w:pPr>
            <w:r>
              <w:rPr>
                <w:i/>
                <w:sz w:val="20"/>
              </w:rPr>
              <w:t>Level 3</w:t>
            </w:r>
            <w:r>
              <w:rPr>
                <w:sz w:val="20"/>
              </w:rPr>
              <w:t>:</w:t>
            </w:r>
          </w:p>
        </w:tc>
        <w:tc>
          <w:tcPr>
            <w:tcW w:w="9580" w:type="dxa"/>
            <w:tcBorders/>
            <w:vAlign w:val="center"/>
          </w:tcPr>
          <w:p>
            <w:pPr>
              <w:pStyle w:val="TableContents"/>
              <w:bidi w:val="0"/>
              <w:spacing w:before="0" w:after="283"/>
              <w:jc w:val="left"/>
              <w:rPr>
                <w:sz w:val="20"/>
              </w:rPr>
            </w:pPr>
            <w:r>
              <w:rPr>
                <w:sz w:val="20"/>
              </w:rPr>
              <w:t>Prices or valuation techniques that require inputs that are both significant to the fair value measurement and unobservable (i.e., supported with little or no market activity).</w:t>
            </w:r>
          </w:p>
        </w:tc>
      </w:tr>
    </w:tbl>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the Company or other third-parties, are often calculated based on the characteristics of the asset, the economic and competitive environment, and other such factors. 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which could have been realized in a sale transaction on the dates indicated. The estimated fair value amounts have been measured as of their respective period-end and have not been re-evaluated or updated for purposes of our consolidated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us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independent pricing service be unable to provide a fair value estimate, we would first attempt to obtain a fair value estimate from a second independent pricing service. If unsuccessful, we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we would use that estimate. In instances where the Company would be able to obtain fair value estimates from more than one broker-dealer, we would review the range of estimates and select the most appropriate value based on the facts and circumstances. Should neither the independent pricing service nor a broker-dealer provide a fair value estimate, we would develop a fair value estimate based on cash flow analyses and other valuation techniques that utilize certain unobservable inputs. Accordingly, the Company classifies such a security as a Level 3 investment.</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estimates of our investments provided by the independent pricing service at each period-end were utilized, among other resources, in reaching a conclusion as to the fair value of our investments.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reviews the reasonableness of the pricing provided by the independent pricing service by employing various analytical procedures. We also use information from a second independent pricing service to further validate the reasonableness of the valuation of our fixed income portfolio. If, after this review, management does not believe the pricing for any security is a reasonable estimate of fair value, then it will seek to resolve the discrepancy through discussions with the independent pricing services. In its review, management did not identify any such discrepancies and no adjustments were made to the estimates provided by the independent pricing services for the nine-month period ended September 30, 2025, or the year ended December 31, 2024. The classification within the fair value hierarchy is then confirmed based on the final conclusions from the pricing review.</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money market accounts and equity securities are generally based on Level 1 inputs, which use the market-approach valuation technique. The valuation of certain cash equivalents and our fixed income securities generally incorporates significant Level 2 inputs using the market and income approach techniques. We may assign a lower level to inputs typically considered to be Level 2 based on our assessment of liquidity and relative level of uncertainty surrounding inputs. There were no assets or liabilities classified at Level 3 at September 30, 2025, or December 31, 2024.</w:t>
      </w:r>
    </w:p>
    <w:p>
      <w:pPr>
        <w:pStyle w:val="TextBody"/>
        <w:bidi w:val="0"/>
        <w:spacing w:before="0" w:after="20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our assets which are measured on a recurring basis by the level within the fair value hierarchy in which fair value measurements fall:</w:t>
      </w:r>
    </w:p>
    <w:tbl>
      <w:tblPr>
        <w:tblW w:w="8859" w:type="dxa"/>
        <w:jc w:val="left"/>
        <w:tblInd w:w="0" w:type="dxa"/>
        <w:tblLayout w:type="fixed"/>
        <w:tblCellMar>
          <w:top w:w="0" w:type="dxa"/>
          <w:left w:w="0" w:type="dxa"/>
          <w:bottom w:w="0" w:type="dxa"/>
          <w:right w:w="0" w:type="dxa"/>
        </w:tblCellMar>
      </w:tblPr>
      <w:tblGrid>
        <w:gridCol w:w="4430"/>
        <w:gridCol w:w="90"/>
        <w:gridCol w:w="170"/>
        <w:gridCol w:w="830"/>
        <w:gridCol w:w="90"/>
        <w:gridCol w:w="90"/>
        <w:gridCol w:w="170"/>
        <w:gridCol w:w="710"/>
        <w:gridCol w:w="90"/>
        <w:gridCol w:w="90"/>
        <w:gridCol w:w="170"/>
        <w:gridCol w:w="830"/>
        <w:gridCol w:w="90"/>
        <w:gridCol w:w="90"/>
        <w:gridCol w:w="289"/>
        <w:gridCol w:w="495"/>
        <w:gridCol w:w="135"/>
      </w:tblGrid>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0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13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Fixed income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U.S. Government and agencies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12,147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12,147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w:t>
            </w:r>
          </w:p>
        </w:tc>
        <w:tc>
          <w:tcPr>
            <w:tcW w:w="495"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Obligations of states and political subdivisions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45,785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45,785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Corporate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129,383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129,383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Residential mortgage-backed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70,086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70,086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Commercial mortgage-backed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28,665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28,665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Asset-backed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25,416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25,416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Redeemable preferred stock</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3,289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3,289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8" w:space="0" w:color="000000"/>
            </w:tcBorders>
            <w:tcMar>
              <w:bottom w:w="28" w:type="dxa"/>
            </w:tcMar>
            <w:vAlign w:val="center"/>
          </w:tcPr>
          <w:p>
            <w:pPr>
              <w:pStyle w:val="TableContents"/>
              <w:bidi w:val="0"/>
              <w:spacing w:before="0" w:after="283"/>
              <w:jc w:val="left"/>
              <w:rPr/>
            </w:pPr>
            <w:r>
              <w:rPr/>
              <w:t> </w:t>
            </w:r>
          </w:p>
        </w:tc>
        <w:tc>
          <w:tcPr>
            <w:tcW w:w="495" w:type="dxa"/>
            <w:tcBorders>
              <w:bottom w:val="single" w:sz="8"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Total fixed income securities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314,771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314,771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Equity securities - common stock</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24,002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24,002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Money market accounts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4,544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4,544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Total assets at fair value</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343,317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28,546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314,771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double" w:sz="6" w:space="0" w:color="000000"/>
            </w:tcBorders>
            <w:tcMar>
              <w:bottom w:w="28" w:type="dxa"/>
            </w:tcMar>
            <w:vAlign w:val="center"/>
          </w:tcPr>
          <w:p>
            <w:pPr>
              <w:pStyle w:val="TableContents"/>
              <w:bidi w:val="0"/>
              <w:spacing w:before="0" w:after="283"/>
              <w:jc w:val="left"/>
              <w:rPr/>
            </w:pPr>
            <w:r>
              <w:rPr/>
              <w:t>$</w:t>
            </w:r>
          </w:p>
        </w:tc>
        <w:tc>
          <w:tcPr>
            <w:tcW w:w="495" w:type="dxa"/>
            <w:tcBorders>
              <w:bottom w:val="double" w:sz="6"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15" w:right="15" w:firstLine="705"/>
        <w:jc w:val="left"/>
        <w:rPr>
          <w:caps w:val="false"/>
          <w:smallCaps w:val="false"/>
        </w:rPr>
      </w:pPr>
      <w:r>
        <w:rPr>
          <w:caps w:val="false"/>
          <w:smallCaps w:val="false"/>
        </w:rPr>
        <w:t> </w:t>
      </w:r>
    </w:p>
    <w:tbl>
      <w:tblPr>
        <w:tblW w:w="8859" w:type="dxa"/>
        <w:jc w:val="left"/>
        <w:tblInd w:w="0" w:type="dxa"/>
        <w:tblLayout w:type="fixed"/>
        <w:tblCellMar>
          <w:top w:w="0" w:type="dxa"/>
          <w:left w:w="0" w:type="dxa"/>
          <w:bottom w:w="0" w:type="dxa"/>
          <w:right w:w="0" w:type="dxa"/>
        </w:tblCellMar>
      </w:tblPr>
      <w:tblGrid>
        <w:gridCol w:w="4430"/>
        <w:gridCol w:w="90"/>
        <w:gridCol w:w="170"/>
        <w:gridCol w:w="830"/>
        <w:gridCol w:w="90"/>
        <w:gridCol w:w="90"/>
        <w:gridCol w:w="170"/>
        <w:gridCol w:w="710"/>
        <w:gridCol w:w="90"/>
        <w:gridCol w:w="90"/>
        <w:gridCol w:w="170"/>
        <w:gridCol w:w="830"/>
        <w:gridCol w:w="90"/>
        <w:gridCol w:w="90"/>
        <w:gridCol w:w="289"/>
        <w:gridCol w:w="495"/>
        <w:gridCol w:w="135"/>
      </w:tblGrid>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0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3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Fixed income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U.S. Government and agencies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12,274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12,274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w:t>
            </w:r>
          </w:p>
        </w:tc>
        <w:tc>
          <w:tcPr>
            <w:tcW w:w="495"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Obligations of states and political subdivisions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43,823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43,823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Corporate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116,274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116,274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Residential mortgage-backed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48,777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48,777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Commercial mortgage-backed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27,184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27,184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Asset-backed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56,131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56,131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Redeemable preferred stock</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3,249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3,249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8" w:space="0" w:color="000000"/>
            </w:tcBorders>
            <w:tcMar>
              <w:bottom w:w="28" w:type="dxa"/>
            </w:tcMar>
            <w:vAlign w:val="center"/>
          </w:tcPr>
          <w:p>
            <w:pPr>
              <w:pStyle w:val="TableContents"/>
              <w:bidi w:val="0"/>
              <w:spacing w:before="0" w:after="283"/>
              <w:jc w:val="left"/>
              <w:rPr/>
            </w:pPr>
            <w:r>
              <w:rPr/>
              <w:t> </w:t>
            </w:r>
          </w:p>
        </w:tc>
        <w:tc>
          <w:tcPr>
            <w:tcW w:w="495" w:type="dxa"/>
            <w:tcBorders>
              <w:bottom w:val="single" w:sz="8"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Total fixed income securities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307,712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307,712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430" w:type="dxa"/>
            <w:tcBorders/>
            <w:shd w:fill="CCEEFF" w:val="clear"/>
            <w:vAlign w:val="center"/>
          </w:tcPr>
          <w:p>
            <w:pPr>
              <w:pStyle w:val="TableContents"/>
              <w:bidi w:val="0"/>
              <w:spacing w:before="0" w:after="283"/>
              <w:jc w:val="left"/>
              <w:rPr/>
            </w:pPr>
            <w:r>
              <w:rPr/>
              <w:t>Equity Securities - Common stock</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24,640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24,640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Money market accounts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10,950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10,950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Total assets at fair value</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343,302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35,590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307,712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double" w:sz="6" w:space="0" w:color="000000"/>
            </w:tcBorders>
            <w:tcMar>
              <w:bottom w:w="28" w:type="dxa"/>
            </w:tcMar>
            <w:vAlign w:val="center"/>
          </w:tcPr>
          <w:p>
            <w:pPr>
              <w:pStyle w:val="TableContents"/>
              <w:bidi w:val="0"/>
              <w:spacing w:before="0" w:after="283"/>
              <w:jc w:val="left"/>
              <w:rPr/>
            </w:pPr>
            <w:r>
              <w:rPr/>
              <w:t>$</w:t>
            </w:r>
          </w:p>
        </w:tc>
        <w:tc>
          <w:tcPr>
            <w:tcW w:w="495" w:type="dxa"/>
            <w:tcBorders>
              <w:bottom w:val="double" w:sz="6"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15" w:right="15" w:firstLine="705"/>
        <w:jc w:val="left"/>
        <w:rPr>
          <w:caps w:val="false"/>
          <w:smallCaps w:val="false"/>
        </w:rPr>
      </w:pPr>
      <w:r>
        <w:rPr>
          <w:caps w:val="false"/>
          <w:smallCaps w:val="false"/>
        </w:rPr>
        <w:t>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liabilities measured at fair value on a recurring basis at September 30, 2025, or December 31, 2024.</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1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Reinsurance</w:t>
      </w:r>
    </w:p>
    <w:p>
      <w:pPr>
        <w:pStyle w:val="TextBody"/>
        <w:bidi w:val="0"/>
        <w:spacing w:before="0" w:after="200"/>
        <w:ind w:left="15" w:right="15"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External Reinsurance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financial statements reflect the effects of assumed and ceded reinsurance transactions. Assumed reinsurance refers to the acceptance of certain insurance risks that other insurance companies have underwritten. Ceded reinsurance involves transferring certain insurance risks (along with the related written and earned premiums) the Company has underwritten to other insurance companies who agree to share these risks. The Company reinsures a portion of the risks it underwrites, through these ceded reinsurance agreements, in order to control its exposure to losses. Our ceded reinsurance is placed either on an automatic basis under general reinsurance contracts known as treaties or through facultative contracts placed on substantial individual risks. These contracts do not relieve the Company from its obligations to policyholders. Treaty reinsurance contracts are typically effective from January 1 through December 31 each year.</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nine-month period ended September 30, 2025, the Company maintained property catastrophe reinsurance protection covering $117,000 in excess of a $20,000 retention. Our per risk excess of loss treaty provides coverage of $4,000 in excess of $1,000 for property risks and $11,000 in excess of $1,000 for casualty risks. Additionally, a property per-risk facultative contract is in place to provide coverage up to $20,000 in excess of $5,000 per property. Aggregate stop loss reinsurance agreements are also in place for both crop hail and multi-peril crop coverage. The crop hail aggregate attaches at a 100% net loss ratio providing 50 points of cover. The multi-peril crop aggregate attaches at a 105% net loss ratio providing 45 points of cover. In addition to the aggregate covers, underlying multi-peril crop reinsurance is provided through the Federal Crop Insurance Corporation (“FCIC”).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maintained property catastrophe reinsurance protection covering $133,000 in excess of a $20,000 retention. With the exception of Westminster, a per risk excess of loss treaty provides coverage of $4,000 in excess of $1,000 for property risks and $11,000 in excess of $1,000 for casualty risks. For Westminster, a per risk excess of loss treaty provided coverage of $3,000 in excess of $2,000 for property risks and $10,000 in excess of $2,000 for casualty risks until July 1, 2024. Additionally, a property per-risk facultative contract is in place to provide coverage up to $20,000 in excess of $5,000 per property. Aggregate stop loss reinsurance agreements are also in place for both crop hail and multi-peril crop coverage. The crop hail aggregate attaches at a 100% net loss ratio providing 50 points of cover. The multi-peril crop aggregate attaches at a 105% net loss ratio providing 45 points of cover. In addition to the aggregate covers, underlying multi-peril crop reinsurance is provided through the FCIC.</w:t>
      </w:r>
    </w:p>
    <w:p>
      <w:pPr>
        <w:pStyle w:val="TextBody"/>
        <w:bidi w:val="0"/>
        <w:jc w:val="left"/>
        <w:rPr>
          <w:caps w:val="false"/>
          <w:smallCaps w:val="false"/>
        </w:rPr>
      </w:pPr>
      <w:r>
        <w:rPr>
          <w:caps w:val="false"/>
          <w:smallCaps w:val="false"/>
        </w:rPr>
        <w:t>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1, 2024, the Company’s reinsurance contracts were modified to exclude any Westminster losses occurring on or after that date, while maintaining all other existing limits, retentions, and attachment points.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actively monitors and evaluates the financial condition of the reinsurers and develops estimates of the uncollectible amounts due from reinsurers, which would be recognized as credit losses through an allowance account developed using the current expected credit losses (“CECL”) model. See the Part II, Item 8, Note 3 “Summary of Significant Accounting Policies and Basis of Presentation” section of the 2024 Annual Report for additional information. Credit loss estimates are made based on periodic evaluation of balances due from reinsurers, changes in reinsurer credit standing, judgments regarding reinsurers’ solvency, known disputes, reporting characteristics of the underlying reinsured business, historical experience, current economic conditions, and the state of reinsurer relations in general. Collection risk is mitigated by entering into reinsurance arrangements only with reinsurers that have strong credit ratings and statutory surplus above certain levels. At September 30, 2025, and December 31, 2024, management has concluded that it is not necessary to record an allowance for expected credit losses related to reinsurance recoverables. All of our significant reinsurance partners are rated “A-” (Excellent) or better by AM Best or “A+” or better by Standard &amp; Poor’s, and there is no history of write-offs.</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direct to net premiums on both a written and an earned basis, presented on a consolidated basis, including both continuing and discontinued operations, is as follows:</w:t>
      </w:r>
    </w:p>
    <w:tbl>
      <w:tblPr>
        <w:tblW w:w="10205" w:type="dxa"/>
        <w:jc w:val="left"/>
        <w:tblInd w:w="0" w:type="dxa"/>
        <w:tblLayout w:type="fixed"/>
        <w:tblCellMar>
          <w:top w:w="0" w:type="dxa"/>
          <w:left w:w="0" w:type="dxa"/>
          <w:bottom w:w="0" w:type="dxa"/>
          <w:right w:w="0" w:type="dxa"/>
        </w:tblCellMar>
      </w:tblPr>
      <w:tblGrid>
        <w:gridCol w:w="1702"/>
        <w:gridCol w:w="90"/>
        <w:gridCol w:w="370"/>
        <w:gridCol w:w="1420"/>
        <w:gridCol w:w="237"/>
        <w:gridCol w:w="171"/>
        <w:gridCol w:w="346"/>
        <w:gridCol w:w="1495"/>
        <w:gridCol w:w="125"/>
        <w:gridCol w:w="90"/>
        <w:gridCol w:w="373"/>
        <w:gridCol w:w="1418"/>
        <w:gridCol w:w="245"/>
        <w:gridCol w:w="176"/>
        <w:gridCol w:w="369"/>
        <w:gridCol w:w="1401"/>
        <w:gridCol w:w="177"/>
      </w:tblGrid>
      <w:tr>
        <w:trPr/>
        <w:tc>
          <w:tcPr>
            <w:tcW w:w="17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3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 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98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 2024</w:t>
            </w:r>
          </w:p>
        </w:tc>
        <w:tc>
          <w:tcPr>
            <w:tcW w:w="177" w:type="dxa"/>
            <w:tcBorders/>
            <w:vAlign w:val="center"/>
          </w:tcPr>
          <w:p>
            <w:pPr>
              <w:pStyle w:val="TableContents"/>
              <w:bidi w:val="0"/>
              <w:spacing w:before="0" w:after="283"/>
              <w:jc w:val="center"/>
              <w:rPr/>
            </w:pPr>
            <w:r>
              <w:rPr/>
              <w:t> </w:t>
            </w:r>
          </w:p>
        </w:tc>
      </w:tr>
      <w:tr>
        <w:trPr/>
        <w:tc>
          <w:tcPr>
            <w:tcW w:w="17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237" w:type="dxa"/>
            <w:tcBorders/>
            <w:vAlign w:val="center"/>
          </w:tcPr>
          <w:p>
            <w:pPr>
              <w:pStyle w:val="TableContents"/>
              <w:bidi w:val="0"/>
              <w:spacing w:before="0" w:after="283"/>
              <w:jc w:val="center"/>
              <w:rPr/>
            </w:pPr>
            <w:r>
              <w:rPr/>
              <w:t> </w:t>
            </w:r>
          </w:p>
        </w:tc>
        <w:tc>
          <w:tcPr>
            <w:tcW w:w="171" w:type="dxa"/>
            <w:tcBorders/>
            <w:vAlign w:val="center"/>
          </w:tcPr>
          <w:p>
            <w:pPr>
              <w:pStyle w:val="TableContents"/>
              <w:bidi w:val="0"/>
              <w:spacing w:before="0" w:after="283"/>
              <w:jc w:val="center"/>
              <w:rPr/>
            </w:pPr>
            <w:r>
              <w:rPr/>
              <w:t> </w:t>
            </w:r>
          </w:p>
        </w:tc>
        <w:tc>
          <w:tcPr>
            <w:tcW w:w="18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245" w:type="dxa"/>
            <w:tcBorders/>
            <w:vAlign w:val="center"/>
          </w:tcPr>
          <w:p>
            <w:pPr>
              <w:pStyle w:val="TableContents"/>
              <w:bidi w:val="0"/>
              <w:spacing w:before="0" w:after="283"/>
              <w:jc w:val="center"/>
              <w:rPr/>
            </w:pPr>
            <w:r>
              <w:rPr/>
              <w:t> </w:t>
            </w:r>
          </w:p>
        </w:tc>
        <w:tc>
          <w:tcPr>
            <w:tcW w:w="176" w:type="dxa"/>
            <w:tcBorders/>
            <w:vAlign w:val="center"/>
          </w:tcPr>
          <w:p>
            <w:pPr>
              <w:pStyle w:val="TableContents"/>
              <w:bidi w:val="0"/>
              <w:spacing w:before="0" w:after="283"/>
              <w:jc w:val="center"/>
              <w:rPr/>
            </w:pPr>
            <w:r>
              <w:rPr/>
              <w:t> </w:t>
            </w:r>
          </w:p>
        </w:tc>
        <w:tc>
          <w:tcPr>
            <w:tcW w:w="17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177" w:type="dxa"/>
            <w:tcBorders/>
            <w:vAlign w:val="center"/>
          </w:tcPr>
          <w:p>
            <w:pPr>
              <w:pStyle w:val="TableContents"/>
              <w:bidi w:val="0"/>
              <w:spacing w:before="0" w:after="283"/>
              <w:jc w:val="center"/>
              <w:rPr/>
            </w:pPr>
            <w:r>
              <w:rPr/>
              <w:t> </w:t>
            </w:r>
          </w:p>
        </w:tc>
      </w:tr>
      <w:tr>
        <w:trPr/>
        <w:tc>
          <w:tcPr>
            <w:tcW w:w="1702" w:type="dxa"/>
            <w:tcBorders/>
            <w:shd w:fill="CCEEFF" w:val="clear"/>
            <w:vAlign w:val="center"/>
          </w:tcPr>
          <w:p>
            <w:pPr>
              <w:pStyle w:val="TableContents"/>
              <w:bidi w:val="0"/>
              <w:spacing w:before="0" w:after="283"/>
              <w:jc w:val="left"/>
              <w:rPr/>
            </w:pPr>
            <w:r>
              <w:rPr/>
              <w:t>Direct premium</w:t>
            </w:r>
          </w:p>
        </w:tc>
        <w:tc>
          <w:tcPr>
            <w:tcW w:w="9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w:t>
            </w:r>
          </w:p>
        </w:tc>
        <w:tc>
          <w:tcPr>
            <w:tcW w:w="1420" w:type="dxa"/>
            <w:tcBorders/>
            <w:shd w:fill="CCEEFF" w:val="clear"/>
            <w:vAlign w:val="center"/>
          </w:tcPr>
          <w:p>
            <w:pPr>
              <w:pStyle w:val="TableContents"/>
              <w:bidi w:val="0"/>
              <w:spacing w:before="0" w:after="283"/>
              <w:jc w:val="right"/>
              <w:rPr/>
            </w:pPr>
            <w:r>
              <w:rPr/>
              <w:t>58,458</w:t>
            </w:r>
          </w:p>
        </w:tc>
        <w:tc>
          <w:tcPr>
            <w:tcW w:w="237"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1495" w:type="dxa"/>
            <w:tcBorders/>
            <w:shd w:fill="CCEEFF" w:val="clear"/>
            <w:vAlign w:val="center"/>
          </w:tcPr>
          <w:p>
            <w:pPr>
              <w:pStyle w:val="TableContents"/>
              <w:bidi w:val="0"/>
              <w:spacing w:before="0" w:after="283"/>
              <w:jc w:val="right"/>
              <w:rPr/>
            </w:pPr>
            <w:r>
              <w:rPr/>
              <w:t>81,819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w:t>
            </w:r>
          </w:p>
        </w:tc>
        <w:tc>
          <w:tcPr>
            <w:tcW w:w="1418" w:type="dxa"/>
            <w:tcBorders/>
            <w:shd w:fill="CCEEFF" w:val="clear"/>
            <w:vAlign w:val="center"/>
          </w:tcPr>
          <w:p>
            <w:pPr>
              <w:pStyle w:val="TableContents"/>
              <w:bidi w:val="0"/>
              <w:spacing w:before="0" w:after="283"/>
              <w:jc w:val="right"/>
              <w:rPr/>
            </w:pPr>
            <w:r>
              <w:rPr/>
              <w:t>67,704</w:t>
            </w:r>
          </w:p>
        </w:tc>
        <w:tc>
          <w:tcPr>
            <w:tcW w:w="24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w:t>
            </w:r>
          </w:p>
        </w:tc>
        <w:tc>
          <w:tcPr>
            <w:tcW w:w="1401" w:type="dxa"/>
            <w:tcBorders/>
            <w:shd w:fill="CCEEFF" w:val="clear"/>
            <w:vAlign w:val="center"/>
          </w:tcPr>
          <w:p>
            <w:pPr>
              <w:pStyle w:val="TableContents"/>
              <w:bidi w:val="0"/>
              <w:spacing w:before="0" w:after="283"/>
              <w:jc w:val="right"/>
              <w:rPr/>
            </w:pPr>
            <w:r>
              <w:rPr/>
              <w:t>90,125</w:t>
            </w:r>
          </w:p>
        </w:tc>
        <w:tc>
          <w:tcPr>
            <w:tcW w:w="177" w:type="dxa"/>
            <w:tcBorders/>
            <w:shd w:fill="CCEEFF" w:val="clear"/>
            <w:vAlign w:val="center"/>
          </w:tcPr>
          <w:p>
            <w:pPr>
              <w:pStyle w:val="TableContents"/>
              <w:bidi w:val="0"/>
              <w:spacing w:before="0" w:after="283"/>
              <w:jc w:val="left"/>
              <w:rPr/>
            </w:pPr>
            <w:r>
              <w:rPr/>
              <w:t> </w:t>
            </w:r>
          </w:p>
        </w:tc>
      </w:tr>
      <w:tr>
        <w:trPr/>
        <w:tc>
          <w:tcPr>
            <w:tcW w:w="1702" w:type="dxa"/>
            <w:tcBorders/>
            <w:vAlign w:val="center"/>
          </w:tcPr>
          <w:p>
            <w:pPr>
              <w:pStyle w:val="TableContents"/>
              <w:bidi w:val="0"/>
              <w:spacing w:before="0" w:after="283"/>
              <w:jc w:val="left"/>
              <w:rPr/>
            </w:pPr>
            <w:r>
              <w:rPr/>
              <w:t>Assumed premium</w:t>
            </w:r>
          </w:p>
        </w:tc>
        <w:tc>
          <w:tcPr>
            <w:tcW w:w="9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right"/>
              <w:rPr/>
            </w:pPr>
            <w:r>
              <w:rPr/>
              <w:t>128</w:t>
            </w:r>
          </w:p>
        </w:tc>
        <w:tc>
          <w:tcPr>
            <w:tcW w:w="237"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1,741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right"/>
              <w:rPr/>
            </w:pPr>
            <w:r>
              <w:rPr/>
              <w:t>189</w:t>
            </w:r>
          </w:p>
        </w:tc>
        <w:tc>
          <w:tcPr>
            <w:tcW w:w="24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1,880</w:t>
            </w:r>
          </w:p>
        </w:tc>
        <w:tc>
          <w:tcPr>
            <w:tcW w:w="177" w:type="dxa"/>
            <w:tcBorders/>
            <w:vAlign w:val="center"/>
          </w:tcPr>
          <w:p>
            <w:pPr>
              <w:pStyle w:val="TableContents"/>
              <w:bidi w:val="0"/>
              <w:spacing w:before="0" w:after="283"/>
              <w:jc w:val="left"/>
              <w:rPr/>
            </w:pPr>
            <w:r>
              <w:rPr/>
              <w:t> </w:t>
            </w:r>
          </w:p>
        </w:tc>
      </w:tr>
      <w:tr>
        <w:trPr/>
        <w:tc>
          <w:tcPr>
            <w:tcW w:w="1702" w:type="dxa"/>
            <w:tcBorders/>
            <w:shd w:fill="CCEEFF" w:val="clear"/>
            <w:vAlign w:val="center"/>
          </w:tcPr>
          <w:p>
            <w:pPr>
              <w:pStyle w:val="TableContents"/>
              <w:bidi w:val="0"/>
              <w:spacing w:before="0" w:after="283"/>
              <w:jc w:val="left"/>
              <w:rPr/>
            </w:pPr>
            <w:r>
              <w:rPr/>
              <w:t>Ceded premium</w:t>
            </w:r>
          </w:p>
        </w:tc>
        <w:tc>
          <w:tcPr>
            <w:tcW w:w="90" w:type="dxa"/>
            <w:tcBorders/>
            <w:shd w:fill="CCEEFF" w:val="clear"/>
            <w:vAlign w:val="center"/>
          </w:tcPr>
          <w:p>
            <w:pPr>
              <w:pStyle w:val="TableContents"/>
              <w:bidi w:val="0"/>
              <w:spacing w:before="0" w:after="283"/>
              <w:jc w:val="left"/>
              <w:rPr/>
            </w:pPr>
            <w:r>
              <w:rPr/>
              <w:t> </w:t>
            </w:r>
          </w:p>
        </w:tc>
        <w:tc>
          <w:tcPr>
            <w:tcW w:w="3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0" w:type="dxa"/>
            <w:tcBorders>
              <w:bottom w:val="single" w:sz="8" w:space="0" w:color="000000"/>
            </w:tcBorders>
            <w:shd w:fill="CCEEFF" w:val="clear"/>
            <w:tcMar>
              <w:bottom w:w="28" w:type="dxa"/>
            </w:tcMar>
            <w:vAlign w:val="center"/>
          </w:tcPr>
          <w:p>
            <w:pPr>
              <w:pStyle w:val="TableContents"/>
              <w:bidi w:val="0"/>
              <w:spacing w:before="0" w:after="283"/>
              <w:jc w:val="right"/>
              <w:rPr/>
            </w:pPr>
            <w:r>
              <w:rPr/>
              <w:t>(6,588</w:t>
            </w:r>
          </w:p>
        </w:tc>
        <w:tc>
          <w:tcPr>
            <w:tcW w:w="237" w:type="dxa"/>
            <w:tcBorders/>
            <w:shd w:fill="CCEEFF" w:val="clear"/>
            <w:vAlign w:val="center"/>
          </w:tcPr>
          <w:p>
            <w:pPr>
              <w:pStyle w:val="TableContents"/>
              <w:bidi w:val="0"/>
              <w:spacing w:before="0" w:after="283"/>
              <w:jc w:val="left"/>
              <w:rPr/>
            </w:pPr>
            <w:r>
              <w:rPr/>
              <w:t>)</w:t>
            </w:r>
          </w:p>
        </w:tc>
        <w:tc>
          <w:tcPr>
            <w:tcW w:w="171" w:type="dxa"/>
            <w:tcBorders/>
            <w:shd w:fill="CCEEFF" w:val="clear"/>
            <w:vAlign w:val="center"/>
          </w:tcPr>
          <w:p>
            <w:pPr>
              <w:pStyle w:val="TableContents"/>
              <w:bidi w:val="0"/>
              <w:spacing w:before="0" w:after="283"/>
              <w:jc w:val="left"/>
              <w:rPr/>
            </w:pPr>
            <w:r>
              <w:rPr/>
              <w:t> </w:t>
            </w:r>
          </w:p>
        </w:tc>
        <w:tc>
          <w:tcPr>
            <w:tcW w:w="3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pPr>
            <w:r>
              <w:rPr/>
              <w:t>(11,655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8" w:type="dxa"/>
            <w:tcBorders>
              <w:bottom w:val="single" w:sz="8" w:space="0" w:color="000000"/>
            </w:tcBorders>
            <w:shd w:fill="CCEEFF" w:val="clear"/>
            <w:tcMar>
              <w:bottom w:w="28" w:type="dxa"/>
            </w:tcMar>
            <w:vAlign w:val="center"/>
          </w:tcPr>
          <w:p>
            <w:pPr>
              <w:pStyle w:val="TableContents"/>
              <w:bidi w:val="0"/>
              <w:spacing w:before="0" w:after="283"/>
              <w:jc w:val="right"/>
              <w:rPr/>
            </w:pPr>
            <w:r>
              <w:rPr/>
              <w:t>(5,451</w:t>
            </w:r>
          </w:p>
        </w:tc>
        <w:tc>
          <w:tcPr>
            <w:tcW w:w="245" w:type="dxa"/>
            <w:tcBorders/>
            <w:shd w:fill="CCEEFF" w:val="clear"/>
            <w:vAlign w:val="center"/>
          </w:tcPr>
          <w:p>
            <w:pPr>
              <w:pStyle w:val="TableContents"/>
              <w:bidi w:val="0"/>
              <w:spacing w:before="0" w:after="283"/>
              <w:jc w:val="left"/>
              <w:rPr/>
            </w:pPr>
            <w:r>
              <w:rPr/>
              <w:t>)</w:t>
            </w:r>
          </w:p>
        </w:tc>
        <w:tc>
          <w:tcPr>
            <w:tcW w:w="176" w:type="dxa"/>
            <w:tcBorders/>
            <w:shd w:fill="CCEEFF" w:val="clear"/>
            <w:vAlign w:val="center"/>
          </w:tcPr>
          <w:p>
            <w:pPr>
              <w:pStyle w:val="TableContents"/>
              <w:bidi w:val="0"/>
              <w:spacing w:before="0" w:after="283"/>
              <w:jc w:val="left"/>
              <w:rPr/>
            </w:pPr>
            <w:r>
              <w:rPr/>
              <w:t> </w:t>
            </w:r>
          </w:p>
        </w:tc>
        <w:tc>
          <w:tcPr>
            <w:tcW w:w="3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1" w:type="dxa"/>
            <w:tcBorders>
              <w:bottom w:val="single" w:sz="8" w:space="0" w:color="000000"/>
            </w:tcBorders>
            <w:shd w:fill="CCEEFF" w:val="clear"/>
            <w:tcMar>
              <w:bottom w:w="28" w:type="dxa"/>
            </w:tcMar>
            <w:vAlign w:val="center"/>
          </w:tcPr>
          <w:p>
            <w:pPr>
              <w:pStyle w:val="TableContents"/>
              <w:bidi w:val="0"/>
              <w:spacing w:before="0" w:after="283"/>
              <w:jc w:val="right"/>
              <w:rPr/>
            </w:pPr>
            <w:r>
              <w:rPr/>
              <w:t>(8,735</w:t>
            </w:r>
          </w:p>
        </w:tc>
        <w:tc>
          <w:tcPr>
            <w:tcW w:w="177" w:type="dxa"/>
            <w:tcBorders/>
            <w:shd w:fill="CCEEFF" w:val="clear"/>
            <w:vAlign w:val="center"/>
          </w:tcPr>
          <w:p>
            <w:pPr>
              <w:pStyle w:val="TableContents"/>
              <w:bidi w:val="0"/>
              <w:spacing w:before="0" w:after="283"/>
              <w:jc w:val="left"/>
              <w:rPr/>
            </w:pPr>
            <w:r>
              <w:rPr/>
              <w:t>)</w:t>
            </w:r>
          </w:p>
        </w:tc>
      </w:tr>
      <w:tr>
        <w:trPr/>
        <w:tc>
          <w:tcPr>
            <w:tcW w:w="1702" w:type="dxa"/>
            <w:tcBorders/>
            <w:vAlign w:val="center"/>
          </w:tcPr>
          <w:p>
            <w:pPr>
              <w:pStyle w:val="TableContents"/>
              <w:bidi w:val="0"/>
              <w:spacing w:before="0" w:after="283"/>
              <w:jc w:val="left"/>
              <w:rPr/>
            </w:pPr>
            <w:r>
              <w:rPr/>
              <w:t>Net premiums</w:t>
            </w:r>
          </w:p>
        </w:tc>
        <w:tc>
          <w:tcPr>
            <w:tcW w:w="90" w:type="dxa"/>
            <w:tcBorders/>
            <w:vAlign w:val="center"/>
          </w:tcPr>
          <w:p>
            <w:pPr>
              <w:pStyle w:val="TableContents"/>
              <w:bidi w:val="0"/>
              <w:spacing w:before="0" w:after="283"/>
              <w:jc w:val="left"/>
              <w:rPr/>
            </w:pPr>
            <w:r>
              <w:rPr/>
              <w:t> </w:t>
            </w:r>
          </w:p>
        </w:tc>
        <w:tc>
          <w:tcPr>
            <w:tcW w:w="370" w:type="dxa"/>
            <w:tcBorders>
              <w:bottom w:val="double" w:sz="6" w:space="0" w:color="000000"/>
            </w:tcBorders>
            <w:tcMar>
              <w:bottom w:w="28" w:type="dxa"/>
            </w:tcMar>
            <w:vAlign w:val="center"/>
          </w:tcPr>
          <w:p>
            <w:pPr>
              <w:pStyle w:val="TableContents"/>
              <w:bidi w:val="0"/>
              <w:spacing w:before="0" w:after="283"/>
              <w:jc w:val="left"/>
              <w:rPr/>
            </w:pPr>
            <w:r>
              <w:rPr/>
              <w:t>$</w:t>
            </w:r>
          </w:p>
        </w:tc>
        <w:tc>
          <w:tcPr>
            <w:tcW w:w="1420" w:type="dxa"/>
            <w:tcBorders>
              <w:bottom w:val="double" w:sz="6" w:space="0" w:color="000000"/>
            </w:tcBorders>
            <w:tcMar>
              <w:bottom w:w="28" w:type="dxa"/>
            </w:tcMar>
            <w:vAlign w:val="center"/>
          </w:tcPr>
          <w:p>
            <w:pPr>
              <w:pStyle w:val="TableContents"/>
              <w:bidi w:val="0"/>
              <w:spacing w:before="0" w:after="283"/>
              <w:jc w:val="right"/>
              <w:rPr/>
            </w:pPr>
            <w:r>
              <w:rPr/>
              <w:t>51,998</w:t>
            </w:r>
          </w:p>
        </w:tc>
        <w:tc>
          <w:tcPr>
            <w:tcW w:w="237"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346" w:type="dxa"/>
            <w:tcBorders>
              <w:bottom w:val="double" w:sz="6" w:space="0" w:color="000000"/>
            </w:tcBorders>
            <w:tcMar>
              <w:bottom w:w="28" w:type="dxa"/>
            </w:tcMar>
            <w:vAlign w:val="center"/>
          </w:tcPr>
          <w:p>
            <w:pPr>
              <w:pStyle w:val="TableContents"/>
              <w:bidi w:val="0"/>
              <w:spacing w:before="0" w:after="283"/>
              <w:jc w:val="left"/>
              <w:rPr/>
            </w:pPr>
            <w:r>
              <w:rPr/>
              <w:t>$</w:t>
            </w:r>
          </w:p>
        </w:tc>
        <w:tc>
          <w:tcPr>
            <w:tcW w:w="1495" w:type="dxa"/>
            <w:tcBorders>
              <w:bottom w:val="double" w:sz="6" w:space="0" w:color="000000"/>
            </w:tcBorders>
            <w:tcMar>
              <w:bottom w:w="28" w:type="dxa"/>
            </w:tcMar>
            <w:vAlign w:val="center"/>
          </w:tcPr>
          <w:p>
            <w:pPr>
              <w:pStyle w:val="TableContents"/>
              <w:bidi w:val="0"/>
              <w:spacing w:before="0" w:after="283"/>
              <w:jc w:val="right"/>
              <w:rPr/>
            </w:pPr>
            <w:r>
              <w:rPr/>
              <w:t>71,905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3" w:type="dxa"/>
            <w:tcBorders>
              <w:bottom w:val="double" w:sz="6" w:space="0" w:color="000000"/>
            </w:tcBorders>
            <w:tcMar>
              <w:bottom w:w="28" w:type="dxa"/>
            </w:tcMar>
            <w:vAlign w:val="center"/>
          </w:tcPr>
          <w:p>
            <w:pPr>
              <w:pStyle w:val="TableContents"/>
              <w:bidi w:val="0"/>
              <w:spacing w:before="0" w:after="283"/>
              <w:jc w:val="left"/>
              <w:rPr/>
            </w:pPr>
            <w:r>
              <w:rPr/>
              <w:t>$</w:t>
            </w:r>
          </w:p>
        </w:tc>
        <w:tc>
          <w:tcPr>
            <w:tcW w:w="1418" w:type="dxa"/>
            <w:tcBorders>
              <w:bottom w:val="double" w:sz="6" w:space="0" w:color="000000"/>
            </w:tcBorders>
            <w:tcMar>
              <w:bottom w:w="28" w:type="dxa"/>
            </w:tcMar>
            <w:vAlign w:val="center"/>
          </w:tcPr>
          <w:p>
            <w:pPr>
              <w:pStyle w:val="TableContents"/>
              <w:bidi w:val="0"/>
              <w:spacing w:before="0" w:after="283"/>
              <w:jc w:val="right"/>
              <w:rPr/>
            </w:pPr>
            <w:r>
              <w:rPr/>
              <w:t>62,442</w:t>
            </w:r>
          </w:p>
        </w:tc>
        <w:tc>
          <w:tcPr>
            <w:tcW w:w="24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369" w:type="dxa"/>
            <w:tcBorders>
              <w:bottom w:val="double" w:sz="6" w:space="0" w:color="000000"/>
            </w:tcBorders>
            <w:tcMar>
              <w:bottom w:w="28" w:type="dxa"/>
            </w:tcMar>
            <w:vAlign w:val="center"/>
          </w:tcPr>
          <w:p>
            <w:pPr>
              <w:pStyle w:val="TableContents"/>
              <w:bidi w:val="0"/>
              <w:spacing w:before="0" w:after="283"/>
              <w:jc w:val="left"/>
              <w:rPr/>
            </w:pPr>
            <w:r>
              <w:rPr/>
              <w:t>$</w:t>
            </w:r>
          </w:p>
        </w:tc>
        <w:tc>
          <w:tcPr>
            <w:tcW w:w="1401" w:type="dxa"/>
            <w:tcBorders>
              <w:bottom w:val="double" w:sz="6" w:space="0" w:color="000000"/>
            </w:tcBorders>
            <w:tcMar>
              <w:bottom w:w="28" w:type="dxa"/>
            </w:tcMar>
            <w:vAlign w:val="center"/>
          </w:tcPr>
          <w:p>
            <w:pPr>
              <w:pStyle w:val="TableContents"/>
              <w:bidi w:val="0"/>
              <w:spacing w:before="0" w:after="283"/>
              <w:jc w:val="right"/>
              <w:rPr/>
            </w:pPr>
            <w:r>
              <w:rPr/>
              <w:t>83,270</w:t>
            </w:r>
          </w:p>
        </w:tc>
        <w:tc>
          <w:tcPr>
            <w:tcW w:w="177" w:type="dxa"/>
            <w:tcBorders/>
            <w:vAlign w:val="center"/>
          </w:tcPr>
          <w:p>
            <w:pPr>
              <w:pStyle w:val="TableContents"/>
              <w:bidi w:val="0"/>
              <w:spacing w:before="0" w:after="283"/>
              <w:jc w:val="left"/>
              <w:rPr/>
            </w:pPr>
            <w:r>
              <w:rPr/>
              <w:t> </w:t>
            </w:r>
          </w:p>
        </w:tc>
      </w:tr>
    </w:tbl>
    <w:p>
      <w:pPr>
        <w:pStyle w:val="TextBody"/>
        <w:bidi w:val="0"/>
        <w:ind w:left="15" w:right="15"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4"/>
        <w:gridCol w:w="90"/>
        <w:gridCol w:w="318"/>
        <w:gridCol w:w="1504"/>
        <w:gridCol w:w="219"/>
        <w:gridCol w:w="158"/>
        <w:gridCol w:w="314"/>
        <w:gridCol w:w="1482"/>
        <w:gridCol w:w="125"/>
        <w:gridCol w:w="90"/>
        <w:gridCol w:w="318"/>
        <w:gridCol w:w="1504"/>
        <w:gridCol w:w="219"/>
        <w:gridCol w:w="158"/>
        <w:gridCol w:w="314"/>
        <w:gridCol w:w="1482"/>
        <w:gridCol w:w="176"/>
      </w:tblGrid>
      <w:tr>
        <w:trPr/>
        <w:tc>
          <w:tcPr>
            <w:tcW w:w="17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 2024</w:t>
            </w:r>
          </w:p>
        </w:tc>
        <w:tc>
          <w:tcPr>
            <w:tcW w:w="176" w:type="dxa"/>
            <w:tcBorders/>
            <w:vAlign w:val="center"/>
          </w:tcPr>
          <w:p>
            <w:pPr>
              <w:pStyle w:val="TableContents"/>
              <w:bidi w:val="0"/>
              <w:spacing w:before="0" w:after="283"/>
              <w:jc w:val="left"/>
              <w:rPr/>
            </w:pPr>
            <w:r>
              <w:rPr/>
              <w:t> </w:t>
            </w:r>
          </w:p>
        </w:tc>
      </w:tr>
      <w:tr>
        <w:trPr/>
        <w:tc>
          <w:tcPr>
            <w:tcW w:w="17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219"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7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219"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7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176" w:type="dxa"/>
            <w:tcBorders/>
            <w:vAlign w:val="center"/>
          </w:tcPr>
          <w:p>
            <w:pPr>
              <w:pStyle w:val="TableContents"/>
              <w:bidi w:val="0"/>
              <w:spacing w:before="0" w:after="283"/>
              <w:jc w:val="left"/>
              <w:rPr/>
            </w:pPr>
            <w:r>
              <w:rPr/>
              <w:t> </w:t>
            </w:r>
          </w:p>
        </w:tc>
      </w:tr>
      <w:tr>
        <w:trPr/>
        <w:tc>
          <w:tcPr>
            <w:tcW w:w="1734" w:type="dxa"/>
            <w:tcBorders/>
            <w:shd w:fill="CCEEFF" w:val="clear"/>
            <w:vAlign w:val="center"/>
          </w:tcPr>
          <w:p>
            <w:pPr>
              <w:pStyle w:val="TableContents"/>
              <w:bidi w:val="0"/>
              <w:spacing w:before="0" w:after="283"/>
              <w:jc w:val="left"/>
              <w:rPr/>
            </w:pPr>
            <w:r>
              <w:rPr/>
              <w:t>Direct premium</w:t>
            </w:r>
          </w:p>
        </w:tc>
        <w:tc>
          <w:tcPr>
            <w:tcW w:w="9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w:t>
            </w:r>
          </w:p>
        </w:tc>
        <w:tc>
          <w:tcPr>
            <w:tcW w:w="1504" w:type="dxa"/>
            <w:tcBorders/>
            <w:shd w:fill="CCEEFF" w:val="clear"/>
            <w:vAlign w:val="center"/>
          </w:tcPr>
          <w:p>
            <w:pPr>
              <w:pStyle w:val="TableContents"/>
              <w:bidi w:val="0"/>
              <w:spacing w:before="0" w:after="283"/>
              <w:jc w:val="right"/>
              <w:rPr/>
            </w:pPr>
            <w:r>
              <w:rPr/>
              <w:t>235,705</w:t>
            </w:r>
          </w:p>
        </w:tc>
        <w:tc>
          <w:tcPr>
            <w:tcW w:w="219"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w:t>
            </w:r>
          </w:p>
        </w:tc>
        <w:tc>
          <w:tcPr>
            <w:tcW w:w="1482" w:type="dxa"/>
            <w:tcBorders/>
            <w:shd w:fill="CCEEFF" w:val="clear"/>
            <w:vAlign w:val="center"/>
          </w:tcPr>
          <w:p>
            <w:pPr>
              <w:pStyle w:val="TableContents"/>
              <w:bidi w:val="0"/>
              <w:spacing w:before="0" w:after="283"/>
              <w:jc w:val="right"/>
              <w:rPr/>
            </w:pPr>
            <w:r>
              <w:rPr/>
              <w:t>236,523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w:t>
            </w:r>
          </w:p>
        </w:tc>
        <w:tc>
          <w:tcPr>
            <w:tcW w:w="1504" w:type="dxa"/>
            <w:tcBorders/>
            <w:shd w:fill="CCEEFF" w:val="clear"/>
            <w:vAlign w:val="center"/>
          </w:tcPr>
          <w:p>
            <w:pPr>
              <w:pStyle w:val="TableContents"/>
              <w:bidi w:val="0"/>
              <w:spacing w:before="0" w:after="283"/>
              <w:jc w:val="right"/>
              <w:rPr/>
            </w:pPr>
            <w:r>
              <w:rPr/>
              <w:t>310,849</w:t>
            </w:r>
          </w:p>
        </w:tc>
        <w:tc>
          <w:tcPr>
            <w:tcW w:w="219"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w:t>
            </w:r>
          </w:p>
        </w:tc>
        <w:tc>
          <w:tcPr>
            <w:tcW w:w="1482" w:type="dxa"/>
            <w:tcBorders/>
            <w:shd w:fill="CCEEFF" w:val="clear"/>
            <w:vAlign w:val="center"/>
          </w:tcPr>
          <w:p>
            <w:pPr>
              <w:pStyle w:val="TableContents"/>
              <w:bidi w:val="0"/>
              <w:spacing w:before="0" w:after="283"/>
              <w:jc w:val="right"/>
              <w:rPr/>
            </w:pPr>
            <w:r>
              <w:rPr/>
              <w:t>296,107</w:t>
            </w:r>
          </w:p>
        </w:tc>
        <w:tc>
          <w:tcPr>
            <w:tcW w:w="176" w:type="dxa"/>
            <w:tcBorders/>
            <w:shd w:fill="CCEEFF" w:val="clear"/>
            <w:vAlign w:val="center"/>
          </w:tcPr>
          <w:p>
            <w:pPr>
              <w:pStyle w:val="TableContents"/>
              <w:bidi w:val="0"/>
              <w:spacing w:before="0" w:after="283"/>
              <w:jc w:val="left"/>
              <w:rPr/>
            </w:pPr>
            <w:r>
              <w:rPr/>
              <w:t> </w:t>
            </w:r>
          </w:p>
        </w:tc>
      </w:tr>
      <w:tr>
        <w:trPr/>
        <w:tc>
          <w:tcPr>
            <w:tcW w:w="1734" w:type="dxa"/>
            <w:tcBorders/>
            <w:vAlign w:val="center"/>
          </w:tcPr>
          <w:p>
            <w:pPr>
              <w:pStyle w:val="TableContents"/>
              <w:bidi w:val="0"/>
              <w:spacing w:before="0" w:after="283"/>
              <w:jc w:val="left"/>
              <w:rPr/>
            </w:pPr>
            <w:r>
              <w:rPr/>
              <w:t>Assumed premium</w:t>
            </w:r>
          </w:p>
        </w:tc>
        <w:tc>
          <w:tcPr>
            <w:tcW w:w="90"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c>
          <w:tcPr>
            <w:tcW w:w="1504" w:type="dxa"/>
            <w:tcBorders/>
            <w:vAlign w:val="center"/>
          </w:tcPr>
          <w:p>
            <w:pPr>
              <w:pStyle w:val="TableContents"/>
              <w:bidi w:val="0"/>
              <w:spacing w:before="0" w:after="283"/>
              <w:jc w:val="right"/>
              <w:rPr/>
            </w:pPr>
            <w:r>
              <w:rPr/>
              <w:t>2,475</w:t>
            </w:r>
          </w:p>
        </w:tc>
        <w:tc>
          <w:tcPr>
            <w:tcW w:w="219"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2,476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c>
          <w:tcPr>
            <w:tcW w:w="1504" w:type="dxa"/>
            <w:tcBorders/>
            <w:vAlign w:val="center"/>
          </w:tcPr>
          <w:p>
            <w:pPr>
              <w:pStyle w:val="TableContents"/>
              <w:bidi w:val="0"/>
              <w:spacing w:before="0" w:after="283"/>
              <w:jc w:val="right"/>
              <w:rPr/>
            </w:pPr>
            <w:r>
              <w:rPr/>
              <w:t>2,666</w:t>
            </w:r>
          </w:p>
        </w:tc>
        <w:tc>
          <w:tcPr>
            <w:tcW w:w="219"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2,684</w:t>
            </w:r>
          </w:p>
        </w:tc>
        <w:tc>
          <w:tcPr>
            <w:tcW w:w="176" w:type="dxa"/>
            <w:tcBorders/>
            <w:vAlign w:val="center"/>
          </w:tcPr>
          <w:p>
            <w:pPr>
              <w:pStyle w:val="TableContents"/>
              <w:bidi w:val="0"/>
              <w:spacing w:before="0" w:after="283"/>
              <w:jc w:val="left"/>
              <w:rPr/>
            </w:pPr>
            <w:r>
              <w:rPr/>
              <w:t> </w:t>
            </w:r>
          </w:p>
        </w:tc>
      </w:tr>
      <w:tr>
        <w:trPr/>
        <w:tc>
          <w:tcPr>
            <w:tcW w:w="1734" w:type="dxa"/>
            <w:tcBorders/>
            <w:shd w:fill="CCEEFF" w:val="clear"/>
            <w:vAlign w:val="center"/>
          </w:tcPr>
          <w:p>
            <w:pPr>
              <w:pStyle w:val="TableContents"/>
              <w:bidi w:val="0"/>
              <w:spacing w:before="0" w:after="283"/>
              <w:jc w:val="left"/>
              <w:rPr/>
            </w:pPr>
            <w:r>
              <w:rPr/>
              <w:t>Ceded premium</w:t>
            </w:r>
          </w:p>
        </w:tc>
        <w:tc>
          <w:tcPr>
            <w:tcW w:w="90" w:type="dxa"/>
            <w:tcBorders/>
            <w:shd w:fill="CCEEFF" w:val="clear"/>
            <w:vAlign w:val="center"/>
          </w:tcPr>
          <w:p>
            <w:pPr>
              <w:pStyle w:val="TableContents"/>
              <w:bidi w:val="0"/>
              <w:spacing w:before="0" w:after="283"/>
              <w:jc w:val="lef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4" w:type="dxa"/>
            <w:tcBorders>
              <w:bottom w:val="single" w:sz="8" w:space="0" w:color="000000"/>
            </w:tcBorders>
            <w:shd w:fill="CCEEFF" w:val="clear"/>
            <w:tcMar>
              <w:bottom w:w="28" w:type="dxa"/>
            </w:tcMar>
            <w:vAlign w:val="center"/>
          </w:tcPr>
          <w:p>
            <w:pPr>
              <w:pStyle w:val="TableContents"/>
              <w:bidi w:val="0"/>
              <w:spacing w:before="0" w:after="283"/>
              <w:jc w:val="right"/>
              <w:rPr/>
            </w:pPr>
            <w:r>
              <w:rPr/>
              <w:t>(29,810</w:t>
            </w:r>
          </w:p>
        </w:tc>
        <w:tc>
          <w:tcPr>
            <w:tcW w:w="219" w:type="dxa"/>
            <w:tcBorders/>
            <w:shd w:fill="CCEEFF" w:val="clear"/>
            <w:vAlign w:val="center"/>
          </w:tcPr>
          <w:p>
            <w:pPr>
              <w:pStyle w:val="TableContents"/>
              <w:bidi w:val="0"/>
              <w:spacing w:before="0" w:after="283"/>
              <w:jc w:val="left"/>
              <w:rPr/>
            </w:pPr>
            <w:r>
              <w:rPr/>
              <w:t>)</w:t>
            </w:r>
          </w:p>
        </w:tc>
        <w:tc>
          <w:tcPr>
            <w:tcW w:w="158" w:type="dxa"/>
            <w:tcBorders/>
            <w:shd w:fill="CCEEFF" w:val="clear"/>
            <w:vAlign w:val="center"/>
          </w:tcPr>
          <w:p>
            <w:pPr>
              <w:pStyle w:val="TableContents"/>
              <w:bidi w:val="0"/>
              <w:spacing w:before="0" w:after="283"/>
              <w:jc w:val="left"/>
              <w:rPr/>
            </w:pPr>
            <w:r>
              <w:rPr/>
              <w:t> </w:t>
            </w:r>
          </w:p>
        </w:tc>
        <w:tc>
          <w:tcPr>
            <w:tcW w:w="3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pPr>
            <w:r>
              <w:rPr/>
              <w:t>(26,592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4" w:type="dxa"/>
            <w:tcBorders>
              <w:bottom w:val="single" w:sz="8" w:space="0" w:color="000000"/>
            </w:tcBorders>
            <w:shd w:fill="CCEEFF" w:val="clear"/>
            <w:tcMar>
              <w:bottom w:w="28" w:type="dxa"/>
            </w:tcMar>
            <w:vAlign w:val="center"/>
          </w:tcPr>
          <w:p>
            <w:pPr>
              <w:pStyle w:val="TableContents"/>
              <w:bidi w:val="0"/>
              <w:spacing w:before="0" w:after="283"/>
              <w:jc w:val="right"/>
              <w:rPr/>
            </w:pPr>
            <w:r>
              <w:rPr/>
              <w:t>(31,523</w:t>
            </w:r>
          </w:p>
        </w:tc>
        <w:tc>
          <w:tcPr>
            <w:tcW w:w="219" w:type="dxa"/>
            <w:tcBorders/>
            <w:shd w:fill="CCEEFF" w:val="clear"/>
            <w:vAlign w:val="center"/>
          </w:tcPr>
          <w:p>
            <w:pPr>
              <w:pStyle w:val="TableContents"/>
              <w:bidi w:val="0"/>
              <w:spacing w:before="0" w:after="283"/>
              <w:jc w:val="left"/>
              <w:rPr/>
            </w:pPr>
            <w:r>
              <w:rPr/>
              <w:t>)</w:t>
            </w:r>
          </w:p>
        </w:tc>
        <w:tc>
          <w:tcPr>
            <w:tcW w:w="158" w:type="dxa"/>
            <w:tcBorders/>
            <w:shd w:fill="CCEEFF" w:val="clear"/>
            <w:vAlign w:val="center"/>
          </w:tcPr>
          <w:p>
            <w:pPr>
              <w:pStyle w:val="TableContents"/>
              <w:bidi w:val="0"/>
              <w:spacing w:before="0" w:after="283"/>
              <w:jc w:val="left"/>
              <w:rPr/>
            </w:pPr>
            <w:r>
              <w:rPr/>
              <w:t> </w:t>
            </w:r>
          </w:p>
        </w:tc>
        <w:tc>
          <w:tcPr>
            <w:tcW w:w="3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pPr>
            <w:r>
              <w:rPr/>
              <w:t>(29,412</w:t>
            </w:r>
          </w:p>
        </w:tc>
        <w:tc>
          <w:tcPr>
            <w:tcW w:w="176" w:type="dxa"/>
            <w:tcBorders/>
            <w:shd w:fill="CCEEFF" w:val="clear"/>
            <w:vAlign w:val="center"/>
          </w:tcPr>
          <w:p>
            <w:pPr>
              <w:pStyle w:val="TableContents"/>
              <w:bidi w:val="0"/>
              <w:spacing w:before="0" w:after="283"/>
              <w:jc w:val="left"/>
              <w:rPr/>
            </w:pPr>
            <w:r>
              <w:rPr/>
              <w:t>)</w:t>
            </w:r>
          </w:p>
        </w:tc>
      </w:tr>
      <w:tr>
        <w:trPr/>
        <w:tc>
          <w:tcPr>
            <w:tcW w:w="1734" w:type="dxa"/>
            <w:tcBorders/>
            <w:vAlign w:val="center"/>
          </w:tcPr>
          <w:p>
            <w:pPr>
              <w:pStyle w:val="TableContents"/>
              <w:bidi w:val="0"/>
              <w:spacing w:before="0" w:after="283"/>
              <w:jc w:val="left"/>
              <w:rPr/>
            </w:pPr>
            <w:r>
              <w:rPr/>
              <w:t>Net premiums</w:t>
            </w:r>
          </w:p>
        </w:tc>
        <w:tc>
          <w:tcPr>
            <w:tcW w:w="90" w:type="dxa"/>
            <w:tcBorders/>
            <w:vAlign w:val="center"/>
          </w:tcPr>
          <w:p>
            <w:pPr>
              <w:pStyle w:val="TableContents"/>
              <w:bidi w:val="0"/>
              <w:spacing w:before="0" w:after="283"/>
              <w:jc w:val="left"/>
              <w:rPr/>
            </w:pPr>
            <w:r>
              <w:rPr/>
              <w:t> </w:t>
            </w:r>
          </w:p>
        </w:tc>
        <w:tc>
          <w:tcPr>
            <w:tcW w:w="318" w:type="dxa"/>
            <w:tcBorders>
              <w:bottom w:val="double" w:sz="6" w:space="0" w:color="000000"/>
            </w:tcBorders>
            <w:tcMar>
              <w:bottom w:w="28" w:type="dxa"/>
            </w:tcMar>
            <w:vAlign w:val="center"/>
          </w:tcPr>
          <w:p>
            <w:pPr>
              <w:pStyle w:val="TableContents"/>
              <w:bidi w:val="0"/>
              <w:spacing w:before="0" w:after="283"/>
              <w:jc w:val="left"/>
              <w:rPr/>
            </w:pPr>
            <w:r>
              <w:rPr/>
              <w:t>$</w:t>
            </w:r>
          </w:p>
        </w:tc>
        <w:tc>
          <w:tcPr>
            <w:tcW w:w="1504" w:type="dxa"/>
            <w:tcBorders>
              <w:bottom w:val="double" w:sz="6" w:space="0" w:color="000000"/>
            </w:tcBorders>
            <w:tcMar>
              <w:bottom w:w="28" w:type="dxa"/>
            </w:tcMar>
            <w:vAlign w:val="center"/>
          </w:tcPr>
          <w:p>
            <w:pPr>
              <w:pStyle w:val="TableContents"/>
              <w:bidi w:val="0"/>
              <w:spacing w:before="0" w:after="283"/>
              <w:jc w:val="right"/>
              <w:rPr/>
            </w:pPr>
            <w:r>
              <w:rPr/>
              <w:t>208,370</w:t>
            </w:r>
          </w:p>
        </w:tc>
        <w:tc>
          <w:tcPr>
            <w:tcW w:w="219"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314" w:type="dxa"/>
            <w:tcBorders>
              <w:bottom w:val="double" w:sz="6" w:space="0" w:color="000000"/>
            </w:tcBorders>
            <w:tcMar>
              <w:bottom w:w="28" w:type="dxa"/>
            </w:tcMar>
            <w:vAlign w:val="center"/>
          </w:tcPr>
          <w:p>
            <w:pPr>
              <w:pStyle w:val="TableContents"/>
              <w:bidi w:val="0"/>
              <w:spacing w:before="0" w:after="283"/>
              <w:jc w:val="left"/>
              <w:rPr/>
            </w:pPr>
            <w:r>
              <w:rPr/>
              <w:t>$</w:t>
            </w:r>
          </w:p>
        </w:tc>
        <w:tc>
          <w:tcPr>
            <w:tcW w:w="1482" w:type="dxa"/>
            <w:tcBorders>
              <w:bottom w:val="double" w:sz="6" w:space="0" w:color="000000"/>
            </w:tcBorders>
            <w:tcMar>
              <w:bottom w:w="28" w:type="dxa"/>
            </w:tcMar>
            <w:vAlign w:val="center"/>
          </w:tcPr>
          <w:p>
            <w:pPr>
              <w:pStyle w:val="TableContents"/>
              <w:bidi w:val="0"/>
              <w:spacing w:before="0" w:after="283"/>
              <w:jc w:val="right"/>
              <w:rPr/>
            </w:pPr>
            <w:r>
              <w:rPr/>
              <w:t>212,407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8" w:type="dxa"/>
            <w:tcBorders>
              <w:bottom w:val="double" w:sz="6" w:space="0" w:color="000000"/>
            </w:tcBorders>
            <w:tcMar>
              <w:bottom w:w="28" w:type="dxa"/>
            </w:tcMar>
            <w:vAlign w:val="center"/>
          </w:tcPr>
          <w:p>
            <w:pPr>
              <w:pStyle w:val="TableContents"/>
              <w:bidi w:val="0"/>
              <w:spacing w:before="0" w:after="283"/>
              <w:jc w:val="left"/>
              <w:rPr/>
            </w:pPr>
            <w:r>
              <w:rPr/>
              <w:t>$</w:t>
            </w:r>
          </w:p>
        </w:tc>
        <w:tc>
          <w:tcPr>
            <w:tcW w:w="1504" w:type="dxa"/>
            <w:tcBorders>
              <w:bottom w:val="double" w:sz="6" w:space="0" w:color="000000"/>
            </w:tcBorders>
            <w:tcMar>
              <w:bottom w:w="28" w:type="dxa"/>
            </w:tcMar>
            <w:vAlign w:val="center"/>
          </w:tcPr>
          <w:p>
            <w:pPr>
              <w:pStyle w:val="TableContents"/>
              <w:bidi w:val="0"/>
              <w:spacing w:before="0" w:after="283"/>
              <w:jc w:val="right"/>
              <w:rPr/>
            </w:pPr>
            <w:r>
              <w:rPr/>
              <w:t>281,992</w:t>
            </w:r>
          </w:p>
        </w:tc>
        <w:tc>
          <w:tcPr>
            <w:tcW w:w="219"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314" w:type="dxa"/>
            <w:tcBorders>
              <w:bottom w:val="double" w:sz="6" w:space="0" w:color="000000"/>
            </w:tcBorders>
            <w:tcMar>
              <w:bottom w:w="28" w:type="dxa"/>
            </w:tcMar>
            <w:vAlign w:val="center"/>
          </w:tcPr>
          <w:p>
            <w:pPr>
              <w:pStyle w:val="TableContents"/>
              <w:bidi w:val="0"/>
              <w:spacing w:before="0" w:after="283"/>
              <w:jc w:val="left"/>
              <w:rPr/>
            </w:pPr>
            <w:r>
              <w:rPr/>
              <w:t>$</w:t>
            </w:r>
          </w:p>
        </w:tc>
        <w:tc>
          <w:tcPr>
            <w:tcW w:w="1482" w:type="dxa"/>
            <w:tcBorders>
              <w:bottom w:val="double" w:sz="6" w:space="0" w:color="000000"/>
            </w:tcBorders>
            <w:tcMar>
              <w:bottom w:w="28" w:type="dxa"/>
            </w:tcMar>
            <w:vAlign w:val="center"/>
          </w:tcPr>
          <w:p>
            <w:pPr>
              <w:pStyle w:val="TableContents"/>
              <w:bidi w:val="0"/>
              <w:spacing w:before="0" w:after="283"/>
              <w:jc w:val="right"/>
              <w:rPr/>
            </w:pPr>
            <w:r>
              <w:rPr/>
              <w:t>269,379</w:t>
            </w:r>
          </w:p>
        </w:tc>
        <w:tc>
          <w:tcPr>
            <w:tcW w:w="17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reconciliations of the Company’s direct to net premiums on both a written and an earned basis for the current and comparable prior year quarter, segregated between continuing and discontinued operations, are shown below:</w:t>
      </w:r>
    </w:p>
    <w:tbl>
      <w:tblPr>
        <w:tblW w:w="10205" w:type="dxa"/>
        <w:jc w:val="left"/>
        <w:tblInd w:w="0" w:type="dxa"/>
        <w:tblLayout w:type="fixed"/>
        <w:tblCellMar>
          <w:top w:w="0" w:type="dxa"/>
          <w:left w:w="0" w:type="dxa"/>
          <w:bottom w:w="0" w:type="dxa"/>
          <w:right w:w="0" w:type="dxa"/>
        </w:tblCellMar>
      </w:tblPr>
      <w:tblGrid>
        <w:gridCol w:w="1951"/>
        <w:gridCol w:w="90"/>
        <w:gridCol w:w="369"/>
        <w:gridCol w:w="1356"/>
        <w:gridCol w:w="227"/>
        <w:gridCol w:w="163"/>
        <w:gridCol w:w="342"/>
        <w:gridCol w:w="1429"/>
        <w:gridCol w:w="125"/>
        <w:gridCol w:w="90"/>
        <w:gridCol w:w="372"/>
        <w:gridCol w:w="1353"/>
        <w:gridCol w:w="234"/>
        <w:gridCol w:w="168"/>
        <w:gridCol w:w="369"/>
        <w:gridCol w:w="1337"/>
        <w:gridCol w:w="230"/>
      </w:tblGrid>
      <w:tr>
        <w:trPr/>
        <w:tc>
          <w:tcPr>
            <w:tcW w:w="195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8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3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 2024</w:t>
            </w:r>
          </w:p>
        </w:tc>
        <w:tc>
          <w:tcPr>
            <w:tcW w:w="230" w:type="dxa"/>
            <w:tcBorders/>
            <w:vAlign w:val="center"/>
          </w:tcPr>
          <w:p>
            <w:pPr>
              <w:pStyle w:val="TableContents"/>
              <w:bidi w:val="0"/>
              <w:spacing w:before="0" w:after="283"/>
              <w:jc w:val="left"/>
              <w:rPr/>
            </w:pPr>
            <w:r>
              <w:rPr/>
              <w:t> </w:t>
            </w:r>
          </w:p>
        </w:tc>
      </w:tr>
      <w:tr>
        <w:trPr/>
        <w:tc>
          <w:tcPr>
            <w:tcW w:w="195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227"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7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234"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7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230" w:type="dxa"/>
            <w:tcBorders/>
            <w:vAlign w:val="center"/>
          </w:tcPr>
          <w:p>
            <w:pPr>
              <w:pStyle w:val="TableContents"/>
              <w:bidi w:val="0"/>
              <w:spacing w:before="0" w:after="283"/>
              <w:jc w:val="left"/>
              <w:rPr/>
            </w:pPr>
            <w:r>
              <w:rPr/>
              <w:t> </w:t>
            </w:r>
          </w:p>
        </w:tc>
      </w:tr>
      <w:tr>
        <w:trPr/>
        <w:tc>
          <w:tcPr>
            <w:tcW w:w="1951"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firstLine="90"/>
              <w:jc w:val="left"/>
              <w:rPr/>
            </w:pPr>
            <w:r>
              <w:rPr/>
              <w:t> </w:t>
            </w:r>
          </w:p>
        </w:tc>
      </w:tr>
      <w:tr>
        <w:trPr/>
        <w:tc>
          <w:tcPr>
            <w:tcW w:w="1951" w:type="dxa"/>
            <w:tcBorders/>
            <w:vAlign w:val="center"/>
          </w:tcPr>
          <w:p>
            <w:pPr>
              <w:pStyle w:val="TableContents"/>
              <w:bidi w:val="0"/>
              <w:spacing w:before="0" w:after="283"/>
              <w:jc w:val="left"/>
              <w:rPr/>
            </w:pPr>
            <w:r>
              <w:rPr/>
              <w:t>Direct premium</w:t>
            </w:r>
          </w:p>
        </w:tc>
        <w:tc>
          <w:tcPr>
            <w:tcW w:w="9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w:t>
            </w:r>
          </w:p>
        </w:tc>
        <w:tc>
          <w:tcPr>
            <w:tcW w:w="1356" w:type="dxa"/>
            <w:tcBorders/>
            <w:vAlign w:val="center"/>
          </w:tcPr>
          <w:p>
            <w:pPr>
              <w:pStyle w:val="TableContents"/>
              <w:bidi w:val="0"/>
              <w:spacing w:before="0" w:after="283"/>
              <w:jc w:val="right"/>
              <w:rPr/>
            </w:pPr>
            <w:r>
              <w:rPr/>
              <w:t>58,458</w:t>
            </w:r>
          </w:p>
        </w:tc>
        <w:tc>
          <w:tcPr>
            <w:tcW w:w="227"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w:t>
            </w:r>
          </w:p>
        </w:tc>
        <w:tc>
          <w:tcPr>
            <w:tcW w:w="1429" w:type="dxa"/>
            <w:tcBorders/>
            <w:vAlign w:val="center"/>
          </w:tcPr>
          <w:p>
            <w:pPr>
              <w:pStyle w:val="TableContents"/>
              <w:bidi w:val="0"/>
              <w:spacing w:before="0" w:after="283"/>
              <w:jc w:val="right"/>
              <w:rPr/>
            </w:pPr>
            <w:r>
              <w:rPr/>
              <w:t>81,819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w:t>
            </w:r>
          </w:p>
        </w:tc>
        <w:tc>
          <w:tcPr>
            <w:tcW w:w="1353" w:type="dxa"/>
            <w:tcBorders/>
            <w:vAlign w:val="center"/>
          </w:tcPr>
          <w:p>
            <w:pPr>
              <w:pStyle w:val="TableContents"/>
              <w:bidi w:val="0"/>
              <w:spacing w:before="0" w:after="283"/>
              <w:jc w:val="right"/>
              <w:rPr/>
            </w:pPr>
            <w:r>
              <w:rPr/>
              <w:t>67,704</w:t>
            </w:r>
          </w:p>
        </w:tc>
        <w:tc>
          <w:tcPr>
            <w:tcW w:w="234"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w:t>
            </w:r>
          </w:p>
        </w:tc>
        <w:tc>
          <w:tcPr>
            <w:tcW w:w="1337" w:type="dxa"/>
            <w:tcBorders/>
            <w:vAlign w:val="center"/>
          </w:tcPr>
          <w:p>
            <w:pPr>
              <w:pStyle w:val="TableContents"/>
              <w:bidi w:val="0"/>
              <w:spacing w:before="0" w:after="283"/>
              <w:jc w:val="right"/>
              <w:rPr/>
            </w:pPr>
            <w:r>
              <w:rPr/>
              <w:t>90,125</w:t>
            </w:r>
          </w:p>
        </w:tc>
        <w:tc>
          <w:tcPr>
            <w:tcW w:w="230" w:type="dxa"/>
            <w:tcBorders/>
            <w:vAlign w:val="center"/>
          </w:tcPr>
          <w:p>
            <w:pPr>
              <w:pStyle w:val="TableContents"/>
              <w:bidi w:val="0"/>
              <w:spacing w:before="0" w:after="283"/>
              <w:ind w:left="0" w:right="0" w:firstLine="90"/>
              <w:jc w:val="left"/>
              <w:rPr/>
            </w:pPr>
            <w:r>
              <w:rPr/>
              <w:t> </w:t>
            </w:r>
          </w:p>
        </w:tc>
      </w:tr>
      <w:tr>
        <w:trPr/>
        <w:tc>
          <w:tcPr>
            <w:tcW w:w="1951" w:type="dxa"/>
            <w:tcBorders/>
            <w:shd w:fill="CCEEFF" w:val="clear"/>
            <w:vAlign w:val="center"/>
          </w:tcPr>
          <w:p>
            <w:pPr>
              <w:pStyle w:val="TableContents"/>
              <w:bidi w:val="0"/>
              <w:spacing w:before="0" w:after="283"/>
              <w:jc w:val="left"/>
              <w:rPr/>
            </w:pPr>
            <w:r>
              <w:rPr/>
              <w:t>Assumed premium</w:t>
            </w:r>
          </w:p>
        </w:tc>
        <w:tc>
          <w:tcPr>
            <w:tcW w:w="9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128</w:t>
            </w:r>
          </w:p>
        </w:tc>
        <w:tc>
          <w:tcPr>
            <w:tcW w:w="22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1,741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189</w:t>
            </w:r>
          </w:p>
        </w:tc>
        <w:tc>
          <w:tcPr>
            <w:tcW w:w="234"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1,880</w:t>
            </w:r>
          </w:p>
        </w:tc>
        <w:tc>
          <w:tcPr>
            <w:tcW w:w="230" w:type="dxa"/>
            <w:tcBorders/>
            <w:shd w:fill="CCEEFF" w:val="clear"/>
            <w:vAlign w:val="center"/>
          </w:tcPr>
          <w:p>
            <w:pPr>
              <w:pStyle w:val="TableContents"/>
              <w:bidi w:val="0"/>
              <w:spacing w:before="0" w:after="283"/>
              <w:ind w:left="0" w:right="0" w:firstLine="90"/>
              <w:jc w:val="left"/>
              <w:rPr/>
            </w:pPr>
            <w:r>
              <w:rPr/>
              <w:t> </w:t>
            </w:r>
          </w:p>
        </w:tc>
      </w:tr>
      <w:tr>
        <w:trPr/>
        <w:tc>
          <w:tcPr>
            <w:tcW w:w="1951" w:type="dxa"/>
            <w:tcBorders/>
            <w:vAlign w:val="center"/>
          </w:tcPr>
          <w:p>
            <w:pPr>
              <w:pStyle w:val="TableContents"/>
              <w:bidi w:val="0"/>
              <w:spacing w:before="0" w:after="283"/>
              <w:jc w:val="left"/>
              <w:rPr/>
            </w:pPr>
            <w:r>
              <w:rPr/>
              <w:t>Ceded premium</w:t>
            </w:r>
          </w:p>
        </w:tc>
        <w:tc>
          <w:tcPr>
            <w:tcW w:w="90" w:type="dxa"/>
            <w:tcBorders/>
            <w:vAlign w:val="center"/>
          </w:tcPr>
          <w:p>
            <w:pPr>
              <w:pStyle w:val="TableContents"/>
              <w:bidi w:val="0"/>
              <w:spacing w:before="0" w:after="283"/>
              <w:jc w:val="left"/>
              <w:rPr/>
            </w:pPr>
            <w:r>
              <w:rPr/>
              <w:t> </w:t>
            </w:r>
          </w:p>
        </w:tc>
        <w:tc>
          <w:tcPr>
            <w:tcW w:w="369" w:type="dxa"/>
            <w:tcBorders>
              <w:bottom w:val="single" w:sz="8" w:space="0" w:color="000000"/>
            </w:tcBorders>
            <w:tcMar>
              <w:bottom w:w="28" w:type="dxa"/>
            </w:tcMar>
            <w:vAlign w:val="center"/>
          </w:tcPr>
          <w:p>
            <w:pPr>
              <w:pStyle w:val="TableContents"/>
              <w:bidi w:val="0"/>
              <w:spacing w:before="0" w:after="283"/>
              <w:jc w:val="left"/>
              <w:rPr/>
            </w:pPr>
            <w:r>
              <w:rPr/>
              <w:t> </w:t>
            </w:r>
          </w:p>
        </w:tc>
        <w:tc>
          <w:tcPr>
            <w:tcW w:w="1356" w:type="dxa"/>
            <w:tcBorders>
              <w:bottom w:val="single" w:sz="8" w:space="0" w:color="000000"/>
            </w:tcBorders>
            <w:tcMar>
              <w:bottom w:w="28" w:type="dxa"/>
            </w:tcMar>
            <w:vAlign w:val="center"/>
          </w:tcPr>
          <w:p>
            <w:pPr>
              <w:pStyle w:val="TableContents"/>
              <w:bidi w:val="0"/>
              <w:spacing w:before="0" w:after="283"/>
              <w:jc w:val="right"/>
              <w:rPr/>
            </w:pPr>
            <w:r>
              <w:rPr/>
              <w:t>(6,588</w:t>
            </w:r>
          </w:p>
        </w:tc>
        <w:tc>
          <w:tcPr>
            <w:tcW w:w="227" w:type="dxa"/>
            <w:tcBorders/>
            <w:vAlign w:val="center"/>
          </w:tcPr>
          <w:p>
            <w:pPr>
              <w:pStyle w:val="TableContents"/>
              <w:bidi w:val="0"/>
              <w:spacing w:before="0" w:after="283"/>
              <w:jc w:val="left"/>
              <w:rPr/>
            </w:pPr>
            <w:r>
              <w:rPr/>
              <w:t>)</w:t>
            </w:r>
          </w:p>
        </w:tc>
        <w:tc>
          <w:tcPr>
            <w:tcW w:w="163" w:type="dxa"/>
            <w:tcBorders/>
            <w:vAlign w:val="center"/>
          </w:tcPr>
          <w:p>
            <w:pPr>
              <w:pStyle w:val="TableContents"/>
              <w:bidi w:val="0"/>
              <w:spacing w:before="0" w:after="283"/>
              <w:jc w:val="left"/>
              <w:rPr/>
            </w:pPr>
            <w:r>
              <w:rPr/>
              <w:t> </w:t>
            </w:r>
          </w:p>
        </w:tc>
        <w:tc>
          <w:tcPr>
            <w:tcW w:w="342" w:type="dxa"/>
            <w:tcBorders>
              <w:bottom w:val="single" w:sz="8" w:space="0" w:color="000000"/>
            </w:tcBorders>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tcMar>
              <w:bottom w:w="28" w:type="dxa"/>
            </w:tcMar>
            <w:vAlign w:val="center"/>
          </w:tcPr>
          <w:p>
            <w:pPr>
              <w:pStyle w:val="TableContents"/>
              <w:bidi w:val="0"/>
              <w:spacing w:before="0" w:after="283"/>
              <w:jc w:val="right"/>
              <w:rPr/>
            </w:pPr>
            <w:r>
              <w:rPr/>
              <w:t>(11,655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72" w:type="dxa"/>
            <w:tcBorders>
              <w:bottom w:val="single" w:sz="8" w:space="0" w:color="000000"/>
            </w:tcBorders>
            <w:tcMar>
              <w:bottom w:w="28" w:type="dxa"/>
            </w:tcMar>
            <w:vAlign w:val="center"/>
          </w:tcPr>
          <w:p>
            <w:pPr>
              <w:pStyle w:val="TableContents"/>
              <w:bidi w:val="0"/>
              <w:spacing w:before="0" w:after="283"/>
              <w:jc w:val="left"/>
              <w:rPr/>
            </w:pPr>
            <w:r>
              <w:rPr/>
              <w:t> </w:t>
            </w:r>
          </w:p>
        </w:tc>
        <w:tc>
          <w:tcPr>
            <w:tcW w:w="1353" w:type="dxa"/>
            <w:tcBorders>
              <w:bottom w:val="single" w:sz="8" w:space="0" w:color="000000"/>
            </w:tcBorders>
            <w:tcMar>
              <w:bottom w:w="28" w:type="dxa"/>
            </w:tcMar>
            <w:vAlign w:val="center"/>
          </w:tcPr>
          <w:p>
            <w:pPr>
              <w:pStyle w:val="TableContents"/>
              <w:bidi w:val="0"/>
              <w:spacing w:before="0" w:after="283"/>
              <w:jc w:val="right"/>
              <w:rPr/>
            </w:pPr>
            <w:r>
              <w:rPr/>
              <w:t>(5,451</w:t>
            </w:r>
          </w:p>
        </w:tc>
        <w:tc>
          <w:tcPr>
            <w:tcW w:w="234"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 </w:t>
            </w:r>
          </w:p>
        </w:tc>
        <w:tc>
          <w:tcPr>
            <w:tcW w:w="369" w:type="dxa"/>
            <w:tcBorders>
              <w:bottom w:val="single" w:sz="8" w:space="0" w:color="000000"/>
            </w:tcBorders>
            <w:tcMar>
              <w:bottom w:w="28" w:type="dxa"/>
            </w:tcMar>
            <w:vAlign w:val="center"/>
          </w:tcPr>
          <w:p>
            <w:pPr>
              <w:pStyle w:val="TableContents"/>
              <w:bidi w:val="0"/>
              <w:spacing w:before="0" w:after="283"/>
              <w:jc w:val="left"/>
              <w:rPr/>
            </w:pPr>
            <w:r>
              <w:rPr/>
              <w:t> </w:t>
            </w:r>
          </w:p>
        </w:tc>
        <w:tc>
          <w:tcPr>
            <w:tcW w:w="1337" w:type="dxa"/>
            <w:tcBorders>
              <w:bottom w:val="single" w:sz="8" w:space="0" w:color="000000"/>
            </w:tcBorders>
            <w:tcMar>
              <w:bottom w:w="28" w:type="dxa"/>
            </w:tcMar>
            <w:vAlign w:val="center"/>
          </w:tcPr>
          <w:p>
            <w:pPr>
              <w:pStyle w:val="TableContents"/>
              <w:bidi w:val="0"/>
              <w:spacing w:before="0" w:after="283"/>
              <w:jc w:val="right"/>
              <w:rPr/>
            </w:pPr>
            <w:r>
              <w:rPr/>
              <w:t>(8,735</w:t>
            </w:r>
          </w:p>
        </w:tc>
        <w:tc>
          <w:tcPr>
            <w:tcW w:w="230" w:type="dxa"/>
            <w:tcBorders/>
            <w:vAlign w:val="center"/>
          </w:tcPr>
          <w:p>
            <w:pPr>
              <w:pStyle w:val="TableContents"/>
              <w:bidi w:val="0"/>
              <w:spacing w:before="0" w:after="283"/>
              <w:jc w:val="left"/>
              <w:rPr/>
            </w:pPr>
            <w:r>
              <w:rPr/>
              <w:t>)</w:t>
            </w:r>
          </w:p>
        </w:tc>
      </w:tr>
      <w:tr>
        <w:trPr/>
        <w:tc>
          <w:tcPr>
            <w:tcW w:w="1951" w:type="dxa"/>
            <w:tcBorders/>
            <w:shd w:fill="CCEEFF" w:val="clear"/>
            <w:vAlign w:val="center"/>
          </w:tcPr>
          <w:p>
            <w:pPr>
              <w:pStyle w:val="TableContents"/>
              <w:bidi w:val="0"/>
              <w:spacing w:before="0" w:after="283"/>
              <w:jc w:val="left"/>
              <w:rPr/>
            </w:pPr>
            <w:r>
              <w:rPr/>
              <w:t>Net premiums</w:t>
            </w:r>
          </w:p>
        </w:tc>
        <w:tc>
          <w:tcPr>
            <w:tcW w:w="90" w:type="dxa"/>
            <w:tcBorders/>
            <w:shd w:fill="CCEEFF" w:val="clear"/>
            <w:vAlign w:val="center"/>
          </w:tcPr>
          <w:p>
            <w:pPr>
              <w:pStyle w:val="TableContents"/>
              <w:bidi w:val="0"/>
              <w:spacing w:before="0" w:after="283"/>
              <w:jc w:val="left"/>
              <w:rPr/>
            </w:pPr>
            <w:r>
              <w:rPr/>
              <w:t> </w:t>
            </w:r>
          </w:p>
        </w:tc>
        <w:tc>
          <w:tcPr>
            <w:tcW w:w="3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6" w:type="dxa"/>
            <w:tcBorders>
              <w:bottom w:val="double" w:sz="6" w:space="0" w:color="000000"/>
            </w:tcBorders>
            <w:shd w:fill="CCEEFF" w:val="clear"/>
            <w:tcMar>
              <w:bottom w:w="28" w:type="dxa"/>
            </w:tcMar>
            <w:vAlign w:val="center"/>
          </w:tcPr>
          <w:p>
            <w:pPr>
              <w:pStyle w:val="TableContents"/>
              <w:bidi w:val="0"/>
              <w:spacing w:before="0" w:after="283"/>
              <w:jc w:val="right"/>
              <w:rPr/>
            </w:pPr>
            <w:r>
              <w:rPr/>
              <w:t>51,998</w:t>
            </w:r>
          </w:p>
        </w:tc>
        <w:tc>
          <w:tcPr>
            <w:tcW w:w="22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9" w:type="dxa"/>
            <w:tcBorders>
              <w:bottom w:val="double" w:sz="6" w:space="0" w:color="000000"/>
            </w:tcBorders>
            <w:shd w:fill="CCEEFF" w:val="clear"/>
            <w:tcMar>
              <w:bottom w:w="28" w:type="dxa"/>
            </w:tcMar>
            <w:vAlign w:val="center"/>
          </w:tcPr>
          <w:p>
            <w:pPr>
              <w:pStyle w:val="TableContents"/>
              <w:bidi w:val="0"/>
              <w:spacing w:before="0" w:after="283"/>
              <w:jc w:val="right"/>
              <w:rPr/>
            </w:pPr>
            <w:r>
              <w:rPr/>
              <w:t>71,905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3" w:type="dxa"/>
            <w:tcBorders>
              <w:bottom w:val="double" w:sz="6" w:space="0" w:color="000000"/>
            </w:tcBorders>
            <w:shd w:fill="CCEEFF" w:val="clear"/>
            <w:tcMar>
              <w:bottom w:w="28" w:type="dxa"/>
            </w:tcMar>
            <w:vAlign w:val="center"/>
          </w:tcPr>
          <w:p>
            <w:pPr>
              <w:pStyle w:val="TableContents"/>
              <w:bidi w:val="0"/>
              <w:spacing w:before="0" w:after="283"/>
              <w:jc w:val="right"/>
              <w:rPr/>
            </w:pPr>
            <w:r>
              <w:rPr/>
              <w:t>62,442</w:t>
            </w:r>
          </w:p>
        </w:tc>
        <w:tc>
          <w:tcPr>
            <w:tcW w:w="234"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3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7" w:type="dxa"/>
            <w:tcBorders>
              <w:bottom w:val="double" w:sz="6" w:space="0" w:color="000000"/>
            </w:tcBorders>
            <w:shd w:fill="CCEEFF" w:val="clear"/>
            <w:tcMar>
              <w:bottom w:w="28" w:type="dxa"/>
            </w:tcMar>
            <w:vAlign w:val="center"/>
          </w:tcPr>
          <w:p>
            <w:pPr>
              <w:pStyle w:val="TableContents"/>
              <w:bidi w:val="0"/>
              <w:spacing w:before="0" w:after="283"/>
              <w:jc w:val="right"/>
              <w:rPr/>
            </w:pPr>
            <w:r>
              <w:rPr/>
              <w:t>83,270</w:t>
            </w:r>
          </w:p>
        </w:tc>
        <w:tc>
          <w:tcPr>
            <w:tcW w:w="230" w:type="dxa"/>
            <w:tcBorders/>
            <w:shd w:fill="CCEEFF" w:val="clear"/>
            <w:vAlign w:val="center"/>
          </w:tcPr>
          <w:p>
            <w:pPr>
              <w:pStyle w:val="TableContents"/>
              <w:bidi w:val="0"/>
              <w:spacing w:before="0" w:after="283"/>
              <w:jc w:val="left"/>
              <w:rPr/>
            </w:pPr>
            <w:r>
              <w:rPr/>
              <w:t> </w:t>
            </w:r>
          </w:p>
        </w:tc>
      </w:tr>
      <w:tr>
        <w:trPr/>
        <w:tc>
          <w:tcPr>
            <w:tcW w:w="195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right"/>
              <w:rPr/>
            </w:pPr>
            <w:r>
              <w:rPr/>
              <w:t> </w:t>
            </w:r>
          </w:p>
        </w:tc>
        <w:tc>
          <w:tcPr>
            <w:tcW w:w="227"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142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1337"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0"/>
        <w:gridCol w:w="90"/>
        <w:gridCol w:w="696"/>
        <w:gridCol w:w="961"/>
        <w:gridCol w:w="264"/>
        <w:gridCol w:w="264"/>
        <w:gridCol w:w="684"/>
        <w:gridCol w:w="953"/>
        <w:gridCol w:w="90"/>
        <w:gridCol w:w="90"/>
        <w:gridCol w:w="696"/>
        <w:gridCol w:w="961"/>
        <w:gridCol w:w="264"/>
        <w:gridCol w:w="264"/>
        <w:gridCol w:w="684"/>
        <w:gridCol w:w="953"/>
        <w:gridCol w:w="231"/>
      </w:tblGrid>
      <w:tr>
        <w:trPr/>
        <w:tc>
          <w:tcPr>
            <w:tcW w:w="2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 2024</w:t>
            </w:r>
          </w:p>
        </w:tc>
        <w:tc>
          <w:tcPr>
            <w:tcW w:w="231"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264"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6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264"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6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231"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pPr>
            <w:r>
              <w:rPr/>
              <w:t>Discontinued operations:</w:t>
            </w:r>
          </w:p>
        </w:tc>
        <w:tc>
          <w:tcPr>
            <w:tcW w:w="90"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 </w:t>
            </w:r>
          </w:p>
        </w:tc>
        <w:tc>
          <w:tcPr>
            <w:tcW w:w="264"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 </w:t>
            </w:r>
          </w:p>
        </w:tc>
        <w:tc>
          <w:tcPr>
            <w:tcW w:w="264"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ind w:left="0" w:right="0" w:firstLine="90"/>
              <w:jc w:val="left"/>
              <w:rPr/>
            </w:pPr>
            <w:r>
              <w:rPr/>
              <w:t> </w:t>
            </w:r>
          </w:p>
        </w:tc>
      </w:tr>
      <w:tr>
        <w:trPr/>
        <w:tc>
          <w:tcPr>
            <w:tcW w:w="2060" w:type="dxa"/>
            <w:tcBorders/>
            <w:vAlign w:val="center"/>
          </w:tcPr>
          <w:p>
            <w:pPr>
              <w:pStyle w:val="TableContents"/>
              <w:bidi w:val="0"/>
              <w:spacing w:before="0" w:after="283"/>
              <w:jc w:val="left"/>
              <w:rPr/>
            </w:pPr>
            <w:r>
              <w:rPr/>
              <w:t>Direct premium</w:t>
            </w:r>
          </w:p>
        </w:tc>
        <w:tc>
          <w:tcPr>
            <w:tcW w:w="9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961" w:type="dxa"/>
            <w:tcBorders/>
            <w:vAlign w:val="center"/>
          </w:tcPr>
          <w:p>
            <w:pPr>
              <w:pStyle w:val="TableContents"/>
              <w:bidi w:val="0"/>
              <w:spacing w:before="0" w:after="0"/>
              <w:jc w:val="right"/>
              <w:rPr/>
            </w:pPr>
            <w:r>
              <w:rPr/>
              <w:t>—</w:t>
            </w:r>
          </w:p>
        </w:tc>
        <w:tc>
          <w:tcPr>
            <w:tcW w:w="264"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w:t>
            </w:r>
          </w:p>
        </w:tc>
        <w:tc>
          <w:tcPr>
            <w:tcW w:w="95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961" w:type="dxa"/>
            <w:tcBorders/>
            <w:vAlign w:val="center"/>
          </w:tcPr>
          <w:p>
            <w:pPr>
              <w:pStyle w:val="TableContents"/>
              <w:bidi w:val="0"/>
              <w:spacing w:before="0" w:after="0"/>
              <w:jc w:val="right"/>
              <w:rPr/>
            </w:pPr>
            <w:r>
              <w:rPr/>
              <w:t>—</w:t>
            </w:r>
          </w:p>
        </w:tc>
        <w:tc>
          <w:tcPr>
            <w:tcW w:w="264"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w:t>
            </w:r>
          </w:p>
        </w:tc>
        <w:tc>
          <w:tcPr>
            <w:tcW w:w="953" w:type="dxa"/>
            <w:tcBorders/>
            <w:vAlign w:val="center"/>
          </w:tcPr>
          <w:p>
            <w:pPr>
              <w:pStyle w:val="TableContents"/>
              <w:bidi w:val="0"/>
              <w:spacing w:before="0" w:after="0"/>
              <w:jc w:val="right"/>
              <w:rPr/>
            </w:pPr>
            <w:r>
              <w:rPr/>
              <w:t>—</w:t>
            </w:r>
          </w:p>
        </w:tc>
        <w:tc>
          <w:tcPr>
            <w:tcW w:w="231" w:type="dxa"/>
            <w:tcBorders/>
            <w:vAlign w:val="center"/>
          </w:tcPr>
          <w:p>
            <w:pPr>
              <w:pStyle w:val="TableContents"/>
              <w:bidi w:val="0"/>
              <w:spacing w:before="0" w:after="283"/>
              <w:ind w:left="0" w:right="0" w:firstLine="90"/>
              <w:jc w:val="left"/>
              <w:rPr/>
            </w:pPr>
            <w:r>
              <w:rPr/>
              <w:t> </w:t>
            </w:r>
          </w:p>
        </w:tc>
      </w:tr>
      <w:tr>
        <w:trPr/>
        <w:tc>
          <w:tcPr>
            <w:tcW w:w="2060" w:type="dxa"/>
            <w:tcBorders/>
            <w:shd w:fill="CCEEFF" w:val="clear"/>
            <w:vAlign w:val="center"/>
          </w:tcPr>
          <w:p>
            <w:pPr>
              <w:pStyle w:val="TableContents"/>
              <w:bidi w:val="0"/>
              <w:spacing w:before="0" w:after="283"/>
              <w:jc w:val="left"/>
              <w:rPr/>
            </w:pPr>
            <w:r>
              <w:rPr/>
              <w:t>Assumed premium</w:t>
            </w:r>
          </w:p>
        </w:tc>
        <w:tc>
          <w:tcPr>
            <w:tcW w:w="90"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0"/>
              <w:jc w:val="right"/>
              <w:rPr/>
            </w:pPr>
            <w:r>
              <w:rPr/>
              <w:t>—</w:t>
            </w:r>
          </w:p>
        </w:tc>
        <w:tc>
          <w:tcPr>
            <w:tcW w:w="264"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0"/>
              <w:jc w:val="right"/>
              <w:rPr/>
            </w:pPr>
            <w:r>
              <w:rPr/>
              <w:t>—</w:t>
            </w:r>
          </w:p>
        </w:tc>
        <w:tc>
          <w:tcPr>
            <w:tcW w:w="264"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0"/>
              <w:jc w:val="right"/>
              <w:rPr/>
            </w:pPr>
            <w:r>
              <w:rPr/>
              <w:t>—</w:t>
            </w:r>
          </w:p>
        </w:tc>
        <w:tc>
          <w:tcPr>
            <w:tcW w:w="231" w:type="dxa"/>
            <w:tcBorders/>
            <w:shd w:fill="CCEEFF" w:val="clear"/>
            <w:vAlign w:val="center"/>
          </w:tcPr>
          <w:p>
            <w:pPr>
              <w:pStyle w:val="TableContents"/>
              <w:bidi w:val="0"/>
              <w:spacing w:before="0" w:after="283"/>
              <w:ind w:left="0" w:right="0" w:firstLine="90"/>
              <w:jc w:val="left"/>
              <w:rPr/>
            </w:pPr>
            <w:r>
              <w:rPr/>
              <w:t> </w:t>
            </w:r>
          </w:p>
        </w:tc>
      </w:tr>
      <w:tr>
        <w:trPr/>
        <w:tc>
          <w:tcPr>
            <w:tcW w:w="2060" w:type="dxa"/>
            <w:tcBorders/>
            <w:vAlign w:val="center"/>
          </w:tcPr>
          <w:p>
            <w:pPr>
              <w:pStyle w:val="TableContents"/>
              <w:bidi w:val="0"/>
              <w:spacing w:before="0" w:after="283"/>
              <w:jc w:val="left"/>
              <w:rPr/>
            </w:pPr>
            <w:r>
              <w:rPr/>
              <w:t>Ceded premium</w:t>
            </w:r>
          </w:p>
        </w:tc>
        <w:tc>
          <w:tcPr>
            <w:tcW w:w="90" w:type="dxa"/>
            <w:tcBorders/>
            <w:vAlign w:val="center"/>
          </w:tcPr>
          <w:p>
            <w:pPr>
              <w:pStyle w:val="TableContents"/>
              <w:bidi w:val="0"/>
              <w:spacing w:before="0" w:after="283"/>
              <w:jc w:val="left"/>
              <w:rPr/>
            </w:pPr>
            <w:r>
              <w:rPr/>
              <w:t> </w:t>
            </w:r>
          </w:p>
        </w:tc>
        <w:tc>
          <w:tcPr>
            <w:tcW w:w="696" w:type="dxa"/>
            <w:tcBorders>
              <w:bottom w:val="single" w:sz="8" w:space="0" w:color="000000"/>
            </w:tcBorders>
            <w:tcMar>
              <w:bottom w:w="28" w:type="dxa"/>
            </w:tcMar>
            <w:vAlign w:val="center"/>
          </w:tcPr>
          <w:p>
            <w:pPr>
              <w:pStyle w:val="TableContents"/>
              <w:bidi w:val="0"/>
              <w:spacing w:before="0" w:after="283"/>
              <w:jc w:val="left"/>
              <w:rPr/>
            </w:pPr>
            <w:r>
              <w:rPr/>
              <w:t> </w:t>
            </w:r>
          </w:p>
        </w:tc>
        <w:tc>
          <w:tcPr>
            <w:tcW w:w="961" w:type="dxa"/>
            <w:tcBorders>
              <w:bottom w:val="single" w:sz="8" w:space="0" w:color="000000"/>
            </w:tcBorders>
            <w:tcMar>
              <w:bottom w:w="28" w:type="dxa"/>
            </w:tcMar>
            <w:vAlign w:val="center"/>
          </w:tcPr>
          <w:p>
            <w:pPr>
              <w:pStyle w:val="TableContents"/>
              <w:bidi w:val="0"/>
              <w:spacing w:before="0" w:after="0"/>
              <w:jc w:val="right"/>
              <w:rPr/>
            </w:pPr>
            <w:r>
              <w:rPr/>
              <w:t>—</w:t>
            </w:r>
          </w:p>
        </w:tc>
        <w:tc>
          <w:tcPr>
            <w:tcW w:w="264"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684" w:type="dxa"/>
            <w:tcBorders>
              <w:bottom w:val="single" w:sz="8" w:space="0" w:color="000000"/>
            </w:tcBorders>
            <w:tcMar>
              <w:bottom w:w="28" w:type="dxa"/>
            </w:tcMar>
            <w:vAlign w:val="center"/>
          </w:tcPr>
          <w:p>
            <w:pPr>
              <w:pStyle w:val="TableContents"/>
              <w:bidi w:val="0"/>
              <w:spacing w:before="0" w:after="283"/>
              <w:jc w:val="left"/>
              <w:rPr/>
            </w:pPr>
            <w:r>
              <w:rPr/>
              <w:t> </w:t>
            </w:r>
          </w:p>
        </w:tc>
        <w:tc>
          <w:tcPr>
            <w:tcW w:w="953" w:type="dxa"/>
            <w:tcBorders>
              <w:bottom w:val="single" w:sz="8"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6" w:type="dxa"/>
            <w:tcBorders>
              <w:bottom w:val="single" w:sz="8" w:space="0" w:color="000000"/>
            </w:tcBorders>
            <w:tcMar>
              <w:bottom w:w="28" w:type="dxa"/>
            </w:tcMar>
            <w:vAlign w:val="center"/>
          </w:tcPr>
          <w:p>
            <w:pPr>
              <w:pStyle w:val="TableContents"/>
              <w:bidi w:val="0"/>
              <w:spacing w:before="0" w:after="283"/>
              <w:jc w:val="left"/>
              <w:rPr/>
            </w:pPr>
            <w:r>
              <w:rPr/>
              <w:t> </w:t>
            </w:r>
          </w:p>
        </w:tc>
        <w:tc>
          <w:tcPr>
            <w:tcW w:w="961" w:type="dxa"/>
            <w:tcBorders>
              <w:bottom w:val="single" w:sz="8" w:space="0" w:color="000000"/>
            </w:tcBorders>
            <w:tcMar>
              <w:bottom w:w="28" w:type="dxa"/>
            </w:tcMar>
            <w:vAlign w:val="center"/>
          </w:tcPr>
          <w:p>
            <w:pPr>
              <w:pStyle w:val="TableContents"/>
              <w:bidi w:val="0"/>
              <w:spacing w:before="0" w:after="0"/>
              <w:jc w:val="right"/>
              <w:rPr/>
            </w:pPr>
            <w:r>
              <w:rPr/>
              <w:t>—</w:t>
            </w:r>
          </w:p>
        </w:tc>
        <w:tc>
          <w:tcPr>
            <w:tcW w:w="264"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684" w:type="dxa"/>
            <w:tcBorders>
              <w:bottom w:val="single" w:sz="8" w:space="0" w:color="000000"/>
            </w:tcBorders>
            <w:tcMar>
              <w:bottom w:w="28" w:type="dxa"/>
            </w:tcMar>
            <w:vAlign w:val="center"/>
          </w:tcPr>
          <w:p>
            <w:pPr>
              <w:pStyle w:val="TableContents"/>
              <w:bidi w:val="0"/>
              <w:spacing w:before="0" w:after="283"/>
              <w:jc w:val="left"/>
              <w:rPr/>
            </w:pPr>
            <w:r>
              <w:rPr/>
              <w:t> </w:t>
            </w:r>
          </w:p>
        </w:tc>
        <w:tc>
          <w:tcPr>
            <w:tcW w:w="953" w:type="dxa"/>
            <w:tcBorders>
              <w:bottom w:val="single" w:sz="8" w:space="0" w:color="000000"/>
            </w:tcBorders>
            <w:tcMar>
              <w:bottom w:w="28" w:type="dxa"/>
            </w:tcMar>
            <w:vAlign w:val="center"/>
          </w:tcPr>
          <w:p>
            <w:pPr>
              <w:pStyle w:val="TableContents"/>
              <w:bidi w:val="0"/>
              <w:spacing w:before="0" w:after="0"/>
              <w:jc w:val="right"/>
              <w:rPr/>
            </w:pPr>
            <w:r>
              <w:rPr/>
              <w:t>—</w:t>
            </w:r>
          </w:p>
        </w:tc>
        <w:tc>
          <w:tcPr>
            <w:tcW w:w="231"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pPr>
            <w:r>
              <w:rPr/>
              <w:t>Net premiums</w:t>
            </w:r>
          </w:p>
        </w:tc>
        <w:tc>
          <w:tcPr>
            <w:tcW w:w="90" w:type="dxa"/>
            <w:tcBorders/>
            <w:shd w:fill="CCEEFF" w:val="clear"/>
            <w:vAlign w:val="center"/>
          </w:tcPr>
          <w:p>
            <w:pPr>
              <w:pStyle w:val="TableContents"/>
              <w:bidi w:val="0"/>
              <w:spacing w:before="0" w:after="283"/>
              <w:jc w:val="left"/>
              <w:rPr/>
            </w:pPr>
            <w:r>
              <w:rPr/>
              <w:t> </w:t>
            </w:r>
          </w:p>
        </w:tc>
        <w:tc>
          <w:tcPr>
            <w:tcW w:w="6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1"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264"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6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3"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1"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264"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6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3"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23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reconciliations of the Company’s direct to net premiums on both a written and an earned basis for the current year-to-date and comparable prior year-to-date amounts, segregated between continuing and discontinued operations, are shown below:</w:t>
      </w:r>
    </w:p>
    <w:tbl>
      <w:tblPr>
        <w:tblW w:w="10205" w:type="dxa"/>
        <w:jc w:val="left"/>
        <w:tblInd w:w="0" w:type="dxa"/>
        <w:tblLayout w:type="fixed"/>
        <w:tblCellMar>
          <w:top w:w="0" w:type="dxa"/>
          <w:left w:w="0" w:type="dxa"/>
          <w:bottom w:w="0" w:type="dxa"/>
          <w:right w:w="0" w:type="dxa"/>
        </w:tblCellMar>
      </w:tblPr>
      <w:tblGrid>
        <w:gridCol w:w="1986"/>
        <w:gridCol w:w="90"/>
        <w:gridCol w:w="312"/>
        <w:gridCol w:w="1440"/>
        <w:gridCol w:w="210"/>
        <w:gridCol w:w="151"/>
        <w:gridCol w:w="308"/>
        <w:gridCol w:w="1420"/>
        <w:gridCol w:w="125"/>
        <w:gridCol w:w="90"/>
        <w:gridCol w:w="312"/>
        <w:gridCol w:w="1440"/>
        <w:gridCol w:w="210"/>
        <w:gridCol w:w="151"/>
        <w:gridCol w:w="308"/>
        <w:gridCol w:w="1420"/>
        <w:gridCol w:w="232"/>
      </w:tblGrid>
      <w:tr>
        <w:trPr/>
        <w:tc>
          <w:tcPr>
            <w:tcW w:w="19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4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4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 2024</w:t>
            </w:r>
          </w:p>
        </w:tc>
        <w:tc>
          <w:tcPr>
            <w:tcW w:w="232" w:type="dxa"/>
            <w:tcBorders/>
            <w:vAlign w:val="center"/>
          </w:tcPr>
          <w:p>
            <w:pPr>
              <w:pStyle w:val="TableContents"/>
              <w:bidi w:val="0"/>
              <w:spacing w:before="0" w:after="283"/>
              <w:jc w:val="left"/>
              <w:rPr/>
            </w:pPr>
            <w:r>
              <w:rPr/>
              <w:t> </w:t>
            </w:r>
          </w:p>
        </w:tc>
      </w:tr>
      <w:tr>
        <w:trPr/>
        <w:tc>
          <w:tcPr>
            <w:tcW w:w="19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21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21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232" w:type="dxa"/>
            <w:tcBorders/>
            <w:vAlign w:val="center"/>
          </w:tcPr>
          <w:p>
            <w:pPr>
              <w:pStyle w:val="TableContents"/>
              <w:bidi w:val="0"/>
              <w:spacing w:before="0" w:after="283"/>
              <w:jc w:val="left"/>
              <w:rPr/>
            </w:pPr>
            <w:r>
              <w:rPr/>
              <w:t> </w:t>
            </w:r>
          </w:p>
        </w:tc>
      </w:tr>
      <w:tr>
        <w:trPr/>
        <w:tc>
          <w:tcPr>
            <w:tcW w:w="1986"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21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21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ind w:left="0" w:right="0" w:firstLine="90"/>
              <w:jc w:val="left"/>
              <w:rPr/>
            </w:pPr>
            <w:r>
              <w:rPr/>
              <w:t> </w:t>
            </w:r>
          </w:p>
        </w:tc>
      </w:tr>
      <w:tr>
        <w:trPr/>
        <w:tc>
          <w:tcPr>
            <w:tcW w:w="1986" w:type="dxa"/>
            <w:tcBorders/>
            <w:vAlign w:val="center"/>
          </w:tcPr>
          <w:p>
            <w:pPr>
              <w:pStyle w:val="TableContents"/>
              <w:bidi w:val="0"/>
              <w:spacing w:before="0" w:after="283"/>
              <w:jc w:val="left"/>
              <w:rPr/>
            </w:pPr>
            <w:r>
              <w:rPr/>
              <w:t>Direct premium</w:t>
            </w:r>
          </w:p>
        </w:tc>
        <w:tc>
          <w:tcPr>
            <w:tcW w:w="9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w:t>
            </w:r>
          </w:p>
        </w:tc>
        <w:tc>
          <w:tcPr>
            <w:tcW w:w="1440" w:type="dxa"/>
            <w:tcBorders/>
            <w:vAlign w:val="center"/>
          </w:tcPr>
          <w:p>
            <w:pPr>
              <w:pStyle w:val="TableContents"/>
              <w:bidi w:val="0"/>
              <w:spacing w:before="0" w:after="283"/>
              <w:jc w:val="right"/>
              <w:rPr/>
            </w:pPr>
            <w:r>
              <w:rPr/>
              <w:t>235,705</w:t>
            </w:r>
          </w:p>
        </w:tc>
        <w:tc>
          <w:tcPr>
            <w:tcW w:w="21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420" w:type="dxa"/>
            <w:tcBorders/>
            <w:vAlign w:val="center"/>
          </w:tcPr>
          <w:p>
            <w:pPr>
              <w:pStyle w:val="TableContents"/>
              <w:bidi w:val="0"/>
              <w:spacing w:before="0" w:after="283"/>
              <w:jc w:val="right"/>
              <w:rPr/>
            </w:pPr>
            <w:r>
              <w:rPr/>
              <w:t>236,523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w:t>
            </w:r>
          </w:p>
        </w:tc>
        <w:tc>
          <w:tcPr>
            <w:tcW w:w="1440" w:type="dxa"/>
            <w:tcBorders/>
            <w:vAlign w:val="center"/>
          </w:tcPr>
          <w:p>
            <w:pPr>
              <w:pStyle w:val="TableContents"/>
              <w:bidi w:val="0"/>
              <w:spacing w:before="0" w:after="283"/>
              <w:jc w:val="right"/>
              <w:rPr/>
            </w:pPr>
            <w:r>
              <w:rPr/>
              <w:t>269,217</w:t>
            </w:r>
          </w:p>
        </w:tc>
        <w:tc>
          <w:tcPr>
            <w:tcW w:w="21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420" w:type="dxa"/>
            <w:tcBorders/>
            <w:vAlign w:val="center"/>
          </w:tcPr>
          <w:p>
            <w:pPr>
              <w:pStyle w:val="TableContents"/>
              <w:bidi w:val="0"/>
              <w:spacing w:before="0" w:after="283"/>
              <w:jc w:val="right"/>
              <w:rPr/>
            </w:pPr>
            <w:r>
              <w:rPr/>
              <w:t>257,024</w:t>
            </w:r>
          </w:p>
        </w:tc>
        <w:tc>
          <w:tcPr>
            <w:tcW w:w="232" w:type="dxa"/>
            <w:tcBorders/>
            <w:vAlign w:val="center"/>
          </w:tcPr>
          <w:p>
            <w:pPr>
              <w:pStyle w:val="TableContents"/>
              <w:bidi w:val="0"/>
              <w:spacing w:before="0" w:after="283"/>
              <w:ind w:left="0" w:right="0" w:firstLine="90"/>
              <w:jc w:val="left"/>
              <w:rPr/>
            </w:pPr>
            <w:r>
              <w:rPr/>
              <w:t> </w:t>
            </w:r>
          </w:p>
        </w:tc>
      </w:tr>
      <w:tr>
        <w:trPr/>
        <w:tc>
          <w:tcPr>
            <w:tcW w:w="1986" w:type="dxa"/>
            <w:tcBorders/>
            <w:shd w:fill="CCEEFF" w:val="clear"/>
            <w:vAlign w:val="center"/>
          </w:tcPr>
          <w:p>
            <w:pPr>
              <w:pStyle w:val="TableContents"/>
              <w:bidi w:val="0"/>
              <w:spacing w:before="0" w:after="283"/>
              <w:jc w:val="left"/>
              <w:rPr/>
            </w:pPr>
            <w:r>
              <w:rPr/>
              <w:t>Assumed premium</w:t>
            </w:r>
          </w:p>
        </w:tc>
        <w:tc>
          <w:tcPr>
            <w:tcW w:w="9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2,475</w:t>
            </w:r>
          </w:p>
        </w:tc>
        <w:tc>
          <w:tcPr>
            <w:tcW w:w="21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2,476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2,666</w:t>
            </w:r>
          </w:p>
        </w:tc>
        <w:tc>
          <w:tcPr>
            <w:tcW w:w="21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2,684</w:t>
            </w:r>
          </w:p>
        </w:tc>
        <w:tc>
          <w:tcPr>
            <w:tcW w:w="232" w:type="dxa"/>
            <w:tcBorders/>
            <w:shd w:fill="CCEEFF" w:val="clear"/>
            <w:vAlign w:val="center"/>
          </w:tcPr>
          <w:p>
            <w:pPr>
              <w:pStyle w:val="TableContents"/>
              <w:bidi w:val="0"/>
              <w:spacing w:before="0" w:after="283"/>
              <w:ind w:left="0" w:right="0" w:firstLine="90"/>
              <w:jc w:val="left"/>
              <w:rPr/>
            </w:pPr>
            <w:r>
              <w:rPr/>
              <w:t> </w:t>
            </w:r>
          </w:p>
        </w:tc>
      </w:tr>
      <w:tr>
        <w:trPr/>
        <w:tc>
          <w:tcPr>
            <w:tcW w:w="1986" w:type="dxa"/>
            <w:tcBorders/>
            <w:vAlign w:val="center"/>
          </w:tcPr>
          <w:p>
            <w:pPr>
              <w:pStyle w:val="TableContents"/>
              <w:bidi w:val="0"/>
              <w:spacing w:before="0" w:after="283"/>
              <w:jc w:val="left"/>
              <w:rPr/>
            </w:pPr>
            <w:r>
              <w:rPr/>
              <w:t>Ceded premium</w:t>
            </w:r>
          </w:p>
        </w:tc>
        <w:tc>
          <w:tcPr>
            <w:tcW w:w="90" w:type="dxa"/>
            <w:tcBorders/>
            <w:vAlign w:val="center"/>
          </w:tcPr>
          <w:p>
            <w:pPr>
              <w:pStyle w:val="TableContents"/>
              <w:bidi w:val="0"/>
              <w:spacing w:before="0" w:after="283"/>
              <w:jc w:val="left"/>
              <w:rPr/>
            </w:pPr>
            <w:r>
              <w:rPr/>
              <w:t> </w:t>
            </w:r>
          </w:p>
        </w:tc>
        <w:tc>
          <w:tcPr>
            <w:tcW w:w="312" w:type="dxa"/>
            <w:tcBorders>
              <w:bottom w:val="single" w:sz="8" w:space="0" w:color="000000"/>
            </w:tcBorders>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tcMar>
              <w:bottom w:w="28" w:type="dxa"/>
            </w:tcMar>
            <w:vAlign w:val="center"/>
          </w:tcPr>
          <w:p>
            <w:pPr>
              <w:pStyle w:val="TableContents"/>
              <w:bidi w:val="0"/>
              <w:spacing w:before="0" w:after="283"/>
              <w:jc w:val="right"/>
              <w:rPr/>
            </w:pPr>
            <w:r>
              <w:rPr/>
              <w:t>(29,810</w:t>
            </w:r>
          </w:p>
        </w:tc>
        <w:tc>
          <w:tcPr>
            <w:tcW w:w="210" w:type="dxa"/>
            <w:tcBorders/>
            <w:vAlign w:val="center"/>
          </w:tcPr>
          <w:p>
            <w:pPr>
              <w:pStyle w:val="TableContents"/>
              <w:bidi w:val="0"/>
              <w:spacing w:before="0" w:after="283"/>
              <w:jc w:val="left"/>
              <w:rPr/>
            </w:pPr>
            <w:r>
              <w:rPr/>
              <w:t>)</w:t>
            </w:r>
          </w:p>
        </w:tc>
        <w:tc>
          <w:tcPr>
            <w:tcW w:w="151" w:type="dxa"/>
            <w:tcBorders/>
            <w:vAlign w:val="center"/>
          </w:tcPr>
          <w:p>
            <w:pPr>
              <w:pStyle w:val="TableContents"/>
              <w:bidi w:val="0"/>
              <w:spacing w:before="0" w:after="283"/>
              <w:jc w:val="left"/>
              <w:rPr/>
            </w:pPr>
            <w:r>
              <w:rPr/>
              <w:t> </w:t>
            </w:r>
          </w:p>
        </w:tc>
        <w:tc>
          <w:tcPr>
            <w:tcW w:w="308" w:type="dxa"/>
            <w:tcBorders>
              <w:bottom w:val="single" w:sz="8" w:space="0" w:color="000000"/>
            </w:tcBorders>
            <w:tcMar>
              <w:bottom w:w="28" w:type="dxa"/>
            </w:tcMar>
            <w:vAlign w:val="center"/>
          </w:tcPr>
          <w:p>
            <w:pPr>
              <w:pStyle w:val="TableContents"/>
              <w:bidi w:val="0"/>
              <w:spacing w:before="0" w:after="283"/>
              <w:jc w:val="left"/>
              <w:rPr/>
            </w:pPr>
            <w:r>
              <w:rPr/>
              <w:t> </w:t>
            </w:r>
          </w:p>
        </w:tc>
        <w:tc>
          <w:tcPr>
            <w:tcW w:w="1420" w:type="dxa"/>
            <w:tcBorders>
              <w:bottom w:val="single" w:sz="8" w:space="0" w:color="000000"/>
            </w:tcBorders>
            <w:tcMar>
              <w:bottom w:w="28" w:type="dxa"/>
            </w:tcMar>
            <w:vAlign w:val="center"/>
          </w:tcPr>
          <w:p>
            <w:pPr>
              <w:pStyle w:val="TableContents"/>
              <w:bidi w:val="0"/>
              <w:spacing w:before="0" w:after="283"/>
              <w:jc w:val="right"/>
              <w:rPr/>
            </w:pPr>
            <w:r>
              <w:rPr/>
              <w:t>(26,592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12" w:type="dxa"/>
            <w:tcBorders>
              <w:bottom w:val="single" w:sz="8" w:space="0" w:color="000000"/>
            </w:tcBorders>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tcMar>
              <w:bottom w:w="28" w:type="dxa"/>
            </w:tcMar>
            <w:vAlign w:val="center"/>
          </w:tcPr>
          <w:p>
            <w:pPr>
              <w:pStyle w:val="TableContents"/>
              <w:bidi w:val="0"/>
              <w:spacing w:before="0" w:after="283"/>
              <w:jc w:val="right"/>
              <w:rPr/>
            </w:pPr>
            <w:r>
              <w:rPr/>
              <w:t>(22,780</w:t>
            </w:r>
          </w:p>
        </w:tc>
        <w:tc>
          <w:tcPr>
            <w:tcW w:w="210" w:type="dxa"/>
            <w:tcBorders/>
            <w:vAlign w:val="center"/>
          </w:tcPr>
          <w:p>
            <w:pPr>
              <w:pStyle w:val="TableContents"/>
              <w:bidi w:val="0"/>
              <w:spacing w:before="0" w:after="283"/>
              <w:jc w:val="left"/>
              <w:rPr/>
            </w:pPr>
            <w:r>
              <w:rPr/>
              <w:t>)</w:t>
            </w:r>
          </w:p>
        </w:tc>
        <w:tc>
          <w:tcPr>
            <w:tcW w:w="151" w:type="dxa"/>
            <w:tcBorders/>
            <w:vAlign w:val="center"/>
          </w:tcPr>
          <w:p>
            <w:pPr>
              <w:pStyle w:val="TableContents"/>
              <w:bidi w:val="0"/>
              <w:spacing w:before="0" w:after="283"/>
              <w:jc w:val="left"/>
              <w:rPr/>
            </w:pPr>
            <w:r>
              <w:rPr/>
              <w:t> </w:t>
            </w:r>
          </w:p>
        </w:tc>
        <w:tc>
          <w:tcPr>
            <w:tcW w:w="308" w:type="dxa"/>
            <w:tcBorders>
              <w:bottom w:val="single" w:sz="8" w:space="0" w:color="000000"/>
            </w:tcBorders>
            <w:tcMar>
              <w:bottom w:w="28" w:type="dxa"/>
            </w:tcMar>
            <w:vAlign w:val="center"/>
          </w:tcPr>
          <w:p>
            <w:pPr>
              <w:pStyle w:val="TableContents"/>
              <w:bidi w:val="0"/>
              <w:spacing w:before="0" w:after="283"/>
              <w:jc w:val="left"/>
              <w:rPr/>
            </w:pPr>
            <w:r>
              <w:rPr/>
              <w:t> </w:t>
            </w:r>
          </w:p>
        </w:tc>
        <w:tc>
          <w:tcPr>
            <w:tcW w:w="1420" w:type="dxa"/>
            <w:tcBorders>
              <w:bottom w:val="single" w:sz="8" w:space="0" w:color="000000"/>
            </w:tcBorders>
            <w:tcMar>
              <w:bottom w:w="28" w:type="dxa"/>
            </w:tcMar>
            <w:vAlign w:val="center"/>
          </w:tcPr>
          <w:p>
            <w:pPr>
              <w:pStyle w:val="TableContents"/>
              <w:bidi w:val="0"/>
              <w:spacing w:before="0" w:after="283"/>
              <w:jc w:val="right"/>
              <w:rPr/>
            </w:pPr>
            <w:r>
              <w:rPr/>
              <w:t>(21,385</w:t>
            </w:r>
          </w:p>
        </w:tc>
        <w:tc>
          <w:tcPr>
            <w:tcW w:w="232" w:type="dxa"/>
            <w:tcBorders/>
            <w:vAlign w:val="center"/>
          </w:tcPr>
          <w:p>
            <w:pPr>
              <w:pStyle w:val="TableContents"/>
              <w:bidi w:val="0"/>
              <w:spacing w:before="0" w:after="283"/>
              <w:jc w:val="left"/>
              <w:rPr/>
            </w:pPr>
            <w:r>
              <w:rPr/>
              <w:t>)</w:t>
            </w:r>
          </w:p>
        </w:tc>
      </w:tr>
      <w:tr>
        <w:trPr/>
        <w:tc>
          <w:tcPr>
            <w:tcW w:w="1986" w:type="dxa"/>
            <w:tcBorders/>
            <w:shd w:fill="CCEEFF" w:val="clear"/>
            <w:vAlign w:val="center"/>
          </w:tcPr>
          <w:p>
            <w:pPr>
              <w:pStyle w:val="TableContents"/>
              <w:bidi w:val="0"/>
              <w:spacing w:before="0" w:after="283"/>
              <w:jc w:val="left"/>
              <w:rPr/>
            </w:pPr>
            <w:r>
              <w:rPr/>
              <w:t>Net premiums</w:t>
            </w:r>
          </w:p>
        </w:tc>
        <w:tc>
          <w:tcPr>
            <w:tcW w:w="90" w:type="dxa"/>
            <w:tcBorders/>
            <w:shd w:fill="CCEEFF" w:val="clear"/>
            <w:vAlign w:val="center"/>
          </w:tcPr>
          <w:p>
            <w:pPr>
              <w:pStyle w:val="TableContents"/>
              <w:bidi w:val="0"/>
              <w:spacing w:before="0" w:after="283"/>
              <w:jc w:val="left"/>
              <w:rPr/>
            </w:pPr>
            <w:r>
              <w:rPr/>
              <w:t> </w:t>
            </w:r>
          </w:p>
        </w:tc>
        <w:tc>
          <w:tcPr>
            <w:tcW w:w="3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0" w:type="dxa"/>
            <w:tcBorders>
              <w:bottom w:val="double" w:sz="6" w:space="0" w:color="000000"/>
            </w:tcBorders>
            <w:shd w:fill="CCEEFF" w:val="clear"/>
            <w:tcMar>
              <w:bottom w:w="28" w:type="dxa"/>
            </w:tcMar>
            <w:vAlign w:val="center"/>
          </w:tcPr>
          <w:p>
            <w:pPr>
              <w:pStyle w:val="TableContents"/>
              <w:bidi w:val="0"/>
              <w:spacing w:before="0" w:after="283"/>
              <w:jc w:val="right"/>
              <w:rPr/>
            </w:pPr>
            <w:r>
              <w:rPr/>
              <w:t>208,370</w:t>
            </w:r>
          </w:p>
        </w:tc>
        <w:tc>
          <w:tcPr>
            <w:tcW w:w="21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0" w:type="dxa"/>
            <w:tcBorders>
              <w:bottom w:val="double" w:sz="6" w:space="0" w:color="000000"/>
            </w:tcBorders>
            <w:shd w:fill="CCEEFF" w:val="clear"/>
            <w:tcMar>
              <w:bottom w:w="28" w:type="dxa"/>
            </w:tcMar>
            <w:vAlign w:val="center"/>
          </w:tcPr>
          <w:p>
            <w:pPr>
              <w:pStyle w:val="TableContents"/>
              <w:bidi w:val="0"/>
              <w:spacing w:before="0" w:after="283"/>
              <w:jc w:val="right"/>
              <w:rPr/>
            </w:pPr>
            <w:r>
              <w:rPr/>
              <w:t>212,407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0" w:type="dxa"/>
            <w:tcBorders>
              <w:bottom w:val="double" w:sz="6" w:space="0" w:color="000000"/>
            </w:tcBorders>
            <w:shd w:fill="CCEEFF" w:val="clear"/>
            <w:tcMar>
              <w:bottom w:w="28" w:type="dxa"/>
            </w:tcMar>
            <w:vAlign w:val="center"/>
          </w:tcPr>
          <w:p>
            <w:pPr>
              <w:pStyle w:val="TableContents"/>
              <w:bidi w:val="0"/>
              <w:spacing w:before="0" w:after="283"/>
              <w:jc w:val="right"/>
              <w:rPr/>
            </w:pPr>
            <w:r>
              <w:rPr/>
              <w:t>249,103</w:t>
            </w:r>
          </w:p>
        </w:tc>
        <w:tc>
          <w:tcPr>
            <w:tcW w:w="21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0" w:type="dxa"/>
            <w:tcBorders>
              <w:bottom w:val="double" w:sz="6" w:space="0" w:color="000000"/>
            </w:tcBorders>
            <w:shd w:fill="CCEEFF" w:val="clear"/>
            <w:tcMar>
              <w:bottom w:w="28" w:type="dxa"/>
            </w:tcMar>
            <w:vAlign w:val="center"/>
          </w:tcPr>
          <w:p>
            <w:pPr>
              <w:pStyle w:val="TableContents"/>
              <w:bidi w:val="0"/>
              <w:spacing w:before="0" w:after="283"/>
              <w:jc w:val="right"/>
              <w:rPr/>
            </w:pPr>
            <w:r>
              <w:rPr/>
              <w:t>238,323</w:t>
            </w:r>
          </w:p>
        </w:tc>
        <w:tc>
          <w:tcPr>
            <w:tcW w:w="232"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5"/>
        <w:gridCol w:w="90"/>
        <w:gridCol w:w="692"/>
        <w:gridCol w:w="993"/>
        <w:gridCol w:w="264"/>
        <w:gridCol w:w="264"/>
        <w:gridCol w:w="679"/>
        <w:gridCol w:w="985"/>
        <w:gridCol w:w="90"/>
        <w:gridCol w:w="90"/>
        <w:gridCol w:w="369"/>
        <w:gridCol w:w="1316"/>
        <w:gridCol w:w="222"/>
        <w:gridCol w:w="159"/>
        <w:gridCol w:w="365"/>
        <w:gridCol w:w="1299"/>
        <w:gridCol w:w="233"/>
      </w:tblGrid>
      <w:tr>
        <w:trPr/>
        <w:tc>
          <w:tcPr>
            <w:tcW w:w="20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7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 2024</w:t>
            </w:r>
          </w:p>
        </w:tc>
        <w:tc>
          <w:tcPr>
            <w:tcW w:w="233" w:type="dxa"/>
            <w:tcBorders/>
            <w:vAlign w:val="center"/>
          </w:tcPr>
          <w:p>
            <w:pPr>
              <w:pStyle w:val="TableContents"/>
              <w:bidi w:val="0"/>
              <w:spacing w:before="0" w:after="283"/>
              <w:jc w:val="left"/>
              <w:rPr/>
            </w:pPr>
            <w:r>
              <w:rPr/>
              <w:t> </w:t>
            </w:r>
          </w:p>
        </w:tc>
      </w:tr>
      <w:tr>
        <w:trPr/>
        <w:tc>
          <w:tcPr>
            <w:tcW w:w="20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264"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6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222"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6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233" w:type="dxa"/>
            <w:tcBorders/>
            <w:vAlign w:val="center"/>
          </w:tcPr>
          <w:p>
            <w:pPr>
              <w:pStyle w:val="TableContents"/>
              <w:bidi w:val="0"/>
              <w:spacing w:before="0" w:after="283"/>
              <w:jc w:val="left"/>
              <w:rPr/>
            </w:pPr>
            <w:r>
              <w:rPr/>
              <w:t> </w:t>
            </w:r>
          </w:p>
        </w:tc>
      </w:tr>
      <w:tr>
        <w:trPr/>
        <w:tc>
          <w:tcPr>
            <w:tcW w:w="2095" w:type="dxa"/>
            <w:tcBorders/>
            <w:shd w:fill="CCEEFF" w:val="clear"/>
            <w:vAlign w:val="center"/>
          </w:tcPr>
          <w:p>
            <w:pPr>
              <w:pStyle w:val="TableContents"/>
              <w:bidi w:val="0"/>
              <w:spacing w:before="0" w:after="283"/>
              <w:jc w:val="left"/>
              <w:rPr/>
            </w:pPr>
            <w:r>
              <w:rPr/>
              <w:t>Discontinued operations:</w:t>
            </w:r>
          </w:p>
        </w:tc>
        <w:tc>
          <w:tcPr>
            <w:tcW w:w="90"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264"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ind w:left="0" w:right="0" w:firstLine="90"/>
              <w:jc w:val="left"/>
              <w:rPr/>
            </w:pPr>
            <w:r>
              <w:rPr/>
              <w:t> </w:t>
            </w:r>
          </w:p>
        </w:tc>
      </w:tr>
      <w:tr>
        <w:trPr/>
        <w:tc>
          <w:tcPr>
            <w:tcW w:w="2095" w:type="dxa"/>
            <w:tcBorders/>
            <w:vAlign w:val="center"/>
          </w:tcPr>
          <w:p>
            <w:pPr>
              <w:pStyle w:val="TableContents"/>
              <w:bidi w:val="0"/>
              <w:spacing w:before="0" w:after="283"/>
              <w:jc w:val="left"/>
              <w:rPr/>
            </w:pPr>
            <w:r>
              <w:rPr/>
              <w:t>Direct premium</w:t>
            </w:r>
          </w:p>
        </w:tc>
        <w:tc>
          <w:tcPr>
            <w:tcW w:w="9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w:t>
            </w:r>
          </w:p>
        </w:tc>
        <w:tc>
          <w:tcPr>
            <w:tcW w:w="993" w:type="dxa"/>
            <w:tcBorders/>
            <w:vAlign w:val="center"/>
          </w:tcPr>
          <w:p>
            <w:pPr>
              <w:pStyle w:val="TableContents"/>
              <w:bidi w:val="0"/>
              <w:spacing w:before="0" w:after="0"/>
              <w:jc w:val="right"/>
              <w:rPr/>
            </w:pPr>
            <w:r>
              <w:rPr/>
              <w:t>—</w:t>
            </w:r>
          </w:p>
        </w:tc>
        <w:tc>
          <w:tcPr>
            <w:tcW w:w="264"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pPr>
            <w:r>
              <w:rPr/>
              <w:t>$</w:t>
            </w:r>
          </w:p>
        </w:tc>
        <w:tc>
          <w:tcPr>
            <w:tcW w:w="98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w:t>
            </w:r>
          </w:p>
        </w:tc>
        <w:tc>
          <w:tcPr>
            <w:tcW w:w="1316" w:type="dxa"/>
            <w:tcBorders/>
            <w:vAlign w:val="center"/>
          </w:tcPr>
          <w:p>
            <w:pPr>
              <w:pStyle w:val="TableContents"/>
              <w:bidi w:val="0"/>
              <w:spacing w:before="0" w:after="283"/>
              <w:jc w:val="right"/>
              <w:rPr/>
            </w:pPr>
            <w:r>
              <w:rPr/>
              <w:t>41,632</w:t>
            </w:r>
          </w:p>
        </w:tc>
        <w:tc>
          <w:tcPr>
            <w:tcW w:w="222"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w:t>
            </w:r>
          </w:p>
        </w:tc>
        <w:tc>
          <w:tcPr>
            <w:tcW w:w="1299" w:type="dxa"/>
            <w:tcBorders/>
            <w:vAlign w:val="center"/>
          </w:tcPr>
          <w:p>
            <w:pPr>
              <w:pStyle w:val="TableContents"/>
              <w:bidi w:val="0"/>
              <w:spacing w:before="0" w:after="283"/>
              <w:jc w:val="right"/>
              <w:rPr/>
            </w:pPr>
            <w:r>
              <w:rPr/>
              <w:t>39,083</w:t>
            </w:r>
          </w:p>
        </w:tc>
        <w:tc>
          <w:tcPr>
            <w:tcW w:w="233" w:type="dxa"/>
            <w:tcBorders/>
            <w:vAlign w:val="center"/>
          </w:tcPr>
          <w:p>
            <w:pPr>
              <w:pStyle w:val="TableContents"/>
              <w:bidi w:val="0"/>
              <w:spacing w:before="0" w:after="283"/>
              <w:ind w:left="0" w:right="0" w:firstLine="90"/>
              <w:jc w:val="left"/>
              <w:rPr/>
            </w:pPr>
            <w:r>
              <w:rPr/>
              <w:t> </w:t>
            </w:r>
          </w:p>
        </w:tc>
      </w:tr>
      <w:tr>
        <w:trPr/>
        <w:tc>
          <w:tcPr>
            <w:tcW w:w="2095" w:type="dxa"/>
            <w:tcBorders/>
            <w:shd w:fill="CCEEFF" w:val="clear"/>
            <w:vAlign w:val="center"/>
          </w:tcPr>
          <w:p>
            <w:pPr>
              <w:pStyle w:val="TableContents"/>
              <w:bidi w:val="0"/>
              <w:spacing w:before="0" w:after="283"/>
              <w:jc w:val="left"/>
              <w:rPr/>
            </w:pPr>
            <w:r>
              <w:rPr/>
              <w:t>Assumed premium</w:t>
            </w:r>
          </w:p>
        </w:tc>
        <w:tc>
          <w:tcPr>
            <w:tcW w:w="90"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0"/>
              <w:jc w:val="right"/>
              <w:rPr/>
            </w:pPr>
            <w:r>
              <w:rPr/>
              <w:t>—</w:t>
            </w:r>
          </w:p>
        </w:tc>
        <w:tc>
          <w:tcPr>
            <w:tcW w:w="264"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0"/>
              <w:jc w:val="right"/>
              <w:rPr/>
            </w:pPr>
            <w:r>
              <w:rPr/>
              <w:t>—</w:t>
            </w:r>
          </w:p>
        </w:tc>
        <w:tc>
          <w:tcPr>
            <w:tcW w:w="222"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0"/>
              <w:jc w:val="right"/>
              <w:rPr/>
            </w:pPr>
            <w:r>
              <w:rPr/>
              <w:t>—</w:t>
            </w:r>
          </w:p>
        </w:tc>
        <w:tc>
          <w:tcPr>
            <w:tcW w:w="233" w:type="dxa"/>
            <w:tcBorders/>
            <w:shd w:fill="CCEEFF" w:val="clear"/>
            <w:vAlign w:val="center"/>
          </w:tcPr>
          <w:p>
            <w:pPr>
              <w:pStyle w:val="TableContents"/>
              <w:bidi w:val="0"/>
              <w:spacing w:before="0" w:after="283"/>
              <w:ind w:left="0" w:right="0" w:firstLine="90"/>
              <w:jc w:val="left"/>
              <w:rPr/>
            </w:pPr>
            <w:r>
              <w:rPr/>
              <w:t> </w:t>
            </w:r>
          </w:p>
        </w:tc>
      </w:tr>
      <w:tr>
        <w:trPr/>
        <w:tc>
          <w:tcPr>
            <w:tcW w:w="2095" w:type="dxa"/>
            <w:tcBorders/>
            <w:vAlign w:val="center"/>
          </w:tcPr>
          <w:p>
            <w:pPr>
              <w:pStyle w:val="TableContents"/>
              <w:bidi w:val="0"/>
              <w:spacing w:before="0" w:after="283"/>
              <w:jc w:val="left"/>
              <w:rPr/>
            </w:pPr>
            <w:r>
              <w:rPr/>
              <w:t>Ceded premium</w:t>
            </w:r>
          </w:p>
        </w:tc>
        <w:tc>
          <w:tcPr>
            <w:tcW w:w="90" w:type="dxa"/>
            <w:tcBorders/>
            <w:vAlign w:val="center"/>
          </w:tcPr>
          <w:p>
            <w:pPr>
              <w:pStyle w:val="TableContents"/>
              <w:bidi w:val="0"/>
              <w:spacing w:before="0" w:after="283"/>
              <w:jc w:val="left"/>
              <w:rPr/>
            </w:pPr>
            <w:r>
              <w:rPr/>
              <w:t> </w:t>
            </w:r>
          </w:p>
        </w:tc>
        <w:tc>
          <w:tcPr>
            <w:tcW w:w="692" w:type="dxa"/>
            <w:tcBorders>
              <w:bottom w:val="single" w:sz="8" w:space="0" w:color="000000"/>
            </w:tcBorders>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tcMar>
              <w:bottom w:w="28" w:type="dxa"/>
            </w:tcMar>
            <w:vAlign w:val="center"/>
          </w:tcPr>
          <w:p>
            <w:pPr>
              <w:pStyle w:val="TableContents"/>
              <w:bidi w:val="0"/>
              <w:spacing w:before="0" w:after="0"/>
              <w:jc w:val="right"/>
              <w:rPr/>
            </w:pPr>
            <w:r>
              <w:rPr/>
              <w:t>—</w:t>
            </w:r>
          </w:p>
        </w:tc>
        <w:tc>
          <w:tcPr>
            <w:tcW w:w="264"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679" w:type="dxa"/>
            <w:tcBorders>
              <w:bottom w:val="single" w:sz="8" w:space="0" w:color="000000"/>
            </w:tcBorders>
            <w:tcMar>
              <w:bottom w:w="28" w:type="dxa"/>
            </w:tcMar>
            <w:vAlign w:val="center"/>
          </w:tcPr>
          <w:p>
            <w:pPr>
              <w:pStyle w:val="TableContents"/>
              <w:bidi w:val="0"/>
              <w:spacing w:before="0" w:after="283"/>
              <w:jc w:val="left"/>
              <w:rPr/>
            </w:pPr>
            <w:r>
              <w:rPr/>
              <w:t> </w:t>
            </w:r>
          </w:p>
        </w:tc>
        <w:tc>
          <w:tcPr>
            <w:tcW w:w="985" w:type="dxa"/>
            <w:tcBorders>
              <w:bottom w:val="single" w:sz="8"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9" w:type="dxa"/>
            <w:tcBorders>
              <w:bottom w:val="single" w:sz="8" w:space="0" w:color="000000"/>
            </w:tcBorders>
            <w:tcMar>
              <w:bottom w:w="28" w:type="dxa"/>
            </w:tcMar>
            <w:vAlign w:val="center"/>
          </w:tcPr>
          <w:p>
            <w:pPr>
              <w:pStyle w:val="TableContents"/>
              <w:bidi w:val="0"/>
              <w:spacing w:before="0" w:after="283"/>
              <w:jc w:val="left"/>
              <w:rPr/>
            </w:pPr>
            <w:r>
              <w:rPr/>
              <w:t> </w:t>
            </w:r>
          </w:p>
        </w:tc>
        <w:tc>
          <w:tcPr>
            <w:tcW w:w="1316" w:type="dxa"/>
            <w:tcBorders>
              <w:bottom w:val="single" w:sz="8" w:space="0" w:color="000000"/>
            </w:tcBorders>
            <w:tcMar>
              <w:bottom w:w="28" w:type="dxa"/>
            </w:tcMar>
            <w:vAlign w:val="center"/>
          </w:tcPr>
          <w:p>
            <w:pPr>
              <w:pStyle w:val="TableContents"/>
              <w:bidi w:val="0"/>
              <w:spacing w:before="0" w:after="283"/>
              <w:jc w:val="right"/>
              <w:rPr/>
            </w:pPr>
            <w:r>
              <w:rPr/>
              <w:t>(8,743</w:t>
            </w:r>
          </w:p>
        </w:tc>
        <w:tc>
          <w:tcPr>
            <w:tcW w:w="222"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 </w:t>
            </w:r>
          </w:p>
        </w:tc>
        <w:tc>
          <w:tcPr>
            <w:tcW w:w="365" w:type="dxa"/>
            <w:tcBorders>
              <w:bottom w:val="single" w:sz="8" w:space="0" w:color="000000"/>
            </w:tcBorders>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tcMar>
              <w:bottom w:w="28" w:type="dxa"/>
            </w:tcMar>
            <w:vAlign w:val="center"/>
          </w:tcPr>
          <w:p>
            <w:pPr>
              <w:pStyle w:val="TableContents"/>
              <w:bidi w:val="0"/>
              <w:spacing w:before="0" w:after="283"/>
              <w:jc w:val="right"/>
              <w:rPr/>
            </w:pPr>
            <w:r>
              <w:rPr/>
              <w:t>(8,027</w:t>
            </w:r>
          </w:p>
        </w:tc>
        <w:tc>
          <w:tcPr>
            <w:tcW w:w="233" w:type="dxa"/>
            <w:tcBorders/>
            <w:vAlign w:val="center"/>
          </w:tcPr>
          <w:p>
            <w:pPr>
              <w:pStyle w:val="TableContents"/>
              <w:bidi w:val="0"/>
              <w:spacing w:before="0" w:after="283"/>
              <w:jc w:val="left"/>
              <w:rPr/>
            </w:pPr>
            <w:r>
              <w:rPr/>
              <w:t>)</w:t>
            </w:r>
          </w:p>
        </w:tc>
      </w:tr>
      <w:tr>
        <w:trPr/>
        <w:tc>
          <w:tcPr>
            <w:tcW w:w="2095" w:type="dxa"/>
            <w:tcBorders/>
            <w:shd w:fill="CCEEFF" w:val="clear"/>
            <w:vAlign w:val="center"/>
          </w:tcPr>
          <w:p>
            <w:pPr>
              <w:pStyle w:val="TableContents"/>
              <w:bidi w:val="0"/>
              <w:spacing w:before="0" w:after="283"/>
              <w:jc w:val="left"/>
              <w:rPr/>
            </w:pPr>
            <w:r>
              <w:rPr/>
              <w:t>Net premiums</w:t>
            </w:r>
          </w:p>
        </w:tc>
        <w:tc>
          <w:tcPr>
            <w:tcW w:w="90" w:type="dxa"/>
            <w:tcBorders/>
            <w:shd w:fill="CCEEFF" w:val="clear"/>
            <w:vAlign w:val="center"/>
          </w:tcPr>
          <w:p>
            <w:pPr>
              <w:pStyle w:val="TableContents"/>
              <w:bidi w:val="0"/>
              <w:spacing w:before="0" w:after="283"/>
              <w:jc w:val="left"/>
              <w:rPr/>
            </w:pPr>
            <w:r>
              <w:rPr/>
              <w:t> </w:t>
            </w:r>
          </w:p>
        </w:tc>
        <w:tc>
          <w:tcPr>
            <w:tcW w:w="6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3"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264"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6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5"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6" w:type="dxa"/>
            <w:tcBorders>
              <w:bottom w:val="double" w:sz="6" w:space="0" w:color="000000"/>
            </w:tcBorders>
            <w:shd w:fill="CCEEFF" w:val="clear"/>
            <w:tcMar>
              <w:bottom w:w="28" w:type="dxa"/>
            </w:tcMar>
            <w:vAlign w:val="center"/>
          </w:tcPr>
          <w:p>
            <w:pPr>
              <w:pStyle w:val="TableContents"/>
              <w:bidi w:val="0"/>
              <w:spacing w:before="0" w:after="283"/>
              <w:jc w:val="right"/>
              <w:rPr/>
            </w:pPr>
            <w:r>
              <w:rPr/>
              <w:t>32,889</w:t>
            </w:r>
          </w:p>
        </w:tc>
        <w:tc>
          <w:tcPr>
            <w:tcW w:w="222"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3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9" w:type="dxa"/>
            <w:tcBorders>
              <w:bottom w:val="double" w:sz="6" w:space="0" w:color="000000"/>
            </w:tcBorders>
            <w:shd w:fill="CCEEFF" w:val="clear"/>
            <w:tcMar>
              <w:bottom w:w="28" w:type="dxa"/>
            </w:tcMar>
            <w:vAlign w:val="center"/>
          </w:tcPr>
          <w:p>
            <w:pPr>
              <w:pStyle w:val="TableContents"/>
              <w:bidi w:val="0"/>
              <w:spacing w:before="0" w:after="283"/>
              <w:jc w:val="right"/>
              <w:rPr/>
            </w:pPr>
            <w:r>
              <w:rPr/>
              <w:t>31,056</w:t>
            </w:r>
          </w:p>
        </w:tc>
        <w:tc>
          <w:tcPr>
            <w:tcW w:w="23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direct to net losses and loss adjustment expenses, presented on a consolidated basis, including both continuing and discontinued operations, is as follows:</w:t>
      </w:r>
    </w:p>
    <w:tbl>
      <w:tblPr>
        <w:tblW w:w="10205" w:type="dxa"/>
        <w:jc w:val="left"/>
        <w:tblInd w:w="0" w:type="dxa"/>
        <w:tblLayout w:type="fixed"/>
        <w:tblCellMar>
          <w:top w:w="0" w:type="dxa"/>
          <w:left w:w="0" w:type="dxa"/>
          <w:bottom w:w="0" w:type="dxa"/>
          <w:right w:w="0" w:type="dxa"/>
        </w:tblCellMar>
      </w:tblPr>
      <w:tblGrid>
        <w:gridCol w:w="3354"/>
        <w:gridCol w:w="90"/>
        <w:gridCol w:w="275"/>
        <w:gridCol w:w="1149"/>
        <w:gridCol w:w="202"/>
        <w:gridCol w:w="145"/>
        <w:gridCol w:w="275"/>
        <w:gridCol w:w="1149"/>
        <w:gridCol w:w="125"/>
        <w:gridCol w:w="90"/>
        <w:gridCol w:w="243"/>
        <w:gridCol w:w="1191"/>
        <w:gridCol w:w="179"/>
        <w:gridCol w:w="129"/>
        <w:gridCol w:w="243"/>
        <w:gridCol w:w="1191"/>
        <w:gridCol w:w="175"/>
      </w:tblGrid>
      <w:tr>
        <w:trPr/>
        <w:tc>
          <w:tcPr>
            <w:tcW w:w="33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7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75" w:type="dxa"/>
            <w:tcBorders/>
            <w:vAlign w:val="center"/>
          </w:tcPr>
          <w:p>
            <w:pPr>
              <w:pStyle w:val="TableContents"/>
              <w:bidi w:val="0"/>
              <w:spacing w:before="0" w:after="283"/>
              <w:jc w:val="left"/>
              <w:rPr/>
            </w:pPr>
            <w:r>
              <w:rPr/>
              <w:t> </w:t>
            </w:r>
          </w:p>
        </w:tc>
      </w:tr>
      <w:tr>
        <w:trPr/>
        <w:tc>
          <w:tcPr>
            <w:tcW w:w="33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0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5" w:type="dxa"/>
            <w:tcBorders/>
            <w:vAlign w:val="center"/>
          </w:tcPr>
          <w:p>
            <w:pPr>
              <w:pStyle w:val="TableContents"/>
              <w:bidi w:val="0"/>
              <w:spacing w:before="0" w:after="283"/>
              <w:jc w:val="left"/>
              <w:rPr/>
            </w:pPr>
            <w:r>
              <w:rPr/>
              <w:t> </w:t>
            </w:r>
          </w:p>
        </w:tc>
      </w:tr>
      <w:tr>
        <w:trPr/>
        <w:tc>
          <w:tcPr>
            <w:tcW w:w="3354" w:type="dxa"/>
            <w:tcBorders/>
            <w:shd w:fill="CCEEFF" w:val="clear"/>
            <w:vAlign w:val="center"/>
          </w:tcPr>
          <w:p>
            <w:pPr>
              <w:pStyle w:val="TableContents"/>
              <w:bidi w:val="0"/>
              <w:spacing w:before="0" w:after="283"/>
              <w:jc w:val="left"/>
              <w:rPr/>
            </w:pPr>
            <w:r>
              <w:rPr/>
              <w:t>Direct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p>
        </w:tc>
        <w:tc>
          <w:tcPr>
            <w:tcW w:w="1149" w:type="dxa"/>
            <w:tcBorders/>
            <w:shd w:fill="CCEEFF" w:val="clear"/>
            <w:vAlign w:val="center"/>
          </w:tcPr>
          <w:p>
            <w:pPr>
              <w:pStyle w:val="TableContents"/>
              <w:bidi w:val="0"/>
              <w:spacing w:before="0" w:after="283"/>
              <w:jc w:val="right"/>
              <w:rPr/>
            </w:pPr>
            <w:r>
              <w:rPr/>
              <w:t>57,828</w:t>
            </w:r>
          </w:p>
        </w:tc>
        <w:tc>
          <w:tcPr>
            <w:tcW w:w="20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p>
        </w:tc>
        <w:tc>
          <w:tcPr>
            <w:tcW w:w="1149" w:type="dxa"/>
            <w:tcBorders/>
            <w:shd w:fill="CCEEFF" w:val="clear"/>
            <w:vAlign w:val="center"/>
          </w:tcPr>
          <w:p>
            <w:pPr>
              <w:pStyle w:val="TableContents"/>
              <w:bidi w:val="0"/>
              <w:spacing w:before="0" w:after="283"/>
              <w:jc w:val="right"/>
              <w:rPr/>
            </w:pPr>
            <w:r>
              <w:rPr/>
              <w:t>69,692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207,589</w:t>
            </w:r>
          </w:p>
        </w:tc>
        <w:tc>
          <w:tcPr>
            <w:tcW w:w="17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212,914</w:t>
            </w:r>
          </w:p>
        </w:tc>
        <w:tc>
          <w:tcPr>
            <w:tcW w:w="175" w:type="dxa"/>
            <w:tcBorders/>
            <w:shd w:fill="CCEEFF" w:val="clear"/>
            <w:vAlign w:val="center"/>
          </w:tcPr>
          <w:p>
            <w:pPr>
              <w:pStyle w:val="TableContents"/>
              <w:bidi w:val="0"/>
              <w:spacing w:before="0" w:after="283"/>
              <w:jc w:val="left"/>
              <w:rPr/>
            </w:pPr>
            <w:r>
              <w:rPr/>
              <w:t> </w:t>
            </w:r>
          </w:p>
        </w:tc>
      </w:tr>
      <w:tr>
        <w:trPr/>
        <w:tc>
          <w:tcPr>
            <w:tcW w:w="3354" w:type="dxa"/>
            <w:tcBorders/>
            <w:vAlign w:val="center"/>
          </w:tcPr>
          <w:p>
            <w:pPr>
              <w:pStyle w:val="TableContents"/>
              <w:bidi w:val="0"/>
              <w:spacing w:before="0" w:after="283"/>
              <w:jc w:val="left"/>
              <w:rPr/>
            </w:pPr>
            <w:r>
              <w:rPr/>
              <w:t>Assumed losses and loss adjustment expenses</w:t>
            </w:r>
          </w:p>
        </w:tc>
        <w:tc>
          <w:tcPr>
            <w:tcW w:w="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523</w:t>
            </w:r>
          </w:p>
        </w:tc>
        <w:tc>
          <w:tcPr>
            <w:tcW w:w="20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617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574</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886</w:t>
            </w:r>
          </w:p>
        </w:tc>
        <w:tc>
          <w:tcPr>
            <w:tcW w:w="175" w:type="dxa"/>
            <w:tcBorders/>
            <w:vAlign w:val="center"/>
          </w:tcPr>
          <w:p>
            <w:pPr>
              <w:pStyle w:val="TableContents"/>
              <w:bidi w:val="0"/>
              <w:spacing w:before="0" w:after="283"/>
              <w:jc w:val="left"/>
              <w:rPr/>
            </w:pPr>
            <w:r>
              <w:rPr/>
              <w:t> </w:t>
            </w:r>
          </w:p>
        </w:tc>
      </w:tr>
      <w:tr>
        <w:trPr/>
        <w:tc>
          <w:tcPr>
            <w:tcW w:w="3354" w:type="dxa"/>
            <w:tcBorders/>
            <w:shd w:fill="CCEEFF" w:val="clear"/>
            <w:vAlign w:val="center"/>
          </w:tcPr>
          <w:p>
            <w:pPr>
              <w:pStyle w:val="TableContents"/>
              <w:bidi w:val="0"/>
              <w:spacing w:before="0" w:after="283"/>
              <w:jc w:val="left"/>
              <w:rPr/>
            </w:pPr>
            <w:r>
              <w:rPr/>
              <w:t>Ceded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pPr>
            <w:r>
              <w:rPr/>
              <w:t>(2,154</w:t>
            </w:r>
          </w:p>
        </w:tc>
        <w:tc>
          <w:tcPr>
            <w:tcW w:w="202" w:type="dxa"/>
            <w:tcBorders/>
            <w:shd w:fill="CCEEFF" w:val="clear"/>
            <w:vAlign w:val="center"/>
          </w:tcPr>
          <w:p>
            <w:pPr>
              <w:pStyle w:val="TableContents"/>
              <w:bidi w:val="0"/>
              <w:spacing w:before="0" w:after="283"/>
              <w:jc w:val="left"/>
              <w:rPr/>
            </w:pPr>
            <w:r>
              <w:rPr/>
              <w:t>)</w:t>
            </w:r>
          </w:p>
        </w:tc>
        <w:tc>
          <w:tcPr>
            <w:tcW w:w="145" w:type="dxa"/>
            <w:tcBorders/>
            <w:shd w:fill="CCEEFF" w:val="clear"/>
            <w:vAlign w:val="center"/>
          </w:tcPr>
          <w:p>
            <w:pPr>
              <w:pStyle w:val="TableContents"/>
              <w:bidi w:val="0"/>
              <w:spacing w:before="0" w:after="283"/>
              <w:jc w:val="left"/>
              <w:rPr/>
            </w:pPr>
            <w:r>
              <w:rPr/>
              <w:t> </w:t>
            </w:r>
          </w:p>
        </w:tc>
        <w:tc>
          <w:tcPr>
            <w:tcW w:w="2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pPr>
            <w:r>
              <w:rPr/>
              <w:t>(5,209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pPr>
            <w:r>
              <w:rPr/>
              <w:t>(46,834</w:t>
            </w:r>
          </w:p>
        </w:tc>
        <w:tc>
          <w:tcPr>
            <w:tcW w:w="179" w:type="dxa"/>
            <w:tcBorders/>
            <w:shd w:fill="CCEEFF" w:val="clear"/>
            <w:vAlign w:val="center"/>
          </w:tcPr>
          <w:p>
            <w:pPr>
              <w:pStyle w:val="TableContents"/>
              <w:bidi w:val="0"/>
              <w:spacing w:before="0" w:after="283"/>
              <w:jc w:val="left"/>
              <w:rPr/>
            </w:pPr>
            <w:r>
              <w:rPr/>
              <w:t>)</w:t>
            </w:r>
          </w:p>
        </w:tc>
        <w:tc>
          <w:tcPr>
            <w:tcW w:w="129"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pPr>
            <w:r>
              <w:rPr/>
              <w:t>(15,692</w:t>
            </w:r>
          </w:p>
        </w:tc>
        <w:tc>
          <w:tcPr>
            <w:tcW w:w="175" w:type="dxa"/>
            <w:tcBorders/>
            <w:shd w:fill="CCEEFF" w:val="clear"/>
            <w:vAlign w:val="center"/>
          </w:tcPr>
          <w:p>
            <w:pPr>
              <w:pStyle w:val="TableContents"/>
              <w:bidi w:val="0"/>
              <w:spacing w:before="0" w:after="283"/>
              <w:jc w:val="left"/>
              <w:rPr/>
            </w:pPr>
            <w:r>
              <w:rPr/>
              <w:t>)</w:t>
            </w:r>
          </w:p>
        </w:tc>
      </w:tr>
      <w:tr>
        <w:trPr/>
        <w:tc>
          <w:tcPr>
            <w:tcW w:w="3354" w:type="dxa"/>
            <w:tcBorders/>
            <w:vAlign w:val="center"/>
          </w:tcPr>
          <w:p>
            <w:pPr>
              <w:pStyle w:val="TableContents"/>
              <w:bidi w:val="0"/>
              <w:spacing w:before="0" w:after="283"/>
              <w:jc w:val="left"/>
              <w:rPr/>
            </w:pPr>
            <w:r>
              <w:rPr/>
              <w:t>Net losses and loss adjustment expenses</w:t>
            </w:r>
          </w:p>
        </w:tc>
        <w:tc>
          <w:tcPr>
            <w:tcW w:w="90" w:type="dxa"/>
            <w:tcBorders/>
            <w:vAlign w:val="center"/>
          </w:tcPr>
          <w:p>
            <w:pPr>
              <w:pStyle w:val="TableContents"/>
              <w:bidi w:val="0"/>
              <w:spacing w:before="0" w:after="283"/>
              <w:jc w:val="left"/>
              <w:rPr/>
            </w:pPr>
            <w:r>
              <w:rPr/>
              <w:t> </w:t>
            </w:r>
          </w:p>
        </w:tc>
        <w:tc>
          <w:tcPr>
            <w:tcW w:w="275" w:type="dxa"/>
            <w:tcBorders>
              <w:bottom w:val="double" w:sz="6" w:space="0" w:color="000000"/>
            </w:tcBorders>
            <w:tcMar>
              <w:bottom w:w="28" w:type="dxa"/>
            </w:tcMar>
            <w:vAlign w:val="center"/>
          </w:tcPr>
          <w:p>
            <w:pPr>
              <w:pStyle w:val="TableContents"/>
              <w:bidi w:val="0"/>
              <w:spacing w:before="0" w:after="283"/>
              <w:jc w:val="left"/>
              <w:rPr/>
            </w:pPr>
            <w:r>
              <w:rPr/>
              <w:t>$</w:t>
            </w:r>
          </w:p>
        </w:tc>
        <w:tc>
          <w:tcPr>
            <w:tcW w:w="1149" w:type="dxa"/>
            <w:tcBorders>
              <w:bottom w:val="double" w:sz="6" w:space="0" w:color="000000"/>
            </w:tcBorders>
            <w:tcMar>
              <w:bottom w:w="28" w:type="dxa"/>
            </w:tcMar>
            <w:vAlign w:val="center"/>
          </w:tcPr>
          <w:p>
            <w:pPr>
              <w:pStyle w:val="TableContents"/>
              <w:bidi w:val="0"/>
              <w:spacing w:before="0" w:after="283"/>
              <w:jc w:val="right"/>
              <w:rPr/>
            </w:pPr>
            <w:r>
              <w:rPr/>
              <w:t>56,197</w:t>
            </w:r>
          </w:p>
        </w:tc>
        <w:tc>
          <w:tcPr>
            <w:tcW w:w="20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75" w:type="dxa"/>
            <w:tcBorders>
              <w:bottom w:val="double" w:sz="6" w:space="0" w:color="000000"/>
            </w:tcBorders>
            <w:tcMar>
              <w:bottom w:w="28" w:type="dxa"/>
            </w:tcMar>
            <w:vAlign w:val="center"/>
          </w:tcPr>
          <w:p>
            <w:pPr>
              <w:pStyle w:val="TableContents"/>
              <w:bidi w:val="0"/>
              <w:spacing w:before="0" w:after="283"/>
              <w:jc w:val="left"/>
              <w:rPr/>
            </w:pPr>
            <w:r>
              <w:rPr/>
              <w:t>$</w:t>
            </w:r>
          </w:p>
        </w:tc>
        <w:tc>
          <w:tcPr>
            <w:tcW w:w="1149" w:type="dxa"/>
            <w:tcBorders>
              <w:bottom w:val="double" w:sz="6" w:space="0" w:color="000000"/>
            </w:tcBorders>
            <w:tcMar>
              <w:bottom w:w="28" w:type="dxa"/>
            </w:tcMar>
            <w:vAlign w:val="center"/>
          </w:tcPr>
          <w:p>
            <w:pPr>
              <w:pStyle w:val="TableContents"/>
              <w:bidi w:val="0"/>
              <w:spacing w:before="0" w:after="283"/>
              <w:jc w:val="right"/>
              <w:rPr/>
            </w:pPr>
            <w:r>
              <w:rPr/>
              <w:t>65,100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bottom w:val="double" w:sz="6" w:space="0" w:color="000000"/>
            </w:tcBorders>
            <w:tcMar>
              <w:bottom w:w="28" w:type="dxa"/>
            </w:tcMar>
            <w:vAlign w:val="center"/>
          </w:tcPr>
          <w:p>
            <w:pPr>
              <w:pStyle w:val="TableContents"/>
              <w:bidi w:val="0"/>
              <w:spacing w:before="0" w:after="283"/>
              <w:jc w:val="left"/>
              <w:rPr/>
            </w:pPr>
            <w:r>
              <w:rPr/>
              <w:t>$</w:t>
            </w:r>
          </w:p>
        </w:tc>
        <w:tc>
          <w:tcPr>
            <w:tcW w:w="1191" w:type="dxa"/>
            <w:tcBorders>
              <w:bottom w:val="double" w:sz="6" w:space="0" w:color="000000"/>
            </w:tcBorders>
            <w:tcMar>
              <w:bottom w:w="28" w:type="dxa"/>
            </w:tcMar>
            <w:vAlign w:val="center"/>
          </w:tcPr>
          <w:p>
            <w:pPr>
              <w:pStyle w:val="TableContents"/>
              <w:bidi w:val="0"/>
              <w:spacing w:before="0" w:after="283"/>
              <w:jc w:val="right"/>
              <w:rPr/>
            </w:pPr>
            <w:r>
              <w:rPr/>
              <w:t>161,329</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3" w:type="dxa"/>
            <w:tcBorders>
              <w:bottom w:val="double" w:sz="6" w:space="0" w:color="000000"/>
            </w:tcBorders>
            <w:tcMar>
              <w:bottom w:w="28" w:type="dxa"/>
            </w:tcMar>
            <w:vAlign w:val="center"/>
          </w:tcPr>
          <w:p>
            <w:pPr>
              <w:pStyle w:val="TableContents"/>
              <w:bidi w:val="0"/>
              <w:spacing w:before="0" w:after="283"/>
              <w:jc w:val="left"/>
              <w:rPr/>
            </w:pPr>
            <w:r>
              <w:rPr/>
              <w:t>$</w:t>
            </w:r>
          </w:p>
        </w:tc>
        <w:tc>
          <w:tcPr>
            <w:tcW w:w="1191" w:type="dxa"/>
            <w:tcBorders>
              <w:bottom w:val="double" w:sz="6" w:space="0" w:color="000000"/>
            </w:tcBorders>
            <w:tcMar>
              <w:bottom w:w="28" w:type="dxa"/>
            </w:tcMar>
            <w:vAlign w:val="center"/>
          </w:tcPr>
          <w:p>
            <w:pPr>
              <w:pStyle w:val="TableContents"/>
              <w:bidi w:val="0"/>
              <w:spacing w:before="0" w:after="283"/>
              <w:jc w:val="right"/>
              <w:rPr/>
            </w:pPr>
            <w:r>
              <w:rPr/>
              <w:t>198,108</w:t>
            </w:r>
          </w:p>
        </w:tc>
        <w:tc>
          <w:tcPr>
            <w:tcW w:w="1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reconciliations for current and prior year continuing and discontinued operations of direct to net losses and loss adjustment expenses is as follows:</w:t>
      </w:r>
    </w:p>
    <w:p>
      <w:pPr>
        <w:pStyle w:val="TextBody"/>
        <w:bidi w:val="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61"/>
        <w:gridCol w:w="90"/>
        <w:gridCol w:w="274"/>
        <w:gridCol w:w="1147"/>
        <w:gridCol w:w="201"/>
        <w:gridCol w:w="145"/>
        <w:gridCol w:w="274"/>
        <w:gridCol w:w="1147"/>
        <w:gridCol w:w="125"/>
        <w:gridCol w:w="90"/>
        <w:gridCol w:w="243"/>
        <w:gridCol w:w="1190"/>
        <w:gridCol w:w="179"/>
        <w:gridCol w:w="129"/>
        <w:gridCol w:w="243"/>
        <w:gridCol w:w="1190"/>
        <w:gridCol w:w="177"/>
      </w:tblGrid>
      <w:tr>
        <w:trPr/>
        <w:tc>
          <w:tcPr>
            <w:tcW w:w="33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7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77" w:type="dxa"/>
            <w:tcBorders/>
            <w:vAlign w:val="center"/>
          </w:tcPr>
          <w:p>
            <w:pPr>
              <w:pStyle w:val="TableContents"/>
              <w:bidi w:val="0"/>
              <w:spacing w:before="0" w:after="283"/>
              <w:jc w:val="left"/>
              <w:rPr/>
            </w:pPr>
            <w:r>
              <w:rPr/>
              <w:t> </w:t>
            </w:r>
          </w:p>
        </w:tc>
      </w:tr>
      <w:tr>
        <w:trPr/>
        <w:tc>
          <w:tcPr>
            <w:tcW w:w="33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01"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7" w:type="dxa"/>
            <w:tcBorders/>
            <w:vAlign w:val="center"/>
          </w:tcPr>
          <w:p>
            <w:pPr>
              <w:pStyle w:val="TableContents"/>
              <w:bidi w:val="0"/>
              <w:spacing w:before="0" w:after="283"/>
              <w:jc w:val="left"/>
              <w:rPr/>
            </w:pPr>
            <w:r>
              <w:rPr/>
              <w:t> </w:t>
            </w:r>
          </w:p>
        </w:tc>
      </w:tr>
      <w:tr>
        <w:trPr/>
        <w:tc>
          <w:tcPr>
            <w:tcW w:w="3361"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3361" w:type="dxa"/>
            <w:tcBorders/>
            <w:vAlign w:val="center"/>
          </w:tcPr>
          <w:p>
            <w:pPr>
              <w:pStyle w:val="TableContents"/>
              <w:bidi w:val="0"/>
              <w:spacing w:before="0" w:after="283"/>
              <w:jc w:val="left"/>
              <w:rPr/>
            </w:pPr>
            <w:r>
              <w:rPr/>
              <w:t>Direct losses and loss adjustment expenses</w:t>
            </w:r>
          </w:p>
        </w:tc>
        <w:tc>
          <w:tcPr>
            <w:tcW w:w="9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147" w:type="dxa"/>
            <w:tcBorders/>
            <w:vAlign w:val="center"/>
          </w:tcPr>
          <w:p>
            <w:pPr>
              <w:pStyle w:val="TableContents"/>
              <w:bidi w:val="0"/>
              <w:spacing w:before="0" w:after="283"/>
              <w:jc w:val="right"/>
              <w:rPr/>
            </w:pPr>
            <w:r>
              <w:rPr/>
              <w:t>57,828</w:t>
            </w:r>
          </w:p>
        </w:tc>
        <w:tc>
          <w:tcPr>
            <w:tcW w:w="201"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147" w:type="dxa"/>
            <w:tcBorders/>
            <w:vAlign w:val="center"/>
          </w:tcPr>
          <w:p>
            <w:pPr>
              <w:pStyle w:val="TableContents"/>
              <w:bidi w:val="0"/>
              <w:spacing w:before="0" w:after="283"/>
              <w:jc w:val="right"/>
              <w:rPr/>
            </w:pPr>
            <w:r>
              <w:rPr/>
              <w:t>69,692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right"/>
              <w:rPr/>
            </w:pPr>
            <w:r>
              <w:rPr/>
              <w:t>207,589</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right"/>
              <w:rPr/>
            </w:pPr>
            <w:r>
              <w:rPr/>
              <w:t>184,561</w:t>
            </w:r>
          </w:p>
        </w:tc>
        <w:tc>
          <w:tcPr>
            <w:tcW w:w="177" w:type="dxa"/>
            <w:tcBorders/>
            <w:vAlign w:val="center"/>
          </w:tcPr>
          <w:p>
            <w:pPr>
              <w:pStyle w:val="TableContents"/>
              <w:bidi w:val="0"/>
              <w:spacing w:before="0" w:after="283"/>
              <w:jc w:val="left"/>
              <w:rPr/>
            </w:pPr>
            <w:r>
              <w:rPr/>
              <w:t> </w:t>
            </w:r>
          </w:p>
        </w:tc>
      </w:tr>
      <w:tr>
        <w:trPr/>
        <w:tc>
          <w:tcPr>
            <w:tcW w:w="3361" w:type="dxa"/>
            <w:tcBorders/>
            <w:shd w:fill="CCEEFF" w:val="clear"/>
            <w:vAlign w:val="center"/>
          </w:tcPr>
          <w:p>
            <w:pPr>
              <w:pStyle w:val="TableContents"/>
              <w:bidi w:val="0"/>
              <w:spacing w:before="0" w:after="283"/>
              <w:jc w:val="left"/>
              <w:rPr/>
            </w:pPr>
            <w:r>
              <w:rPr/>
              <w:t>Assumed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523</w:t>
            </w:r>
          </w:p>
        </w:tc>
        <w:tc>
          <w:tcPr>
            <w:tcW w:w="20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617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574</w:t>
            </w:r>
          </w:p>
        </w:tc>
        <w:tc>
          <w:tcPr>
            <w:tcW w:w="17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886</w:t>
            </w:r>
          </w:p>
        </w:tc>
        <w:tc>
          <w:tcPr>
            <w:tcW w:w="177" w:type="dxa"/>
            <w:tcBorders/>
            <w:shd w:fill="CCEEFF" w:val="clear"/>
            <w:vAlign w:val="center"/>
          </w:tcPr>
          <w:p>
            <w:pPr>
              <w:pStyle w:val="TableContents"/>
              <w:bidi w:val="0"/>
              <w:spacing w:before="0" w:after="283"/>
              <w:jc w:val="left"/>
              <w:rPr/>
            </w:pPr>
            <w:r>
              <w:rPr/>
              <w:t> </w:t>
            </w:r>
          </w:p>
        </w:tc>
      </w:tr>
      <w:tr>
        <w:trPr/>
        <w:tc>
          <w:tcPr>
            <w:tcW w:w="3361" w:type="dxa"/>
            <w:tcBorders/>
            <w:vAlign w:val="center"/>
          </w:tcPr>
          <w:p>
            <w:pPr>
              <w:pStyle w:val="TableContents"/>
              <w:bidi w:val="0"/>
              <w:spacing w:before="0" w:after="283"/>
              <w:jc w:val="left"/>
              <w:rPr/>
            </w:pPr>
            <w:r>
              <w:rPr/>
              <w:t>Ceded losses and loss adjustment expenses</w:t>
            </w:r>
          </w:p>
        </w:tc>
        <w:tc>
          <w:tcPr>
            <w:tcW w:w="90" w:type="dxa"/>
            <w:tcBorders/>
            <w:vAlign w:val="center"/>
          </w:tcPr>
          <w:p>
            <w:pPr>
              <w:pStyle w:val="TableContents"/>
              <w:bidi w:val="0"/>
              <w:spacing w:before="0" w:after="283"/>
              <w:jc w:val="left"/>
              <w:rPr/>
            </w:pPr>
            <w:r>
              <w:rPr/>
              <w:t> </w:t>
            </w:r>
          </w:p>
        </w:tc>
        <w:tc>
          <w:tcPr>
            <w:tcW w:w="274" w:type="dxa"/>
            <w:tcBorders>
              <w:bottom w:val="single" w:sz="8" w:space="0" w:color="000000"/>
            </w:tcBorders>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tcMar>
              <w:bottom w:w="28" w:type="dxa"/>
            </w:tcMar>
            <w:vAlign w:val="center"/>
          </w:tcPr>
          <w:p>
            <w:pPr>
              <w:pStyle w:val="TableContents"/>
              <w:bidi w:val="0"/>
              <w:spacing w:before="0" w:after="283"/>
              <w:jc w:val="right"/>
              <w:rPr/>
            </w:pPr>
            <w:r>
              <w:rPr/>
              <w:t>(2,154</w:t>
            </w:r>
          </w:p>
        </w:tc>
        <w:tc>
          <w:tcPr>
            <w:tcW w:w="201"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 </w:t>
            </w:r>
          </w:p>
        </w:tc>
        <w:tc>
          <w:tcPr>
            <w:tcW w:w="274" w:type="dxa"/>
            <w:tcBorders>
              <w:bottom w:val="single" w:sz="8" w:space="0" w:color="000000"/>
            </w:tcBorders>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tcMar>
              <w:bottom w:w="28" w:type="dxa"/>
            </w:tcMar>
            <w:vAlign w:val="center"/>
          </w:tcPr>
          <w:p>
            <w:pPr>
              <w:pStyle w:val="TableContents"/>
              <w:bidi w:val="0"/>
              <w:spacing w:before="0" w:after="283"/>
              <w:jc w:val="right"/>
              <w:rPr/>
            </w:pPr>
            <w:r>
              <w:rPr/>
              <w:t>(5,209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3" w:type="dxa"/>
            <w:tcBorders>
              <w:bottom w:val="single" w:sz="8" w:space="0" w:color="000000"/>
            </w:tcBorders>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right"/>
              <w:rPr/>
            </w:pPr>
            <w:r>
              <w:rPr/>
              <w:t>(46,834</w:t>
            </w:r>
          </w:p>
        </w:tc>
        <w:tc>
          <w:tcPr>
            <w:tcW w:w="17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 </w:t>
            </w:r>
          </w:p>
        </w:tc>
        <w:tc>
          <w:tcPr>
            <w:tcW w:w="243" w:type="dxa"/>
            <w:tcBorders>
              <w:bottom w:val="single" w:sz="8" w:space="0" w:color="000000"/>
            </w:tcBorders>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right"/>
              <w:rPr/>
            </w:pPr>
            <w:r>
              <w:rPr/>
              <w:t>(10,845</w:t>
            </w:r>
          </w:p>
        </w:tc>
        <w:tc>
          <w:tcPr>
            <w:tcW w:w="177" w:type="dxa"/>
            <w:tcBorders/>
            <w:vAlign w:val="center"/>
          </w:tcPr>
          <w:p>
            <w:pPr>
              <w:pStyle w:val="TableContents"/>
              <w:bidi w:val="0"/>
              <w:spacing w:before="0" w:after="283"/>
              <w:jc w:val="left"/>
              <w:rPr/>
            </w:pPr>
            <w:r>
              <w:rPr/>
              <w:t>)</w:t>
            </w:r>
          </w:p>
        </w:tc>
      </w:tr>
      <w:tr>
        <w:trPr/>
        <w:tc>
          <w:tcPr>
            <w:tcW w:w="3361" w:type="dxa"/>
            <w:tcBorders/>
            <w:shd w:fill="CCEEFF" w:val="clear"/>
            <w:vAlign w:val="center"/>
          </w:tcPr>
          <w:p>
            <w:pPr>
              <w:pStyle w:val="TableContents"/>
              <w:bidi w:val="0"/>
              <w:spacing w:before="0" w:after="283"/>
              <w:jc w:val="left"/>
              <w:rPr/>
            </w:pPr>
            <w:r>
              <w:rPr/>
              <w:t>Net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7" w:type="dxa"/>
            <w:tcBorders>
              <w:bottom w:val="double" w:sz="6" w:space="0" w:color="000000"/>
            </w:tcBorders>
            <w:shd w:fill="CCEEFF" w:val="clear"/>
            <w:tcMar>
              <w:bottom w:w="28" w:type="dxa"/>
            </w:tcMar>
            <w:vAlign w:val="center"/>
          </w:tcPr>
          <w:p>
            <w:pPr>
              <w:pStyle w:val="TableContents"/>
              <w:bidi w:val="0"/>
              <w:spacing w:before="0" w:after="283"/>
              <w:jc w:val="right"/>
              <w:rPr/>
            </w:pPr>
            <w:r>
              <w:rPr/>
              <w:t>56,197</w:t>
            </w:r>
          </w:p>
        </w:tc>
        <w:tc>
          <w:tcPr>
            <w:tcW w:w="20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7" w:type="dxa"/>
            <w:tcBorders>
              <w:bottom w:val="double" w:sz="6" w:space="0" w:color="000000"/>
            </w:tcBorders>
            <w:shd w:fill="CCEEFF" w:val="clear"/>
            <w:tcMar>
              <w:bottom w:w="28" w:type="dxa"/>
            </w:tcMar>
            <w:vAlign w:val="center"/>
          </w:tcPr>
          <w:p>
            <w:pPr>
              <w:pStyle w:val="TableContents"/>
              <w:bidi w:val="0"/>
              <w:spacing w:before="0" w:after="283"/>
              <w:jc w:val="right"/>
              <w:rPr/>
            </w:pPr>
            <w:r>
              <w:rPr/>
              <w:t>65,100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0" w:type="dxa"/>
            <w:tcBorders>
              <w:bottom w:val="double" w:sz="6" w:space="0" w:color="000000"/>
            </w:tcBorders>
            <w:shd w:fill="CCEEFF" w:val="clear"/>
            <w:tcMar>
              <w:bottom w:w="28" w:type="dxa"/>
            </w:tcMar>
            <w:vAlign w:val="center"/>
          </w:tcPr>
          <w:p>
            <w:pPr>
              <w:pStyle w:val="TableContents"/>
              <w:bidi w:val="0"/>
              <w:spacing w:before="0" w:after="283"/>
              <w:jc w:val="right"/>
              <w:rPr/>
            </w:pPr>
            <w:r>
              <w:rPr/>
              <w:t>161,329</w:t>
            </w:r>
          </w:p>
        </w:tc>
        <w:tc>
          <w:tcPr>
            <w:tcW w:w="17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0" w:type="dxa"/>
            <w:tcBorders>
              <w:bottom w:val="double" w:sz="6" w:space="0" w:color="000000"/>
            </w:tcBorders>
            <w:shd w:fill="CCEEFF" w:val="clear"/>
            <w:tcMar>
              <w:bottom w:w="28" w:type="dxa"/>
            </w:tcMar>
            <w:vAlign w:val="center"/>
          </w:tcPr>
          <w:p>
            <w:pPr>
              <w:pStyle w:val="TableContents"/>
              <w:bidi w:val="0"/>
              <w:spacing w:before="0" w:after="283"/>
              <w:jc w:val="right"/>
              <w:rPr/>
            </w:pPr>
            <w:r>
              <w:rPr/>
              <w:t>174,602</w:t>
            </w:r>
          </w:p>
        </w:tc>
        <w:tc>
          <w:tcPr>
            <w:tcW w:w="177" w:type="dxa"/>
            <w:tcBorders/>
            <w:shd w:fill="CCEEFF" w:val="clear"/>
            <w:vAlign w:val="center"/>
          </w:tcPr>
          <w:p>
            <w:pPr>
              <w:pStyle w:val="TableContents"/>
              <w:bidi w:val="0"/>
              <w:spacing w:before="0" w:after="283"/>
              <w:jc w:val="left"/>
              <w:rPr/>
            </w:pPr>
            <w:r>
              <w:rPr/>
              <w:t> </w:t>
            </w:r>
          </w:p>
        </w:tc>
      </w:tr>
    </w:tbl>
    <w:p>
      <w:pPr>
        <w:pStyle w:val="TextBody"/>
        <w:bidi w:val="0"/>
        <w:ind w:left="15" w:right="15" w:hanging="0"/>
        <w:jc w:val="left"/>
        <w:rPr>
          <w:caps w:val="false"/>
          <w:smallCaps w:val="false"/>
        </w:rPr>
      </w:pPr>
      <w:r>
        <w:rPr>
          <w:caps w:val="false"/>
          <w:smallCaps w:val="false"/>
        </w:rPr>
        <w:t> </w:t>
      </w:r>
    </w:p>
    <w:p>
      <w:pPr>
        <w:pStyle w:val="TextBody"/>
        <w:bidi w:val="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83"/>
        <w:gridCol w:w="90"/>
        <w:gridCol w:w="485"/>
        <w:gridCol w:w="807"/>
        <w:gridCol w:w="248"/>
        <w:gridCol w:w="248"/>
        <w:gridCol w:w="484"/>
        <w:gridCol w:w="820"/>
        <w:gridCol w:w="90"/>
        <w:gridCol w:w="90"/>
        <w:gridCol w:w="361"/>
        <w:gridCol w:w="585"/>
        <w:gridCol w:w="181"/>
        <w:gridCol w:w="181"/>
        <w:gridCol w:w="342"/>
        <w:gridCol w:w="1433"/>
        <w:gridCol w:w="177"/>
      </w:tblGrid>
      <w:tr>
        <w:trPr/>
        <w:tc>
          <w:tcPr>
            <w:tcW w:w="358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9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77" w:type="dxa"/>
            <w:tcBorders/>
            <w:vAlign w:val="center"/>
          </w:tcPr>
          <w:p>
            <w:pPr>
              <w:pStyle w:val="TableContents"/>
              <w:bidi w:val="0"/>
              <w:spacing w:before="0" w:after="283"/>
              <w:jc w:val="left"/>
              <w:rPr/>
            </w:pPr>
            <w:r>
              <w:rPr/>
              <w:t> </w:t>
            </w:r>
          </w:p>
        </w:tc>
      </w:tr>
      <w:tr>
        <w:trPr/>
        <w:tc>
          <w:tcPr>
            <w:tcW w:w="358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48"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81"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7" w:type="dxa"/>
            <w:tcBorders/>
            <w:vAlign w:val="center"/>
          </w:tcPr>
          <w:p>
            <w:pPr>
              <w:pStyle w:val="TableContents"/>
              <w:bidi w:val="0"/>
              <w:spacing w:before="0" w:after="283"/>
              <w:jc w:val="left"/>
              <w:rPr/>
            </w:pPr>
            <w:r>
              <w:rPr/>
              <w:t> </w:t>
            </w:r>
          </w:p>
        </w:tc>
      </w:tr>
      <w:tr>
        <w:trPr/>
        <w:tc>
          <w:tcPr>
            <w:tcW w:w="3583" w:type="dxa"/>
            <w:tcBorders/>
            <w:shd w:fill="CCEEFF" w:val="clear"/>
            <w:vAlign w:val="center"/>
          </w:tcPr>
          <w:p>
            <w:pPr>
              <w:pStyle w:val="TableContents"/>
              <w:bidi w:val="0"/>
              <w:spacing w:before="0" w:after="283"/>
              <w:jc w:val="left"/>
              <w:rPr/>
            </w:pPr>
            <w:r>
              <w:rPr/>
              <w:t>Discontinued operations:</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248"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3583" w:type="dxa"/>
            <w:tcBorders/>
            <w:vAlign w:val="center"/>
          </w:tcPr>
          <w:p>
            <w:pPr>
              <w:pStyle w:val="TableContents"/>
              <w:bidi w:val="0"/>
              <w:spacing w:before="0" w:after="283"/>
              <w:jc w:val="left"/>
              <w:rPr/>
            </w:pPr>
            <w:r>
              <w:rPr/>
              <w:t>Direct losses and loss adjustment expenses</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w:t>
            </w:r>
          </w:p>
        </w:tc>
        <w:tc>
          <w:tcPr>
            <w:tcW w:w="807" w:type="dxa"/>
            <w:tcBorders/>
            <w:vAlign w:val="center"/>
          </w:tcPr>
          <w:p>
            <w:pPr>
              <w:pStyle w:val="TableContents"/>
              <w:bidi w:val="0"/>
              <w:spacing w:before="0" w:after="0"/>
              <w:jc w:val="right"/>
              <w:rPr/>
            </w:pPr>
            <w:r>
              <w:rPr/>
              <w:t>—</w:t>
            </w:r>
          </w:p>
        </w:tc>
        <w:tc>
          <w:tcPr>
            <w:tcW w:w="248"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pPr>
            <w:r>
              <w:rPr/>
              <w:t>$</w:t>
            </w:r>
          </w:p>
        </w:tc>
        <w:tc>
          <w:tcPr>
            <w:tcW w:w="82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w:t>
            </w:r>
          </w:p>
        </w:tc>
        <w:tc>
          <w:tcPr>
            <w:tcW w:w="585" w:type="dxa"/>
            <w:tcBorders/>
            <w:vAlign w:val="center"/>
          </w:tcPr>
          <w:p>
            <w:pPr>
              <w:pStyle w:val="TableContents"/>
              <w:bidi w:val="0"/>
              <w:spacing w:before="0" w:after="0"/>
              <w:jc w:val="right"/>
              <w:rPr/>
            </w:pPr>
            <w:r>
              <w:rPr/>
              <w:t>—</w:t>
            </w:r>
          </w:p>
        </w:tc>
        <w:tc>
          <w:tcPr>
            <w:tcW w:w="181"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w:t>
            </w:r>
          </w:p>
        </w:tc>
        <w:tc>
          <w:tcPr>
            <w:tcW w:w="1433" w:type="dxa"/>
            <w:tcBorders/>
            <w:vAlign w:val="center"/>
          </w:tcPr>
          <w:p>
            <w:pPr>
              <w:pStyle w:val="TableContents"/>
              <w:bidi w:val="0"/>
              <w:spacing w:before="0" w:after="283"/>
              <w:jc w:val="right"/>
              <w:rPr/>
            </w:pPr>
            <w:r>
              <w:rPr/>
              <w:t>28,353</w:t>
            </w:r>
          </w:p>
        </w:tc>
        <w:tc>
          <w:tcPr>
            <w:tcW w:w="177" w:type="dxa"/>
            <w:tcBorders/>
            <w:vAlign w:val="center"/>
          </w:tcPr>
          <w:p>
            <w:pPr>
              <w:pStyle w:val="TableContents"/>
              <w:bidi w:val="0"/>
              <w:spacing w:before="0" w:after="283"/>
              <w:jc w:val="left"/>
              <w:rPr/>
            </w:pPr>
            <w:r>
              <w:rPr/>
              <w:t> </w:t>
            </w:r>
          </w:p>
        </w:tc>
      </w:tr>
      <w:tr>
        <w:trPr/>
        <w:tc>
          <w:tcPr>
            <w:tcW w:w="3583" w:type="dxa"/>
            <w:tcBorders/>
            <w:shd w:fill="CCEEFF" w:val="clear"/>
            <w:vAlign w:val="center"/>
          </w:tcPr>
          <w:p>
            <w:pPr>
              <w:pStyle w:val="TableContents"/>
              <w:bidi w:val="0"/>
              <w:spacing w:before="0" w:after="283"/>
              <w:jc w:val="left"/>
              <w:rPr/>
            </w:pPr>
            <w:r>
              <w:rPr/>
              <w:t>Assumed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0"/>
              <w:jc w:val="right"/>
              <w:rPr/>
            </w:pPr>
            <w:r>
              <w:rPr/>
              <w:t>—</w:t>
            </w:r>
          </w:p>
        </w:tc>
        <w:tc>
          <w:tcPr>
            <w:tcW w:w="248"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0"/>
              <w:jc w:val="right"/>
              <w:rPr/>
            </w:pPr>
            <w:r>
              <w:rPr/>
              <w:t>—</w:t>
            </w:r>
          </w:p>
        </w:tc>
        <w:tc>
          <w:tcPr>
            <w:tcW w:w="181"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0"/>
              <w:jc w:val="right"/>
              <w:rPr/>
            </w:pPr>
            <w:r>
              <w:rPr/>
              <w:t>—</w:t>
            </w:r>
          </w:p>
        </w:tc>
        <w:tc>
          <w:tcPr>
            <w:tcW w:w="177" w:type="dxa"/>
            <w:tcBorders/>
            <w:shd w:fill="CCEEFF" w:val="clear"/>
            <w:vAlign w:val="center"/>
          </w:tcPr>
          <w:p>
            <w:pPr>
              <w:pStyle w:val="TableContents"/>
              <w:bidi w:val="0"/>
              <w:spacing w:before="0" w:after="283"/>
              <w:jc w:val="left"/>
              <w:rPr/>
            </w:pPr>
            <w:r>
              <w:rPr/>
              <w:t> </w:t>
            </w:r>
          </w:p>
        </w:tc>
      </w:tr>
      <w:tr>
        <w:trPr/>
        <w:tc>
          <w:tcPr>
            <w:tcW w:w="3583" w:type="dxa"/>
            <w:tcBorders/>
            <w:vAlign w:val="center"/>
          </w:tcPr>
          <w:p>
            <w:pPr>
              <w:pStyle w:val="TableContents"/>
              <w:bidi w:val="0"/>
              <w:spacing w:before="0" w:after="283"/>
              <w:jc w:val="left"/>
              <w:rPr/>
            </w:pPr>
            <w:r>
              <w:rPr/>
              <w:t>Ceded losses and loss adjustment expenses</w:t>
            </w:r>
          </w:p>
        </w:tc>
        <w:tc>
          <w:tcPr>
            <w:tcW w:w="9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left"/>
              <w:rPr/>
            </w:pPr>
            <w:r>
              <w:rPr/>
              <w:t> </w:t>
            </w:r>
          </w:p>
        </w:tc>
        <w:tc>
          <w:tcPr>
            <w:tcW w:w="807" w:type="dxa"/>
            <w:tcBorders>
              <w:bottom w:val="single" w:sz="8" w:space="0" w:color="000000"/>
            </w:tcBorders>
            <w:tcMar>
              <w:bottom w:w="28" w:type="dxa"/>
            </w:tcMar>
            <w:vAlign w:val="center"/>
          </w:tcPr>
          <w:p>
            <w:pPr>
              <w:pStyle w:val="TableContents"/>
              <w:bidi w:val="0"/>
              <w:spacing w:before="0" w:after="0"/>
              <w:jc w:val="right"/>
              <w:rPr/>
            </w:pPr>
            <w:r>
              <w:rPr/>
              <w:t>—</w:t>
            </w:r>
          </w:p>
        </w:tc>
        <w:tc>
          <w:tcPr>
            <w:tcW w:w="248"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484" w:type="dxa"/>
            <w:tcBorders>
              <w:bottom w:val="single" w:sz="8" w:space="0" w:color="000000"/>
            </w:tcBorders>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1" w:type="dxa"/>
            <w:tcBorders>
              <w:bottom w:val="single" w:sz="8" w:space="0" w:color="000000"/>
            </w:tcBorders>
            <w:tcMar>
              <w:bottom w:w="28" w:type="dxa"/>
            </w:tcMar>
            <w:vAlign w:val="center"/>
          </w:tcPr>
          <w:p>
            <w:pPr>
              <w:pStyle w:val="TableContents"/>
              <w:bidi w:val="0"/>
              <w:spacing w:before="0" w:after="283"/>
              <w:jc w:val="left"/>
              <w:rPr/>
            </w:pPr>
            <w:r>
              <w:rPr/>
              <w:t> </w:t>
            </w:r>
          </w:p>
        </w:tc>
        <w:tc>
          <w:tcPr>
            <w:tcW w:w="585" w:type="dxa"/>
            <w:tcBorders>
              <w:bottom w:val="single" w:sz="8" w:space="0" w:color="000000"/>
            </w:tcBorders>
            <w:tcMar>
              <w:bottom w:w="28" w:type="dxa"/>
            </w:tcMar>
            <w:vAlign w:val="center"/>
          </w:tcPr>
          <w:p>
            <w:pPr>
              <w:pStyle w:val="TableContents"/>
              <w:bidi w:val="0"/>
              <w:spacing w:before="0" w:after="0"/>
              <w:jc w:val="right"/>
              <w:rPr/>
            </w:pPr>
            <w:r>
              <w:rPr/>
              <w:t>—</w:t>
            </w:r>
          </w:p>
        </w:tc>
        <w:tc>
          <w:tcPr>
            <w:tcW w:w="181"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342" w:type="dxa"/>
            <w:tcBorders>
              <w:bottom w:val="single" w:sz="8" w:space="0" w:color="000000"/>
            </w:tcBorders>
            <w:tcMar>
              <w:bottom w:w="28" w:type="dxa"/>
            </w:tcMar>
            <w:vAlign w:val="center"/>
          </w:tcPr>
          <w:p>
            <w:pPr>
              <w:pStyle w:val="TableContents"/>
              <w:bidi w:val="0"/>
              <w:spacing w:before="0" w:after="283"/>
              <w:jc w:val="left"/>
              <w:rPr/>
            </w:pPr>
            <w:r>
              <w:rPr/>
              <w:t> </w:t>
            </w:r>
          </w:p>
        </w:tc>
        <w:tc>
          <w:tcPr>
            <w:tcW w:w="1433" w:type="dxa"/>
            <w:tcBorders>
              <w:bottom w:val="single" w:sz="8" w:space="0" w:color="000000"/>
            </w:tcBorders>
            <w:tcMar>
              <w:bottom w:w="28" w:type="dxa"/>
            </w:tcMar>
            <w:vAlign w:val="center"/>
          </w:tcPr>
          <w:p>
            <w:pPr>
              <w:pStyle w:val="TableContents"/>
              <w:bidi w:val="0"/>
              <w:spacing w:before="0" w:after="283"/>
              <w:jc w:val="right"/>
              <w:rPr/>
            </w:pPr>
            <w:r>
              <w:rPr/>
              <w:t>(4,847</w:t>
            </w:r>
          </w:p>
        </w:tc>
        <w:tc>
          <w:tcPr>
            <w:tcW w:w="177" w:type="dxa"/>
            <w:tcBorders/>
            <w:vAlign w:val="center"/>
          </w:tcPr>
          <w:p>
            <w:pPr>
              <w:pStyle w:val="TableContents"/>
              <w:bidi w:val="0"/>
              <w:spacing w:before="0" w:after="283"/>
              <w:jc w:val="left"/>
              <w:rPr/>
            </w:pPr>
            <w:r>
              <w:rPr/>
              <w:t>)</w:t>
            </w:r>
          </w:p>
        </w:tc>
      </w:tr>
      <w:tr>
        <w:trPr/>
        <w:tc>
          <w:tcPr>
            <w:tcW w:w="3583" w:type="dxa"/>
            <w:tcBorders/>
            <w:shd w:fill="CCEEFF" w:val="clear"/>
            <w:vAlign w:val="center"/>
          </w:tcPr>
          <w:p>
            <w:pPr>
              <w:pStyle w:val="TableContents"/>
              <w:bidi w:val="0"/>
              <w:spacing w:before="0" w:after="283"/>
              <w:jc w:val="left"/>
              <w:rPr/>
            </w:pPr>
            <w:r>
              <w:rPr/>
              <w:t>Net losses and loss adjustment expenses</w:t>
            </w:r>
          </w:p>
        </w:tc>
        <w:tc>
          <w:tcPr>
            <w:tcW w:w="90" w:type="dxa"/>
            <w:tcBorders/>
            <w:shd w:fill="CCEEFF" w:val="clear"/>
            <w:vAlign w:val="center"/>
          </w:tcPr>
          <w:p>
            <w:pPr>
              <w:pStyle w:val="TableContents"/>
              <w:bidi w:val="0"/>
              <w:spacing w:before="0" w:after="283"/>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7"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248"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4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85"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81"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3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33" w:type="dxa"/>
            <w:tcBorders>
              <w:bottom w:val="double" w:sz="6" w:space="0" w:color="000000"/>
            </w:tcBorders>
            <w:shd w:fill="CCEEFF" w:val="clear"/>
            <w:tcMar>
              <w:bottom w:w="28" w:type="dxa"/>
            </w:tcMar>
            <w:vAlign w:val="center"/>
          </w:tcPr>
          <w:p>
            <w:pPr>
              <w:pStyle w:val="TableContents"/>
              <w:bidi w:val="0"/>
              <w:spacing w:before="0" w:after="283"/>
              <w:jc w:val="right"/>
              <w:rPr/>
            </w:pPr>
            <w:r>
              <w:rPr/>
              <w:t>23,506</w:t>
            </w:r>
          </w:p>
        </w:tc>
        <w:tc>
          <w:tcPr>
            <w:tcW w:w="177" w:type="dxa"/>
            <w:tcBorders/>
            <w:shd w:fill="CCEEFF" w:val="clear"/>
            <w:vAlign w:val="center"/>
          </w:tcPr>
          <w:p>
            <w:pPr>
              <w:pStyle w:val="TableContents"/>
              <w:bidi w:val="0"/>
              <w:spacing w:before="0" w:after="283"/>
              <w:jc w:val="left"/>
              <w:rPr/>
            </w:pPr>
            <w:r>
              <w:rPr/>
              <w:t> </w:t>
            </w:r>
          </w:p>
        </w:tc>
      </w:tr>
    </w:tbl>
    <w:p>
      <w:pPr>
        <w:pStyle w:val="TextBody"/>
        <w:bidi w:val="0"/>
        <w:ind w:left="15" w:right="15" w:hanging="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Intercompany Reinsurance Pooling Arrangement</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2020, all of our insurance subsidiary and affiliate companies entered into an intercompany reinsurance pooling agreement.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 Subsequent to the June 30, 2024, date of sale, Westminster is no longer a member of the pool, and the pooling percentages for the remaining insurance subsidiaries were updated based on their respective surplus as a percentage of the pool as of December 31, 2023.</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3"/>
        <w:gridCol w:w="539"/>
        <w:gridCol w:w="9483"/>
      </w:tblGrid>
      <w:tr>
        <w:trPr/>
        <w:tc>
          <w:tcPr>
            <w:tcW w:w="18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b/>
                <w:sz w:val="20"/>
              </w:rPr>
            </w:pPr>
            <w:r>
              <w:rPr>
                <w:b/>
                <w:sz w:val="20"/>
              </w:rPr>
              <w:t>6.</w:t>
            </w:r>
          </w:p>
        </w:tc>
        <w:tc>
          <w:tcPr>
            <w:tcW w:w="9483" w:type="dxa"/>
            <w:tcBorders/>
            <w:vAlign w:val="center"/>
          </w:tcPr>
          <w:p>
            <w:pPr>
              <w:pStyle w:val="TableContents"/>
              <w:bidi w:val="0"/>
              <w:spacing w:before="0" w:after="283"/>
              <w:jc w:val="left"/>
              <w:rPr>
                <w:b/>
              </w:rPr>
            </w:pPr>
            <w:r>
              <w:rPr>
                <w:b/>
              </w:rPr>
              <w:t>Deferred Policy Acquisition Costs</w:t>
            </w:r>
          </w:p>
        </w:tc>
      </w:tr>
    </w:tbl>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directly related to successfully acquired insurance policies, primarily commissions, premium taxes and underwriting costs, are deferred and amortized over the terms of the policies. We update our acquisition cost assumptions periodically to reflect actual experience, and we evaluate the costs for recoverability. The table below, presented on a consolidated basis, including both continuing and discontinued operations, shows the deferred policy acquisition costs and asset reconciliation:</w:t>
      </w:r>
    </w:p>
    <w:tbl>
      <w:tblPr>
        <w:tblW w:w="10205" w:type="dxa"/>
        <w:jc w:val="left"/>
        <w:tblInd w:w="0" w:type="dxa"/>
        <w:tblLayout w:type="fixed"/>
        <w:tblCellMar>
          <w:top w:w="0" w:type="dxa"/>
          <w:left w:w="0" w:type="dxa"/>
          <w:bottom w:w="0" w:type="dxa"/>
          <w:right w:w="0" w:type="dxa"/>
        </w:tblCellMar>
      </w:tblPr>
      <w:tblGrid>
        <w:gridCol w:w="3467"/>
        <w:gridCol w:w="90"/>
        <w:gridCol w:w="253"/>
        <w:gridCol w:w="1173"/>
        <w:gridCol w:w="186"/>
        <w:gridCol w:w="134"/>
        <w:gridCol w:w="253"/>
        <w:gridCol w:w="1173"/>
        <w:gridCol w:w="125"/>
        <w:gridCol w:w="90"/>
        <w:gridCol w:w="246"/>
        <w:gridCol w:w="1141"/>
        <w:gridCol w:w="181"/>
        <w:gridCol w:w="130"/>
        <w:gridCol w:w="246"/>
        <w:gridCol w:w="1141"/>
        <w:gridCol w:w="176"/>
      </w:tblGrid>
      <w:tr>
        <w:trPr/>
        <w:tc>
          <w:tcPr>
            <w:tcW w:w="34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76" w:type="dxa"/>
            <w:tcBorders/>
            <w:vAlign w:val="center"/>
          </w:tcPr>
          <w:p>
            <w:pPr>
              <w:pStyle w:val="TableContents"/>
              <w:bidi w:val="0"/>
              <w:spacing w:before="0" w:after="283"/>
              <w:jc w:val="left"/>
              <w:rPr/>
            </w:pPr>
            <w:r>
              <w:rPr/>
              <w:t> </w:t>
            </w:r>
          </w:p>
        </w:tc>
      </w:tr>
      <w:tr>
        <w:trPr/>
        <w:tc>
          <w:tcPr>
            <w:tcW w:w="34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86"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4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81"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6" w:type="dxa"/>
            <w:tcBorders/>
            <w:vAlign w:val="center"/>
          </w:tcPr>
          <w:p>
            <w:pPr>
              <w:pStyle w:val="TableContents"/>
              <w:bidi w:val="0"/>
              <w:spacing w:before="0" w:after="283"/>
              <w:jc w:val="left"/>
              <w:rPr/>
            </w:pPr>
            <w:r>
              <w:rPr/>
              <w:t> </w:t>
            </w:r>
          </w:p>
        </w:tc>
      </w:tr>
      <w:tr>
        <w:trPr/>
        <w:tc>
          <w:tcPr>
            <w:tcW w:w="3467" w:type="dxa"/>
            <w:tcBorders/>
            <w:shd w:fill="CCEEFF" w:val="clear"/>
            <w:vAlign w:val="center"/>
          </w:tcPr>
          <w:p>
            <w:pPr>
              <w:pStyle w:val="TableContents"/>
              <w:bidi w:val="0"/>
              <w:spacing w:before="0" w:after="283"/>
              <w:jc w:val="left"/>
              <w:rPr/>
            </w:pPr>
            <w:r>
              <w:rPr/>
              <w:t>Balance, beginning of period</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26,320</w:t>
            </w:r>
          </w:p>
        </w:tc>
        <w:tc>
          <w:tcPr>
            <w:tcW w:w="186"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31,157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26,300</w:t>
            </w:r>
          </w:p>
        </w:tc>
        <w:tc>
          <w:tcPr>
            <w:tcW w:w="181"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34,120</w:t>
            </w:r>
          </w:p>
        </w:tc>
        <w:tc>
          <w:tcPr>
            <w:tcW w:w="176" w:type="dxa"/>
            <w:tcBorders/>
            <w:shd w:fill="CCEEFF" w:val="clear"/>
            <w:vAlign w:val="center"/>
          </w:tcPr>
          <w:p>
            <w:pPr>
              <w:pStyle w:val="TableContents"/>
              <w:bidi w:val="0"/>
              <w:spacing w:before="0" w:after="283"/>
              <w:jc w:val="left"/>
              <w:rPr/>
            </w:pPr>
            <w:r>
              <w:rPr/>
              <w:t> </w:t>
            </w:r>
          </w:p>
        </w:tc>
      </w:tr>
      <w:tr>
        <w:trPr/>
        <w:tc>
          <w:tcPr>
            <w:tcW w:w="3467" w:type="dxa"/>
            <w:tcBorders/>
            <w:vAlign w:val="center"/>
          </w:tcPr>
          <w:p>
            <w:pPr>
              <w:pStyle w:val="TableContents"/>
              <w:bidi w:val="0"/>
              <w:spacing w:before="0" w:after="283"/>
              <w:jc w:val="left"/>
              <w:rPr/>
            </w:pPr>
            <w:r>
              <w:rPr/>
              <w:t>Deferral of policy acquisition costs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right"/>
              <w:rPr/>
            </w:pPr>
            <w:r>
              <w:rPr/>
              <w:t>9,635</w:t>
            </w:r>
          </w:p>
        </w:tc>
        <w:tc>
          <w:tcPr>
            <w:tcW w:w="186"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right"/>
              <w:rPr/>
            </w:pPr>
            <w:r>
              <w:rPr/>
              <w:t>13,930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42,557</w:t>
            </w:r>
          </w:p>
        </w:tc>
        <w:tc>
          <w:tcPr>
            <w:tcW w:w="181"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63,000</w:t>
            </w:r>
          </w:p>
        </w:tc>
        <w:tc>
          <w:tcPr>
            <w:tcW w:w="176" w:type="dxa"/>
            <w:tcBorders/>
            <w:vAlign w:val="center"/>
          </w:tcPr>
          <w:p>
            <w:pPr>
              <w:pStyle w:val="TableContents"/>
              <w:bidi w:val="0"/>
              <w:spacing w:before="0" w:after="283"/>
              <w:jc w:val="left"/>
              <w:rPr/>
            </w:pPr>
            <w:r>
              <w:rPr/>
              <w:t> </w:t>
            </w:r>
          </w:p>
        </w:tc>
      </w:tr>
      <w:tr>
        <w:trPr/>
        <w:tc>
          <w:tcPr>
            <w:tcW w:w="3467" w:type="dxa"/>
            <w:tcBorders/>
            <w:shd w:fill="CCEEFF" w:val="clear"/>
            <w:vAlign w:val="center"/>
          </w:tcPr>
          <w:p>
            <w:pPr>
              <w:pStyle w:val="TableContents"/>
              <w:bidi w:val="0"/>
              <w:spacing w:before="0" w:after="283"/>
              <w:jc w:val="left"/>
              <w:rPr/>
            </w:pPr>
            <w:r>
              <w:rPr/>
              <w:t>Amortization of deferred policy acquisition costs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(13,725</w:t>
            </w:r>
          </w:p>
        </w:tc>
        <w:tc>
          <w:tcPr>
            <w:tcW w:w="186" w:type="dxa"/>
            <w:tcBorders/>
            <w:shd w:fill="CCEEFF" w:val="clear"/>
            <w:vAlign w:val="center"/>
          </w:tcPr>
          <w:p>
            <w:pPr>
              <w:pStyle w:val="TableContents"/>
              <w:bidi w:val="0"/>
              <w:spacing w:before="0" w:after="283"/>
              <w:jc w:val="left"/>
              <w:rPr/>
            </w:pPr>
            <w:r>
              <w:rPr/>
              <w:t>)</w:t>
            </w:r>
          </w:p>
        </w:tc>
        <w:tc>
          <w:tcPr>
            <w:tcW w:w="134"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(17,616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(46,627</w:t>
            </w:r>
          </w:p>
        </w:tc>
        <w:tc>
          <w:tcPr>
            <w:tcW w:w="181" w:type="dxa"/>
            <w:tcBorders/>
            <w:shd w:fill="CCEEFF" w:val="clear"/>
            <w:vAlign w:val="center"/>
          </w:tcPr>
          <w:p>
            <w:pPr>
              <w:pStyle w:val="TableContents"/>
              <w:bidi w:val="0"/>
              <w:spacing w:before="0" w:after="283"/>
              <w:jc w:val="left"/>
              <w:rPr/>
            </w:pPr>
            <w:r>
              <w:rPr/>
              <w:t>)</w:t>
            </w:r>
          </w:p>
        </w:tc>
        <w:tc>
          <w:tcPr>
            <w:tcW w:w="13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(61,651</w:t>
            </w:r>
          </w:p>
        </w:tc>
        <w:tc>
          <w:tcPr>
            <w:tcW w:w="176" w:type="dxa"/>
            <w:tcBorders/>
            <w:shd w:fill="CCEEFF" w:val="clear"/>
            <w:vAlign w:val="center"/>
          </w:tcPr>
          <w:p>
            <w:pPr>
              <w:pStyle w:val="TableContents"/>
              <w:bidi w:val="0"/>
              <w:spacing w:before="0" w:after="283"/>
              <w:jc w:val="left"/>
              <w:rPr/>
            </w:pPr>
            <w:r>
              <w:rPr/>
              <w:t>)</w:t>
            </w:r>
          </w:p>
        </w:tc>
      </w:tr>
      <w:tr>
        <w:trPr/>
        <w:tc>
          <w:tcPr>
            <w:tcW w:w="3467" w:type="dxa"/>
            <w:tcBorders/>
            <w:vAlign w:val="center"/>
          </w:tcPr>
          <w:p>
            <w:pPr>
              <w:pStyle w:val="TableContents"/>
              <w:bidi w:val="0"/>
              <w:spacing w:before="0" w:after="283"/>
              <w:jc w:val="left"/>
              <w:rPr/>
            </w:pPr>
            <w:r>
              <w:rPr/>
              <w:t>Westminster balance disposed in sale</w:t>
            </w:r>
          </w:p>
        </w:tc>
        <w:tc>
          <w:tcPr>
            <w:tcW w:w="90" w:type="dxa"/>
            <w:tcBorders/>
            <w:vAlign w:val="center"/>
          </w:tcPr>
          <w:p>
            <w:pPr>
              <w:pStyle w:val="TableContents"/>
              <w:bidi w:val="0"/>
              <w:spacing w:before="0" w:after="283"/>
              <w:jc w:val="left"/>
              <w:rPr/>
            </w:pPr>
            <w:r>
              <w:rPr/>
              <w:t> </w:t>
            </w:r>
          </w:p>
        </w:tc>
        <w:tc>
          <w:tcPr>
            <w:tcW w:w="253" w:type="dxa"/>
            <w:tcBorders>
              <w:bottom w:val="single" w:sz="8" w:space="0" w:color="000000"/>
            </w:tcBorders>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tcMar>
              <w:bottom w:w="28" w:type="dxa"/>
            </w:tcMar>
            <w:vAlign w:val="center"/>
          </w:tcPr>
          <w:p>
            <w:pPr>
              <w:pStyle w:val="TableContents"/>
              <w:bidi w:val="0"/>
              <w:spacing w:before="0" w:after="0"/>
              <w:jc w:val="right"/>
              <w:rPr/>
            </w:pPr>
            <w:r>
              <w:rPr/>
              <w:t>—</w:t>
            </w:r>
          </w:p>
        </w:tc>
        <w:tc>
          <w:tcPr>
            <w:tcW w:w="186"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253" w:type="dxa"/>
            <w:tcBorders>
              <w:bottom w:val="single" w:sz="8" w:space="0" w:color="000000"/>
            </w:tcBorders>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single" w:sz="8" w:space="0" w:color="000000"/>
            </w:tcBorders>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tcMar>
              <w:bottom w:w="28" w:type="dxa"/>
            </w:tcMar>
            <w:vAlign w:val="center"/>
          </w:tcPr>
          <w:p>
            <w:pPr>
              <w:pStyle w:val="TableContents"/>
              <w:bidi w:val="0"/>
              <w:spacing w:before="0" w:after="0"/>
              <w:jc w:val="right"/>
              <w:rPr/>
            </w:pPr>
            <w:r>
              <w:rPr/>
              <w:t>—</w:t>
            </w:r>
          </w:p>
        </w:tc>
        <w:tc>
          <w:tcPr>
            <w:tcW w:w="181"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246" w:type="dxa"/>
            <w:tcBorders>
              <w:bottom w:val="single" w:sz="8" w:space="0" w:color="000000"/>
            </w:tcBorders>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tcMar>
              <w:bottom w:w="28" w:type="dxa"/>
            </w:tcMar>
            <w:vAlign w:val="center"/>
          </w:tcPr>
          <w:p>
            <w:pPr>
              <w:pStyle w:val="TableContents"/>
              <w:bidi w:val="0"/>
              <w:spacing w:before="0" w:after="283"/>
              <w:jc w:val="right"/>
              <w:rPr/>
            </w:pPr>
            <w:r>
              <w:rPr/>
              <w:t>(7,998</w:t>
            </w:r>
          </w:p>
        </w:tc>
        <w:tc>
          <w:tcPr>
            <w:tcW w:w="176" w:type="dxa"/>
            <w:tcBorders/>
            <w:vAlign w:val="center"/>
          </w:tcPr>
          <w:p>
            <w:pPr>
              <w:pStyle w:val="TableContents"/>
              <w:bidi w:val="0"/>
              <w:spacing w:before="0" w:after="283"/>
              <w:jc w:val="left"/>
              <w:rPr/>
            </w:pPr>
            <w:r>
              <w:rPr/>
              <w:t>)</w:t>
            </w:r>
          </w:p>
        </w:tc>
      </w:tr>
      <w:tr>
        <w:trPr/>
        <w:tc>
          <w:tcPr>
            <w:tcW w:w="3467" w:type="dxa"/>
            <w:tcBorders/>
            <w:shd w:fill="CCEEFF" w:val="clear"/>
            <w:vAlign w:val="center"/>
          </w:tcPr>
          <w:p>
            <w:pPr>
              <w:pStyle w:val="TableContents"/>
              <w:bidi w:val="0"/>
              <w:spacing w:before="0" w:after="283"/>
              <w:jc w:val="left"/>
              <w:rPr/>
            </w:pPr>
            <w:r>
              <w:rPr/>
              <w:t>Balance, end of period</w:t>
            </w:r>
          </w:p>
        </w:tc>
        <w:tc>
          <w:tcPr>
            <w:tcW w:w="90" w:type="dxa"/>
            <w:tcBorders/>
            <w:shd w:fill="CCEEFF" w:val="clear"/>
            <w:vAlign w:val="center"/>
          </w:tcPr>
          <w:p>
            <w:pPr>
              <w:pStyle w:val="TableContents"/>
              <w:bidi w:val="0"/>
              <w:spacing w:before="0" w:after="283"/>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22,230</w:t>
            </w:r>
          </w:p>
        </w:tc>
        <w:tc>
          <w:tcPr>
            <w:tcW w:w="186"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27,471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283"/>
              <w:jc w:val="right"/>
              <w:rPr/>
            </w:pPr>
            <w:r>
              <w:rPr/>
              <w:t>22,230</w:t>
            </w:r>
          </w:p>
        </w:tc>
        <w:tc>
          <w:tcPr>
            <w:tcW w:w="181"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283"/>
              <w:jc w:val="right"/>
              <w:rPr/>
            </w:pPr>
            <w:r>
              <w:rPr/>
              <w:t>27,471</w:t>
            </w:r>
          </w:p>
        </w:tc>
        <w:tc>
          <w:tcPr>
            <w:tcW w:w="1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for the current and comparable prior year quarter continuing and discontinued operations showing the deferred policy acquisition costs and assets reconciliation are shown below:</w:t>
      </w:r>
    </w:p>
    <w:tbl>
      <w:tblPr>
        <w:tblW w:w="10205" w:type="dxa"/>
        <w:jc w:val="left"/>
        <w:tblInd w:w="0" w:type="dxa"/>
        <w:tblLayout w:type="fixed"/>
        <w:tblCellMar>
          <w:top w:w="0" w:type="dxa"/>
          <w:left w:w="0" w:type="dxa"/>
          <w:bottom w:w="0" w:type="dxa"/>
          <w:right w:w="0" w:type="dxa"/>
        </w:tblCellMar>
      </w:tblPr>
      <w:tblGrid>
        <w:gridCol w:w="3467"/>
        <w:gridCol w:w="90"/>
        <w:gridCol w:w="253"/>
        <w:gridCol w:w="1173"/>
        <w:gridCol w:w="186"/>
        <w:gridCol w:w="134"/>
        <w:gridCol w:w="253"/>
        <w:gridCol w:w="1173"/>
        <w:gridCol w:w="125"/>
        <w:gridCol w:w="90"/>
        <w:gridCol w:w="246"/>
        <w:gridCol w:w="1141"/>
        <w:gridCol w:w="181"/>
        <w:gridCol w:w="130"/>
        <w:gridCol w:w="246"/>
        <w:gridCol w:w="1141"/>
        <w:gridCol w:w="176"/>
      </w:tblGrid>
      <w:tr>
        <w:trPr/>
        <w:tc>
          <w:tcPr>
            <w:tcW w:w="34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76" w:type="dxa"/>
            <w:tcBorders/>
            <w:vAlign w:val="center"/>
          </w:tcPr>
          <w:p>
            <w:pPr>
              <w:pStyle w:val="TableContents"/>
              <w:bidi w:val="0"/>
              <w:spacing w:before="0" w:after="283"/>
              <w:jc w:val="left"/>
              <w:rPr/>
            </w:pPr>
            <w:r>
              <w:rPr/>
              <w:t> </w:t>
            </w:r>
          </w:p>
        </w:tc>
      </w:tr>
      <w:tr>
        <w:trPr/>
        <w:tc>
          <w:tcPr>
            <w:tcW w:w="34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86"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4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81"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6" w:type="dxa"/>
            <w:tcBorders/>
            <w:vAlign w:val="center"/>
          </w:tcPr>
          <w:p>
            <w:pPr>
              <w:pStyle w:val="TableContents"/>
              <w:bidi w:val="0"/>
              <w:spacing w:before="0" w:after="283"/>
              <w:jc w:val="left"/>
              <w:rPr/>
            </w:pPr>
            <w:r>
              <w:rPr/>
              <w:t> </w:t>
            </w:r>
          </w:p>
        </w:tc>
      </w:tr>
      <w:tr>
        <w:trPr/>
        <w:tc>
          <w:tcPr>
            <w:tcW w:w="3467"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r>
      <w:tr>
        <w:trPr/>
        <w:tc>
          <w:tcPr>
            <w:tcW w:w="3467" w:type="dxa"/>
            <w:tcBorders/>
            <w:vAlign w:val="center"/>
          </w:tcPr>
          <w:p>
            <w:pPr>
              <w:pStyle w:val="TableContents"/>
              <w:bidi w:val="0"/>
              <w:spacing w:before="0" w:after="283"/>
              <w:jc w:val="left"/>
              <w:rPr/>
            </w:pPr>
            <w:r>
              <w:rPr/>
              <w:t>Balance, beginning of period</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173" w:type="dxa"/>
            <w:tcBorders/>
            <w:vAlign w:val="center"/>
          </w:tcPr>
          <w:p>
            <w:pPr>
              <w:pStyle w:val="TableContents"/>
              <w:bidi w:val="0"/>
              <w:spacing w:before="0" w:after="283"/>
              <w:jc w:val="right"/>
              <w:rPr/>
            </w:pPr>
            <w:r>
              <w:rPr/>
              <w:t>26,320</w:t>
            </w:r>
          </w:p>
        </w:tc>
        <w:tc>
          <w:tcPr>
            <w:tcW w:w="186"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173" w:type="dxa"/>
            <w:tcBorders/>
            <w:vAlign w:val="center"/>
          </w:tcPr>
          <w:p>
            <w:pPr>
              <w:pStyle w:val="TableContents"/>
              <w:bidi w:val="0"/>
              <w:spacing w:before="0" w:after="283"/>
              <w:jc w:val="right"/>
              <w:rPr/>
            </w:pPr>
            <w:r>
              <w:rPr/>
              <w:t>31,157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26,300</w:t>
            </w:r>
          </w:p>
        </w:tc>
        <w:tc>
          <w:tcPr>
            <w:tcW w:w="181"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26,790</w:t>
            </w:r>
          </w:p>
        </w:tc>
        <w:tc>
          <w:tcPr>
            <w:tcW w:w="176" w:type="dxa"/>
            <w:tcBorders/>
            <w:vAlign w:val="center"/>
          </w:tcPr>
          <w:p>
            <w:pPr>
              <w:pStyle w:val="TableContents"/>
              <w:bidi w:val="0"/>
              <w:spacing w:before="0" w:after="283"/>
              <w:jc w:val="left"/>
              <w:rPr/>
            </w:pPr>
            <w:r>
              <w:rPr/>
              <w:t> </w:t>
            </w:r>
          </w:p>
        </w:tc>
      </w:tr>
      <w:tr>
        <w:trPr/>
        <w:tc>
          <w:tcPr>
            <w:tcW w:w="3467" w:type="dxa"/>
            <w:tcBorders/>
            <w:shd w:fill="CCEEFF" w:val="clear"/>
            <w:vAlign w:val="center"/>
          </w:tcPr>
          <w:p>
            <w:pPr>
              <w:pStyle w:val="TableContents"/>
              <w:bidi w:val="0"/>
              <w:spacing w:before="0" w:after="283"/>
              <w:jc w:val="left"/>
              <w:rPr/>
            </w:pPr>
            <w:r>
              <w:rPr/>
              <w:t>Deferral of policy acquisition costs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9,635</w:t>
            </w:r>
          </w:p>
        </w:tc>
        <w:tc>
          <w:tcPr>
            <w:tcW w:w="186"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13,930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42,557</w:t>
            </w:r>
          </w:p>
        </w:tc>
        <w:tc>
          <w:tcPr>
            <w:tcW w:w="181"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54,404</w:t>
            </w:r>
          </w:p>
        </w:tc>
        <w:tc>
          <w:tcPr>
            <w:tcW w:w="176" w:type="dxa"/>
            <w:tcBorders/>
            <w:shd w:fill="CCEEFF" w:val="clear"/>
            <w:vAlign w:val="center"/>
          </w:tcPr>
          <w:p>
            <w:pPr>
              <w:pStyle w:val="TableContents"/>
              <w:bidi w:val="0"/>
              <w:spacing w:before="0" w:after="283"/>
              <w:jc w:val="left"/>
              <w:rPr/>
            </w:pPr>
            <w:r>
              <w:rPr/>
              <w:t> </w:t>
            </w:r>
          </w:p>
        </w:tc>
      </w:tr>
      <w:tr>
        <w:trPr/>
        <w:tc>
          <w:tcPr>
            <w:tcW w:w="3467" w:type="dxa"/>
            <w:tcBorders/>
            <w:vAlign w:val="center"/>
          </w:tcPr>
          <w:p>
            <w:pPr>
              <w:pStyle w:val="TableContents"/>
              <w:bidi w:val="0"/>
              <w:spacing w:before="0" w:after="283"/>
              <w:jc w:val="left"/>
              <w:rPr/>
            </w:pPr>
            <w:r>
              <w:rPr/>
              <w:t>Amortization of deferred policy acquisition costs</w:t>
            </w:r>
          </w:p>
        </w:tc>
        <w:tc>
          <w:tcPr>
            <w:tcW w:w="90" w:type="dxa"/>
            <w:tcBorders/>
            <w:vAlign w:val="center"/>
          </w:tcPr>
          <w:p>
            <w:pPr>
              <w:pStyle w:val="TableContents"/>
              <w:bidi w:val="0"/>
              <w:spacing w:before="0" w:after="283"/>
              <w:jc w:val="left"/>
              <w:rPr/>
            </w:pPr>
            <w:r>
              <w:rPr/>
              <w:t> </w:t>
            </w:r>
          </w:p>
        </w:tc>
        <w:tc>
          <w:tcPr>
            <w:tcW w:w="253" w:type="dxa"/>
            <w:tcBorders>
              <w:bottom w:val="single" w:sz="8" w:space="0" w:color="000000"/>
            </w:tcBorders>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tcMar>
              <w:bottom w:w="28" w:type="dxa"/>
            </w:tcMar>
            <w:vAlign w:val="center"/>
          </w:tcPr>
          <w:p>
            <w:pPr>
              <w:pStyle w:val="TableContents"/>
              <w:bidi w:val="0"/>
              <w:spacing w:before="0" w:after="283"/>
              <w:jc w:val="right"/>
              <w:rPr/>
            </w:pPr>
            <w:r>
              <w:rPr/>
              <w:t>(13,725</w:t>
            </w:r>
          </w:p>
        </w:tc>
        <w:tc>
          <w:tcPr>
            <w:tcW w:w="186" w:type="dxa"/>
            <w:tcBorders/>
            <w:vAlign w:val="center"/>
          </w:tcPr>
          <w:p>
            <w:pPr>
              <w:pStyle w:val="TableContents"/>
              <w:bidi w:val="0"/>
              <w:spacing w:before="0" w:after="283"/>
              <w:jc w:val="left"/>
              <w:rPr/>
            </w:pPr>
            <w:r>
              <w:rPr/>
              <w:t>)</w:t>
            </w:r>
          </w:p>
        </w:tc>
        <w:tc>
          <w:tcPr>
            <w:tcW w:w="134" w:type="dxa"/>
            <w:tcBorders/>
            <w:vAlign w:val="center"/>
          </w:tcPr>
          <w:p>
            <w:pPr>
              <w:pStyle w:val="TableContents"/>
              <w:bidi w:val="0"/>
              <w:spacing w:before="0" w:after="283"/>
              <w:jc w:val="left"/>
              <w:rPr/>
            </w:pPr>
            <w:r>
              <w:rPr/>
              <w:t> </w:t>
            </w:r>
          </w:p>
        </w:tc>
        <w:tc>
          <w:tcPr>
            <w:tcW w:w="253" w:type="dxa"/>
            <w:tcBorders>
              <w:bottom w:val="single" w:sz="8" w:space="0" w:color="000000"/>
            </w:tcBorders>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tcMar>
              <w:bottom w:w="28" w:type="dxa"/>
            </w:tcMar>
            <w:vAlign w:val="center"/>
          </w:tcPr>
          <w:p>
            <w:pPr>
              <w:pStyle w:val="TableContents"/>
              <w:bidi w:val="0"/>
              <w:spacing w:before="0" w:after="283"/>
              <w:jc w:val="right"/>
              <w:rPr/>
            </w:pPr>
            <w:r>
              <w:rPr/>
              <w:t>(17,616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6" w:type="dxa"/>
            <w:tcBorders>
              <w:bottom w:val="single" w:sz="8" w:space="0" w:color="000000"/>
            </w:tcBorders>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tcMar>
              <w:bottom w:w="28" w:type="dxa"/>
            </w:tcMar>
            <w:vAlign w:val="center"/>
          </w:tcPr>
          <w:p>
            <w:pPr>
              <w:pStyle w:val="TableContents"/>
              <w:bidi w:val="0"/>
              <w:spacing w:before="0" w:after="283"/>
              <w:jc w:val="right"/>
              <w:rPr/>
            </w:pPr>
            <w:r>
              <w:rPr/>
              <w:t>(46,627</w:t>
            </w:r>
          </w:p>
        </w:tc>
        <w:tc>
          <w:tcPr>
            <w:tcW w:w="181" w:type="dxa"/>
            <w:tcBorders/>
            <w:vAlign w:val="center"/>
          </w:tcPr>
          <w:p>
            <w:pPr>
              <w:pStyle w:val="TableContents"/>
              <w:bidi w:val="0"/>
              <w:spacing w:before="0" w:after="283"/>
              <w:jc w:val="left"/>
              <w:rPr/>
            </w:pPr>
            <w:r>
              <w:rPr/>
              <w:t>)</w:t>
            </w:r>
          </w:p>
        </w:tc>
        <w:tc>
          <w:tcPr>
            <w:tcW w:w="130" w:type="dxa"/>
            <w:tcBorders/>
            <w:vAlign w:val="center"/>
          </w:tcPr>
          <w:p>
            <w:pPr>
              <w:pStyle w:val="TableContents"/>
              <w:bidi w:val="0"/>
              <w:spacing w:before="0" w:after="283"/>
              <w:jc w:val="left"/>
              <w:rPr/>
            </w:pPr>
            <w:r>
              <w:rPr/>
              <w:t> </w:t>
            </w:r>
          </w:p>
        </w:tc>
        <w:tc>
          <w:tcPr>
            <w:tcW w:w="246" w:type="dxa"/>
            <w:tcBorders>
              <w:bottom w:val="single" w:sz="8" w:space="0" w:color="000000"/>
            </w:tcBorders>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tcMar>
              <w:bottom w:w="28" w:type="dxa"/>
            </w:tcMar>
            <w:vAlign w:val="center"/>
          </w:tcPr>
          <w:p>
            <w:pPr>
              <w:pStyle w:val="TableContents"/>
              <w:bidi w:val="0"/>
              <w:spacing w:before="0" w:after="283"/>
              <w:jc w:val="right"/>
              <w:rPr/>
            </w:pPr>
            <w:r>
              <w:rPr/>
              <w:t>(53,723</w:t>
            </w:r>
          </w:p>
        </w:tc>
        <w:tc>
          <w:tcPr>
            <w:tcW w:w="176" w:type="dxa"/>
            <w:tcBorders/>
            <w:vAlign w:val="center"/>
          </w:tcPr>
          <w:p>
            <w:pPr>
              <w:pStyle w:val="TableContents"/>
              <w:bidi w:val="0"/>
              <w:spacing w:before="0" w:after="283"/>
              <w:jc w:val="left"/>
              <w:rPr/>
            </w:pPr>
            <w:r>
              <w:rPr/>
              <w:t>)</w:t>
            </w:r>
          </w:p>
        </w:tc>
      </w:tr>
      <w:tr>
        <w:trPr/>
        <w:tc>
          <w:tcPr>
            <w:tcW w:w="3467" w:type="dxa"/>
            <w:tcBorders/>
            <w:shd w:fill="CCEEFF" w:val="clear"/>
            <w:vAlign w:val="center"/>
          </w:tcPr>
          <w:p>
            <w:pPr>
              <w:pStyle w:val="TableContents"/>
              <w:bidi w:val="0"/>
              <w:spacing w:before="0" w:after="283"/>
              <w:jc w:val="left"/>
              <w:rPr/>
            </w:pPr>
            <w:r>
              <w:rPr/>
              <w:t>Balance, end of period</w:t>
            </w:r>
          </w:p>
        </w:tc>
        <w:tc>
          <w:tcPr>
            <w:tcW w:w="90" w:type="dxa"/>
            <w:tcBorders/>
            <w:shd w:fill="CCEEFF" w:val="clear"/>
            <w:vAlign w:val="center"/>
          </w:tcPr>
          <w:p>
            <w:pPr>
              <w:pStyle w:val="TableContents"/>
              <w:bidi w:val="0"/>
              <w:spacing w:before="0" w:after="283"/>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22,230</w:t>
            </w:r>
          </w:p>
        </w:tc>
        <w:tc>
          <w:tcPr>
            <w:tcW w:w="186"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27,471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283"/>
              <w:jc w:val="right"/>
              <w:rPr/>
            </w:pPr>
            <w:r>
              <w:rPr/>
              <w:t>22,230</w:t>
            </w:r>
          </w:p>
        </w:tc>
        <w:tc>
          <w:tcPr>
            <w:tcW w:w="181"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283"/>
              <w:jc w:val="right"/>
              <w:rPr/>
            </w:pPr>
            <w:r>
              <w:rPr/>
              <w:t>27,471</w:t>
            </w:r>
          </w:p>
        </w:tc>
        <w:tc>
          <w:tcPr>
            <w:tcW w:w="1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1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03"/>
        <w:gridCol w:w="90"/>
        <w:gridCol w:w="477"/>
        <w:gridCol w:w="791"/>
        <w:gridCol w:w="243"/>
        <w:gridCol w:w="243"/>
        <w:gridCol w:w="476"/>
        <w:gridCol w:w="803"/>
        <w:gridCol w:w="90"/>
        <w:gridCol w:w="90"/>
        <w:gridCol w:w="366"/>
        <w:gridCol w:w="590"/>
        <w:gridCol w:w="182"/>
        <w:gridCol w:w="182"/>
        <w:gridCol w:w="346"/>
        <w:gridCol w:w="1355"/>
        <w:gridCol w:w="178"/>
      </w:tblGrid>
      <w:tr>
        <w:trPr/>
        <w:tc>
          <w:tcPr>
            <w:tcW w:w="37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3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78" w:type="dxa"/>
            <w:tcBorders/>
            <w:vAlign w:val="center"/>
          </w:tcPr>
          <w:p>
            <w:pPr>
              <w:pStyle w:val="TableContents"/>
              <w:bidi w:val="0"/>
              <w:spacing w:before="0" w:after="283"/>
              <w:jc w:val="left"/>
              <w:rPr/>
            </w:pPr>
            <w:r>
              <w:rPr/>
              <w:t> </w:t>
            </w:r>
          </w:p>
        </w:tc>
      </w:tr>
      <w:tr>
        <w:trPr/>
        <w:tc>
          <w:tcPr>
            <w:tcW w:w="37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43"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82"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7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8" w:type="dxa"/>
            <w:tcBorders/>
            <w:vAlign w:val="center"/>
          </w:tcPr>
          <w:p>
            <w:pPr>
              <w:pStyle w:val="TableContents"/>
              <w:bidi w:val="0"/>
              <w:spacing w:before="0" w:after="283"/>
              <w:jc w:val="left"/>
              <w:rPr/>
            </w:pPr>
            <w:r>
              <w:rPr/>
              <w:t> </w:t>
            </w:r>
          </w:p>
        </w:tc>
      </w:tr>
      <w:tr>
        <w:trPr/>
        <w:tc>
          <w:tcPr>
            <w:tcW w:w="3703" w:type="dxa"/>
            <w:tcBorders/>
            <w:shd w:fill="CCEEFF" w:val="clear"/>
            <w:vAlign w:val="center"/>
          </w:tcPr>
          <w:p>
            <w:pPr>
              <w:pStyle w:val="TableContents"/>
              <w:bidi w:val="0"/>
              <w:spacing w:before="0" w:after="283"/>
              <w:jc w:val="left"/>
              <w:rPr/>
            </w:pPr>
            <w:r>
              <w:rPr/>
              <w:t>Discontinued operations:</w:t>
            </w:r>
          </w:p>
        </w:tc>
        <w:tc>
          <w:tcPr>
            <w:tcW w:w="9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243"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178" w:type="dxa"/>
            <w:tcBorders/>
            <w:shd w:fill="CCEEFF" w:val="clear"/>
            <w:vAlign w:val="center"/>
          </w:tcPr>
          <w:p>
            <w:pPr>
              <w:pStyle w:val="TableContents"/>
              <w:bidi w:val="0"/>
              <w:spacing w:before="0" w:after="283"/>
              <w:jc w:val="left"/>
              <w:rPr/>
            </w:pPr>
            <w:r>
              <w:rPr/>
              <w:t> </w:t>
            </w:r>
          </w:p>
        </w:tc>
      </w:tr>
      <w:tr>
        <w:trPr/>
        <w:tc>
          <w:tcPr>
            <w:tcW w:w="3703" w:type="dxa"/>
            <w:tcBorders/>
            <w:vAlign w:val="center"/>
          </w:tcPr>
          <w:p>
            <w:pPr>
              <w:pStyle w:val="TableContents"/>
              <w:bidi w:val="0"/>
              <w:spacing w:before="0" w:after="283"/>
              <w:jc w:val="left"/>
              <w:rPr/>
            </w:pPr>
            <w:r>
              <w:rPr/>
              <w:t>Balance, beginning of period</w:t>
            </w:r>
          </w:p>
        </w:tc>
        <w:tc>
          <w:tcPr>
            <w:tcW w:w="90"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left"/>
              <w:rPr/>
            </w:pPr>
            <w:r>
              <w:rPr/>
              <w:t>$</w:t>
            </w:r>
          </w:p>
        </w:tc>
        <w:tc>
          <w:tcPr>
            <w:tcW w:w="791" w:type="dxa"/>
            <w:tcBorders/>
            <w:vAlign w:val="center"/>
          </w:tcPr>
          <w:p>
            <w:pPr>
              <w:pStyle w:val="TableContents"/>
              <w:bidi w:val="0"/>
              <w:spacing w:before="0" w:after="0"/>
              <w:jc w:val="right"/>
              <w:rPr/>
            </w:pPr>
            <w:r>
              <w:rPr/>
              <w:t>—</w:t>
            </w:r>
          </w:p>
        </w:tc>
        <w:tc>
          <w:tcPr>
            <w:tcW w:w="243"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0"/>
              <w:jc w:val="right"/>
              <w:rPr/>
            </w:pPr>
            <w:r>
              <w:rPr/>
              <w:t>—</w:t>
            </w:r>
          </w:p>
        </w:tc>
        <w:tc>
          <w:tcPr>
            <w:tcW w:w="182"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jc w:val="right"/>
              <w:rPr/>
            </w:pPr>
            <w:r>
              <w:rPr/>
              <w:t>7,330</w:t>
            </w:r>
          </w:p>
        </w:tc>
        <w:tc>
          <w:tcPr>
            <w:tcW w:w="178" w:type="dxa"/>
            <w:tcBorders/>
            <w:vAlign w:val="center"/>
          </w:tcPr>
          <w:p>
            <w:pPr>
              <w:pStyle w:val="TableContents"/>
              <w:bidi w:val="0"/>
              <w:spacing w:before="0" w:after="283"/>
              <w:jc w:val="left"/>
              <w:rPr/>
            </w:pPr>
            <w:r>
              <w:rPr/>
              <w:t> </w:t>
            </w:r>
          </w:p>
        </w:tc>
      </w:tr>
      <w:tr>
        <w:trPr/>
        <w:tc>
          <w:tcPr>
            <w:tcW w:w="3703" w:type="dxa"/>
            <w:tcBorders/>
            <w:shd w:fill="CCEEFF" w:val="clear"/>
            <w:vAlign w:val="center"/>
          </w:tcPr>
          <w:p>
            <w:pPr>
              <w:pStyle w:val="TableContents"/>
              <w:bidi w:val="0"/>
              <w:spacing w:before="0" w:after="283"/>
              <w:jc w:val="left"/>
              <w:rPr/>
            </w:pPr>
            <w:r>
              <w:rPr/>
              <w:t>Deferral of policy acquisition costs</w:t>
            </w:r>
          </w:p>
        </w:tc>
        <w:tc>
          <w:tcPr>
            <w:tcW w:w="9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0"/>
              <w:jc w:val="right"/>
              <w:rPr/>
            </w:pPr>
            <w:r>
              <w:rPr/>
              <w:t>—</w:t>
            </w:r>
          </w:p>
        </w:tc>
        <w:tc>
          <w:tcPr>
            <w:tcW w:w="243"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jc w:val="right"/>
              <w:rPr/>
            </w:pPr>
            <w:r>
              <w:rPr/>
              <w:t>—</w:t>
            </w:r>
          </w:p>
        </w:tc>
        <w:tc>
          <w:tcPr>
            <w:tcW w:w="182"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8,596</w:t>
            </w:r>
          </w:p>
        </w:tc>
        <w:tc>
          <w:tcPr>
            <w:tcW w:w="178" w:type="dxa"/>
            <w:tcBorders/>
            <w:shd w:fill="CCEEFF" w:val="clear"/>
            <w:vAlign w:val="center"/>
          </w:tcPr>
          <w:p>
            <w:pPr>
              <w:pStyle w:val="TableContents"/>
              <w:bidi w:val="0"/>
              <w:spacing w:before="0" w:after="283"/>
              <w:jc w:val="left"/>
              <w:rPr/>
            </w:pPr>
            <w:r>
              <w:rPr/>
              <w:t> </w:t>
            </w:r>
          </w:p>
        </w:tc>
      </w:tr>
      <w:tr>
        <w:trPr/>
        <w:tc>
          <w:tcPr>
            <w:tcW w:w="3703" w:type="dxa"/>
            <w:tcBorders/>
            <w:vAlign w:val="center"/>
          </w:tcPr>
          <w:p>
            <w:pPr>
              <w:pStyle w:val="TableContents"/>
              <w:bidi w:val="0"/>
              <w:spacing w:before="0" w:after="283"/>
              <w:jc w:val="left"/>
              <w:rPr/>
            </w:pPr>
            <w:r>
              <w:rPr/>
              <w:t>Amortization of deferred policy acquisition costs</w:t>
            </w:r>
          </w:p>
        </w:tc>
        <w:tc>
          <w:tcPr>
            <w:tcW w:w="90"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0"/>
              <w:jc w:val="right"/>
              <w:rPr/>
            </w:pPr>
            <w:r>
              <w:rPr/>
              <w:t>—</w:t>
            </w:r>
          </w:p>
        </w:tc>
        <w:tc>
          <w:tcPr>
            <w:tcW w:w="243"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right"/>
              <w:rPr/>
            </w:pPr>
            <w:r>
              <w:rPr/>
              <w:t>—</w:t>
            </w:r>
          </w:p>
        </w:tc>
        <w:tc>
          <w:tcPr>
            <w:tcW w:w="182"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(7,928</w:t>
            </w:r>
          </w:p>
        </w:tc>
        <w:tc>
          <w:tcPr>
            <w:tcW w:w="178" w:type="dxa"/>
            <w:tcBorders/>
            <w:vAlign w:val="center"/>
          </w:tcPr>
          <w:p>
            <w:pPr>
              <w:pStyle w:val="TableContents"/>
              <w:bidi w:val="0"/>
              <w:spacing w:before="0" w:after="283"/>
              <w:jc w:val="left"/>
              <w:rPr/>
            </w:pPr>
            <w:r>
              <w:rPr/>
              <w:t>)</w:t>
            </w:r>
          </w:p>
        </w:tc>
      </w:tr>
      <w:tr>
        <w:trPr/>
        <w:tc>
          <w:tcPr>
            <w:tcW w:w="3703" w:type="dxa"/>
            <w:tcBorders/>
            <w:shd w:fill="CCEEFF" w:val="clear"/>
            <w:vAlign w:val="center"/>
          </w:tcPr>
          <w:p>
            <w:pPr>
              <w:pStyle w:val="TableContents"/>
              <w:bidi w:val="0"/>
              <w:spacing w:before="0" w:after="283"/>
              <w:jc w:val="left"/>
              <w:rPr/>
            </w:pPr>
            <w:r>
              <w:rPr/>
              <w:t>Westminster balance disposed in sale</w:t>
            </w:r>
          </w:p>
        </w:tc>
        <w:tc>
          <w:tcPr>
            <w:tcW w:w="90" w:type="dxa"/>
            <w:tcBorders/>
            <w:shd w:fill="CCEEFF" w:val="clear"/>
            <w:vAlign w:val="center"/>
          </w:tcPr>
          <w:p>
            <w:pPr>
              <w:pStyle w:val="TableContents"/>
              <w:bidi w:val="0"/>
              <w:spacing w:before="0" w:after="283"/>
              <w:jc w:val="left"/>
              <w:rPr/>
            </w:pPr>
            <w:r>
              <w:rPr/>
              <w:t> </w:t>
            </w:r>
          </w:p>
        </w:tc>
        <w:tc>
          <w:tcPr>
            <w:tcW w:w="4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43"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3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pPr>
            <w:r>
              <w:rPr/>
              <w:t>(7,998</w:t>
            </w:r>
          </w:p>
        </w:tc>
        <w:tc>
          <w:tcPr>
            <w:tcW w:w="178" w:type="dxa"/>
            <w:tcBorders/>
            <w:shd w:fill="CCEEFF" w:val="clear"/>
            <w:vAlign w:val="center"/>
          </w:tcPr>
          <w:p>
            <w:pPr>
              <w:pStyle w:val="TableContents"/>
              <w:bidi w:val="0"/>
              <w:spacing w:before="0" w:after="283"/>
              <w:jc w:val="left"/>
              <w:rPr/>
            </w:pPr>
            <w:r>
              <w:rPr/>
              <w:t>)</w:t>
            </w:r>
          </w:p>
        </w:tc>
      </w:tr>
      <w:tr>
        <w:trPr/>
        <w:tc>
          <w:tcPr>
            <w:tcW w:w="3703" w:type="dxa"/>
            <w:tcBorders/>
            <w:vAlign w:val="center"/>
          </w:tcPr>
          <w:p>
            <w:pPr>
              <w:pStyle w:val="TableContents"/>
              <w:bidi w:val="0"/>
              <w:spacing w:before="0" w:after="283"/>
              <w:jc w:val="left"/>
              <w:rPr/>
            </w:pPr>
            <w:r>
              <w:rPr/>
              <w:t>Balance, end of period</w:t>
            </w:r>
          </w:p>
        </w:tc>
        <w:tc>
          <w:tcPr>
            <w:tcW w:w="90" w:type="dxa"/>
            <w:tcBorders/>
            <w:vAlign w:val="center"/>
          </w:tcPr>
          <w:p>
            <w:pPr>
              <w:pStyle w:val="TableContents"/>
              <w:bidi w:val="0"/>
              <w:spacing w:before="0" w:after="283"/>
              <w:jc w:val="left"/>
              <w:rPr/>
            </w:pPr>
            <w:r>
              <w:rPr/>
              <w:t> </w:t>
            </w:r>
          </w:p>
        </w:tc>
        <w:tc>
          <w:tcPr>
            <w:tcW w:w="477" w:type="dxa"/>
            <w:tcBorders>
              <w:bottom w:val="double" w:sz="6" w:space="0" w:color="000000"/>
            </w:tcBorders>
            <w:tcMar>
              <w:bottom w:w="28" w:type="dxa"/>
            </w:tcMar>
            <w:vAlign w:val="center"/>
          </w:tcPr>
          <w:p>
            <w:pPr>
              <w:pStyle w:val="TableContents"/>
              <w:bidi w:val="0"/>
              <w:spacing w:before="0" w:after="283"/>
              <w:jc w:val="left"/>
              <w:rPr/>
            </w:pPr>
            <w:r>
              <w:rPr/>
              <w:t>$</w:t>
            </w:r>
          </w:p>
        </w:tc>
        <w:tc>
          <w:tcPr>
            <w:tcW w:w="791" w:type="dxa"/>
            <w:tcBorders>
              <w:bottom w:val="double" w:sz="6" w:space="0" w:color="000000"/>
            </w:tcBorders>
            <w:tcMar>
              <w:bottom w:w="28" w:type="dxa"/>
            </w:tcMar>
            <w:vAlign w:val="center"/>
          </w:tcPr>
          <w:p>
            <w:pPr>
              <w:pStyle w:val="TableContents"/>
              <w:bidi w:val="0"/>
              <w:spacing w:before="0" w:after="0"/>
              <w:jc w:val="right"/>
              <w:rPr/>
            </w:pPr>
            <w:r>
              <w:rPr/>
              <w:t>—</w:t>
            </w:r>
          </w:p>
        </w:tc>
        <w:tc>
          <w:tcPr>
            <w:tcW w:w="243"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476" w:type="dxa"/>
            <w:tcBorders>
              <w:bottom w:val="double" w:sz="6" w:space="0" w:color="000000"/>
            </w:tcBorders>
            <w:tcMar>
              <w:bottom w:w="28" w:type="dxa"/>
            </w:tcMar>
            <w:vAlign w:val="center"/>
          </w:tcPr>
          <w:p>
            <w:pPr>
              <w:pStyle w:val="TableContents"/>
              <w:bidi w:val="0"/>
              <w:spacing w:before="0" w:after="283"/>
              <w:jc w:val="left"/>
              <w:rPr/>
            </w:pPr>
            <w:r>
              <w:rPr/>
              <w:t>$</w:t>
            </w:r>
          </w:p>
        </w:tc>
        <w:tc>
          <w:tcPr>
            <w:tcW w:w="803" w:type="dxa"/>
            <w:tcBorders>
              <w:bottom w:val="double" w:sz="6"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6"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0"/>
              <w:jc w:val="right"/>
              <w:rPr/>
            </w:pPr>
            <w:r>
              <w:rPr/>
              <w:t>—</w:t>
            </w:r>
          </w:p>
        </w:tc>
        <w:tc>
          <w:tcPr>
            <w:tcW w:w="182"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346" w:type="dxa"/>
            <w:tcBorders>
              <w:bottom w:val="double" w:sz="6" w:space="0" w:color="000000"/>
            </w:tcBorders>
            <w:tcMar>
              <w:bottom w:w="28" w:type="dxa"/>
            </w:tcMar>
            <w:vAlign w:val="center"/>
          </w:tcPr>
          <w:p>
            <w:pPr>
              <w:pStyle w:val="TableContents"/>
              <w:bidi w:val="0"/>
              <w:spacing w:before="0" w:after="283"/>
              <w:jc w:val="left"/>
              <w:rPr/>
            </w:pPr>
            <w:r>
              <w:rPr/>
              <w:t>$</w:t>
            </w:r>
          </w:p>
        </w:tc>
        <w:tc>
          <w:tcPr>
            <w:tcW w:w="1355" w:type="dxa"/>
            <w:tcBorders>
              <w:bottom w:val="double" w:sz="6" w:space="0" w:color="000000"/>
            </w:tcBorders>
            <w:tcMar>
              <w:bottom w:w="28" w:type="dxa"/>
            </w:tcMar>
            <w:vAlign w:val="center"/>
          </w:tcPr>
          <w:p>
            <w:pPr>
              <w:pStyle w:val="TableContents"/>
              <w:bidi w:val="0"/>
              <w:spacing w:before="0" w:after="0"/>
              <w:jc w:val="right"/>
              <w:rPr/>
            </w:pPr>
            <w:r>
              <w:rPr/>
              <w:t>—</w:t>
            </w:r>
          </w:p>
        </w:tc>
        <w:tc>
          <w:tcPr>
            <w:tcW w:w="17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Unpaid Losses and Loss Adjustment Expenses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in the liability for unpaid losses and loss adjustment expenses is summarized as follows for both continuing and discontinued operations:</w:t>
      </w:r>
    </w:p>
    <w:tbl>
      <w:tblPr>
        <w:tblW w:w="9173" w:type="dxa"/>
        <w:jc w:val="left"/>
        <w:tblInd w:w="0" w:type="dxa"/>
        <w:tblLayout w:type="fixed"/>
        <w:tblCellMar>
          <w:top w:w="0" w:type="dxa"/>
          <w:left w:w="0" w:type="dxa"/>
          <w:bottom w:w="0" w:type="dxa"/>
          <w:right w:w="0" w:type="dxa"/>
        </w:tblCellMar>
      </w:tblPr>
      <w:tblGrid>
        <w:gridCol w:w="5330"/>
        <w:gridCol w:w="90"/>
        <w:gridCol w:w="282"/>
        <w:gridCol w:w="1378"/>
        <w:gridCol w:w="149"/>
        <w:gridCol w:w="149"/>
        <w:gridCol w:w="282"/>
        <w:gridCol w:w="1378"/>
        <w:gridCol w:w="135"/>
      </w:tblGrid>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3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Balance, beginning of period:</w:t>
            </w:r>
          </w:p>
        </w:tc>
        <w:tc>
          <w:tcPr>
            <w:tcW w:w="90" w:type="dxa"/>
            <w:tcBorders/>
            <w:vAlign w:val="center"/>
          </w:tcPr>
          <w:p>
            <w:pPr>
              <w:pStyle w:val="TableContents"/>
              <w:bidi w:val="0"/>
              <w:spacing w:before="0" w:after="283"/>
              <w:jc w:val="left"/>
              <w:rPr/>
            </w:pPr>
            <w:r>
              <w:rPr/>
              <w:t> </w:t>
            </w:r>
          </w:p>
        </w:tc>
        <w:tc>
          <w:tcPr>
            <w:tcW w:w="1660" w:type="dxa"/>
            <w:gridSpan w:val="2"/>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66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Liability for unpaid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1378" w:type="dxa"/>
            <w:tcBorders/>
            <w:shd w:fill="CCEEFF" w:val="clear"/>
            <w:vAlign w:val="center"/>
          </w:tcPr>
          <w:p>
            <w:pPr>
              <w:pStyle w:val="TableContents"/>
              <w:bidi w:val="0"/>
              <w:spacing w:before="0" w:after="283"/>
              <w:jc w:val="right"/>
              <w:rPr/>
            </w:pPr>
            <w:r>
              <w:rPr/>
              <w:t>137,288</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1378" w:type="dxa"/>
            <w:tcBorders/>
            <w:shd w:fill="CCEEFF" w:val="clear"/>
            <w:vAlign w:val="center"/>
          </w:tcPr>
          <w:p>
            <w:pPr>
              <w:pStyle w:val="TableContents"/>
              <w:bidi w:val="0"/>
              <w:spacing w:before="0" w:after="283"/>
              <w:jc w:val="right"/>
              <w:rPr/>
            </w:pPr>
            <w:r>
              <w:rPr/>
              <w:t>217,119</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Reinsurance recoverables on losses</w:t>
            </w:r>
          </w:p>
        </w:tc>
        <w:tc>
          <w:tcPr>
            <w:tcW w:w="90" w:type="dxa"/>
            <w:tcBorders/>
            <w:vAlign w:val="center"/>
          </w:tcPr>
          <w:p>
            <w:pPr>
              <w:pStyle w:val="TableContents"/>
              <w:bidi w:val="0"/>
              <w:spacing w:before="0" w:after="283"/>
              <w:jc w:val="left"/>
              <w:rPr/>
            </w:pPr>
            <w:r>
              <w:rPr/>
              <w:t> </w:t>
            </w:r>
          </w:p>
        </w:tc>
        <w:tc>
          <w:tcPr>
            <w:tcW w:w="282" w:type="dxa"/>
            <w:tcBorders>
              <w:bottom w:val="single" w:sz="8" w:space="0" w:color="000000"/>
            </w:tcBorders>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tcMar>
              <w:bottom w:w="28" w:type="dxa"/>
            </w:tcMar>
            <w:vAlign w:val="center"/>
          </w:tcPr>
          <w:p>
            <w:pPr>
              <w:pStyle w:val="TableContents"/>
              <w:bidi w:val="0"/>
              <w:spacing w:before="0" w:after="283"/>
              <w:jc w:val="right"/>
              <w:rPr/>
            </w:pPr>
            <w:r>
              <w:rPr/>
              <w:t>12,561</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bottom w:val="single" w:sz="8" w:space="0" w:color="000000"/>
            </w:tcBorders>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tcMar>
              <w:bottom w:w="28" w:type="dxa"/>
            </w:tcMar>
            <w:vAlign w:val="center"/>
          </w:tcPr>
          <w:p>
            <w:pPr>
              <w:pStyle w:val="TableContents"/>
              <w:bidi w:val="0"/>
              <w:spacing w:before="0" w:after="283"/>
              <w:jc w:val="right"/>
              <w:rPr/>
            </w:pPr>
            <w:r>
              <w:rPr/>
              <w:t>48,969</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Net balance, beginning of period</w:t>
            </w:r>
          </w:p>
        </w:tc>
        <w:tc>
          <w:tcPr>
            <w:tcW w:w="9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shd w:fill="CCEEFF" w:val="clear"/>
            <w:tcMar>
              <w:bottom w:w="28" w:type="dxa"/>
            </w:tcMar>
            <w:vAlign w:val="center"/>
          </w:tcPr>
          <w:p>
            <w:pPr>
              <w:pStyle w:val="TableContents"/>
              <w:bidi w:val="0"/>
              <w:spacing w:before="0" w:after="283"/>
              <w:jc w:val="right"/>
              <w:rPr/>
            </w:pPr>
            <w:r>
              <w:rPr/>
              <w:t>124,727</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shd w:fill="CCEEFF" w:val="clear"/>
            <w:tcMar>
              <w:bottom w:w="28" w:type="dxa"/>
            </w:tcMar>
            <w:vAlign w:val="center"/>
          </w:tcPr>
          <w:p>
            <w:pPr>
              <w:pStyle w:val="TableContents"/>
              <w:bidi w:val="0"/>
              <w:spacing w:before="0" w:after="283"/>
              <w:jc w:val="right"/>
              <w:rPr/>
            </w:pPr>
            <w:r>
              <w:rPr/>
              <w:t>168,150</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Incurred related to:</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Current year</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141,537</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185,006</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Prior years</w:t>
            </w:r>
          </w:p>
        </w:tc>
        <w:tc>
          <w:tcPr>
            <w:tcW w:w="9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shd w:fill="CCEEFF" w:val="clear"/>
            <w:tcMar>
              <w:bottom w:w="28" w:type="dxa"/>
            </w:tcMar>
            <w:vAlign w:val="center"/>
          </w:tcPr>
          <w:p>
            <w:pPr>
              <w:pStyle w:val="TableContents"/>
              <w:bidi w:val="0"/>
              <w:spacing w:before="0" w:after="283"/>
              <w:jc w:val="right"/>
              <w:rPr/>
            </w:pPr>
            <w:r>
              <w:rPr/>
              <w:t>19,792</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shd w:fill="CCEEFF" w:val="clear"/>
            <w:tcMar>
              <w:bottom w:w="28" w:type="dxa"/>
            </w:tcMar>
            <w:vAlign w:val="center"/>
          </w:tcPr>
          <w:p>
            <w:pPr>
              <w:pStyle w:val="TableContents"/>
              <w:bidi w:val="0"/>
              <w:spacing w:before="0" w:after="283"/>
              <w:jc w:val="right"/>
              <w:rPr/>
            </w:pPr>
            <w:r>
              <w:rPr/>
              <w:t>13,102</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Total incurred</w:t>
            </w:r>
          </w:p>
        </w:tc>
        <w:tc>
          <w:tcPr>
            <w:tcW w:w="90" w:type="dxa"/>
            <w:tcBorders/>
            <w:vAlign w:val="center"/>
          </w:tcPr>
          <w:p>
            <w:pPr>
              <w:pStyle w:val="TableContents"/>
              <w:bidi w:val="0"/>
              <w:spacing w:before="0" w:after="283"/>
              <w:jc w:val="left"/>
              <w:rPr/>
            </w:pPr>
            <w:r>
              <w:rPr/>
              <w:t> </w:t>
            </w:r>
          </w:p>
        </w:tc>
        <w:tc>
          <w:tcPr>
            <w:tcW w:w="282" w:type="dxa"/>
            <w:tcBorders>
              <w:bottom w:val="single" w:sz="8" w:space="0" w:color="000000"/>
            </w:tcBorders>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tcMar>
              <w:bottom w:w="28" w:type="dxa"/>
            </w:tcMar>
            <w:vAlign w:val="center"/>
          </w:tcPr>
          <w:p>
            <w:pPr>
              <w:pStyle w:val="TableContents"/>
              <w:bidi w:val="0"/>
              <w:spacing w:before="0" w:after="283"/>
              <w:jc w:val="right"/>
              <w:rPr/>
            </w:pPr>
            <w:r>
              <w:rPr/>
              <w:t>161,329</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bottom w:val="single" w:sz="8" w:space="0" w:color="000000"/>
            </w:tcBorders>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tcMar>
              <w:bottom w:w="28" w:type="dxa"/>
            </w:tcMar>
            <w:vAlign w:val="center"/>
          </w:tcPr>
          <w:p>
            <w:pPr>
              <w:pStyle w:val="TableContents"/>
              <w:bidi w:val="0"/>
              <w:spacing w:before="0" w:after="283"/>
              <w:jc w:val="right"/>
              <w:rPr/>
            </w:pPr>
            <w:r>
              <w:rPr/>
              <w:t>198,108</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Paid related to:</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Current year</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83,304</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89,330</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Prior years</w:t>
            </w:r>
          </w:p>
        </w:tc>
        <w:tc>
          <w:tcPr>
            <w:tcW w:w="90" w:type="dxa"/>
            <w:tcBorders/>
            <w:vAlign w:val="center"/>
          </w:tcPr>
          <w:p>
            <w:pPr>
              <w:pStyle w:val="TableContents"/>
              <w:bidi w:val="0"/>
              <w:spacing w:before="0" w:after="283"/>
              <w:jc w:val="left"/>
              <w:rPr/>
            </w:pPr>
            <w:r>
              <w:rPr/>
              <w:t> </w:t>
            </w:r>
          </w:p>
        </w:tc>
        <w:tc>
          <w:tcPr>
            <w:tcW w:w="282" w:type="dxa"/>
            <w:tcBorders>
              <w:bottom w:val="single" w:sz="8" w:space="0" w:color="000000"/>
            </w:tcBorders>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tcMar>
              <w:bottom w:w="28" w:type="dxa"/>
            </w:tcMar>
            <w:vAlign w:val="center"/>
          </w:tcPr>
          <w:p>
            <w:pPr>
              <w:pStyle w:val="TableContents"/>
              <w:bidi w:val="0"/>
              <w:spacing w:before="0" w:after="283"/>
              <w:jc w:val="right"/>
              <w:rPr/>
            </w:pPr>
            <w:r>
              <w:rPr/>
              <w:t>68,420</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bottom w:val="single" w:sz="8" w:space="0" w:color="000000"/>
            </w:tcBorders>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tcMar>
              <w:bottom w:w="28" w:type="dxa"/>
            </w:tcMar>
            <w:vAlign w:val="center"/>
          </w:tcPr>
          <w:p>
            <w:pPr>
              <w:pStyle w:val="TableContents"/>
              <w:bidi w:val="0"/>
              <w:spacing w:before="0" w:after="283"/>
              <w:jc w:val="right"/>
              <w:rPr/>
            </w:pPr>
            <w:r>
              <w:rPr/>
              <w:t>69,992</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Total paid</w:t>
            </w:r>
          </w:p>
        </w:tc>
        <w:tc>
          <w:tcPr>
            <w:tcW w:w="9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shd w:fill="CCEEFF" w:val="clear"/>
            <w:tcMar>
              <w:bottom w:w="28" w:type="dxa"/>
            </w:tcMar>
            <w:vAlign w:val="center"/>
          </w:tcPr>
          <w:p>
            <w:pPr>
              <w:pStyle w:val="TableContents"/>
              <w:bidi w:val="0"/>
              <w:spacing w:before="0" w:after="283"/>
              <w:jc w:val="right"/>
              <w:rPr/>
            </w:pPr>
            <w:r>
              <w:rPr/>
              <w:t>151,724</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shd w:fill="CCEEFF" w:val="clear"/>
            <w:tcMar>
              <w:bottom w:w="28" w:type="dxa"/>
            </w:tcMar>
            <w:vAlign w:val="center"/>
          </w:tcPr>
          <w:p>
            <w:pPr>
              <w:pStyle w:val="TableContents"/>
              <w:bidi w:val="0"/>
              <w:spacing w:before="0" w:after="283"/>
              <w:jc w:val="right"/>
              <w:rPr/>
            </w:pPr>
            <w:r>
              <w:rPr/>
              <w:t>159,322</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Westminster balances disposed in sale:</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Liability for unpaid losses and loss adjustment expenses</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0"/>
              <w:jc w:val="right"/>
              <w:rPr/>
            </w:pPr>
            <w:r>
              <w:rPr/>
              <w:t>—</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107,508</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Reinsurance recoverables on losses</w:t>
            </w:r>
          </w:p>
        </w:tc>
        <w:tc>
          <w:tcPr>
            <w:tcW w:w="9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shd w:fill="CCEEFF" w:val="clear"/>
            <w:tcMar>
              <w:bottom w:w="28" w:type="dxa"/>
            </w:tcMar>
            <w:vAlign w:val="center"/>
          </w:tcPr>
          <w:p>
            <w:pPr>
              <w:pStyle w:val="TableContents"/>
              <w:bidi w:val="0"/>
              <w:spacing w:before="0" w:after="283"/>
              <w:jc w:val="right"/>
              <w:rPr/>
            </w:pPr>
            <w:r>
              <w:rPr/>
              <w:t>45,320</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Net balance, date of sale</w:t>
            </w:r>
          </w:p>
        </w:tc>
        <w:tc>
          <w:tcPr>
            <w:tcW w:w="90" w:type="dxa"/>
            <w:tcBorders/>
            <w:vAlign w:val="center"/>
          </w:tcPr>
          <w:p>
            <w:pPr>
              <w:pStyle w:val="TableContents"/>
              <w:bidi w:val="0"/>
              <w:spacing w:before="0" w:after="283"/>
              <w:jc w:val="left"/>
              <w:rPr/>
            </w:pPr>
            <w:r>
              <w:rPr/>
              <w:t> </w:t>
            </w:r>
          </w:p>
        </w:tc>
        <w:tc>
          <w:tcPr>
            <w:tcW w:w="282" w:type="dxa"/>
            <w:tcBorders>
              <w:bottom w:val="single" w:sz="8" w:space="0" w:color="000000"/>
            </w:tcBorders>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tcMar>
              <w:bottom w:w="28" w:type="dxa"/>
            </w:tcMar>
            <w:vAlign w:val="center"/>
          </w:tcPr>
          <w:p>
            <w:pPr>
              <w:pStyle w:val="TableContents"/>
              <w:bidi w:val="0"/>
              <w:spacing w:before="0" w:after="0"/>
              <w:jc w:val="right"/>
              <w:rPr/>
            </w:pPr>
            <w:r>
              <w:rPr/>
              <w:t>—</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bottom w:val="single" w:sz="8" w:space="0" w:color="000000"/>
            </w:tcBorders>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tcMar>
              <w:bottom w:w="28" w:type="dxa"/>
            </w:tcMar>
            <w:vAlign w:val="center"/>
          </w:tcPr>
          <w:p>
            <w:pPr>
              <w:pStyle w:val="TableContents"/>
              <w:bidi w:val="0"/>
              <w:spacing w:before="0" w:after="283"/>
              <w:jc w:val="right"/>
              <w:rPr/>
            </w:pPr>
            <w:r>
              <w:rPr/>
              <w:t>62,188</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Balance, end of period:</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Liability for unpaid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157,383</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159,069</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Reinsurance recoverables on losses</w:t>
            </w:r>
          </w:p>
        </w:tc>
        <w:tc>
          <w:tcPr>
            <w:tcW w:w="90" w:type="dxa"/>
            <w:tcBorders/>
            <w:vAlign w:val="center"/>
          </w:tcPr>
          <w:p>
            <w:pPr>
              <w:pStyle w:val="TableContents"/>
              <w:bidi w:val="0"/>
              <w:spacing w:before="0" w:after="283"/>
              <w:jc w:val="left"/>
              <w:rPr/>
            </w:pPr>
            <w:r>
              <w:rPr/>
              <w:t> </w:t>
            </w:r>
          </w:p>
        </w:tc>
        <w:tc>
          <w:tcPr>
            <w:tcW w:w="282" w:type="dxa"/>
            <w:tcBorders>
              <w:bottom w:val="single" w:sz="8" w:space="0" w:color="000000"/>
            </w:tcBorders>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tcMar>
              <w:bottom w:w="28" w:type="dxa"/>
            </w:tcMar>
            <w:vAlign w:val="center"/>
          </w:tcPr>
          <w:p>
            <w:pPr>
              <w:pStyle w:val="TableContents"/>
              <w:bidi w:val="0"/>
              <w:spacing w:before="0" w:after="283"/>
              <w:jc w:val="right"/>
              <w:rPr/>
            </w:pPr>
            <w:r>
              <w:rPr/>
              <w:t>23,051</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bottom w:val="single" w:sz="8" w:space="0" w:color="000000"/>
            </w:tcBorders>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tcMar>
              <w:bottom w:w="28" w:type="dxa"/>
            </w:tcMar>
            <w:vAlign w:val="center"/>
          </w:tcPr>
          <w:p>
            <w:pPr>
              <w:pStyle w:val="TableContents"/>
              <w:bidi w:val="0"/>
              <w:spacing w:before="0" w:after="283"/>
              <w:jc w:val="right"/>
              <w:rPr/>
            </w:pPr>
            <w:r>
              <w:rPr/>
              <w:t>14,321</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Net balance, end of period</w:t>
            </w:r>
          </w:p>
        </w:tc>
        <w:tc>
          <w:tcPr>
            <w:tcW w:w="90"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78" w:type="dxa"/>
            <w:tcBorders>
              <w:bottom w:val="double" w:sz="6" w:space="0" w:color="000000"/>
            </w:tcBorders>
            <w:shd w:fill="CCEEFF" w:val="clear"/>
            <w:tcMar>
              <w:bottom w:w="28" w:type="dxa"/>
            </w:tcMar>
            <w:vAlign w:val="center"/>
          </w:tcPr>
          <w:p>
            <w:pPr>
              <w:pStyle w:val="TableContents"/>
              <w:bidi w:val="0"/>
              <w:spacing w:before="0" w:after="283"/>
              <w:jc w:val="right"/>
              <w:rPr/>
            </w:pPr>
            <w:r>
              <w:rPr/>
              <w:t>134,332</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78" w:type="dxa"/>
            <w:tcBorders>
              <w:bottom w:val="double" w:sz="6" w:space="0" w:color="000000"/>
            </w:tcBorders>
            <w:shd w:fill="CCEEFF" w:val="clear"/>
            <w:tcMar>
              <w:bottom w:w="28" w:type="dxa"/>
            </w:tcMar>
            <w:vAlign w:val="center"/>
          </w:tcPr>
          <w:p>
            <w:pPr>
              <w:pStyle w:val="TableContents"/>
              <w:bidi w:val="0"/>
              <w:spacing w:before="0" w:after="283"/>
              <w:jc w:val="right"/>
              <w:rPr/>
            </w:pPr>
            <w:r>
              <w:rPr/>
              <w:t>144,748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the Company’s incurred reported losses and loss adjustment expense included $19,792 of net unfavorable development on prior accident years. This was primarily attributable to unfavorable development for the Non-Standard Auto segment. During the nine months ended September 30, 2024, the Company’s incurred reported losses and loss adjustment expenses included $13,102 of net unfavorable development on prior accident years, primarily attributable to the Non-Standard Auto segment. During 2024, Westminster was sold and all associated liabilities were included in the sale.</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unpaid losses and loss adjustment expense reserves are generally the result of ongoing analysis of recent loss development trends. As additional information becomes known regarding individual claims, original estimates are increased or decreased accordingly.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for the current and comparable prior year continuing and discontinued operations showing the liability for unpaid losses and loss adjustment expense are shown below:</w:t>
      </w:r>
    </w:p>
    <w:tbl>
      <w:tblPr>
        <w:tblW w:w="9173" w:type="dxa"/>
        <w:jc w:val="left"/>
        <w:tblInd w:w="0" w:type="dxa"/>
        <w:tblLayout w:type="fixed"/>
        <w:tblCellMar>
          <w:top w:w="0" w:type="dxa"/>
          <w:left w:w="0" w:type="dxa"/>
          <w:bottom w:w="0" w:type="dxa"/>
          <w:right w:w="0" w:type="dxa"/>
        </w:tblCellMar>
      </w:tblPr>
      <w:tblGrid>
        <w:gridCol w:w="5330"/>
        <w:gridCol w:w="90"/>
        <w:gridCol w:w="282"/>
        <w:gridCol w:w="1378"/>
        <w:gridCol w:w="149"/>
        <w:gridCol w:w="149"/>
        <w:gridCol w:w="282"/>
        <w:gridCol w:w="1378"/>
        <w:gridCol w:w="135"/>
      </w:tblGrid>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3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Balance, beginning of period:</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Liability for unpaid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1378" w:type="dxa"/>
            <w:tcBorders/>
            <w:shd w:fill="CCEEFF" w:val="clear"/>
            <w:vAlign w:val="center"/>
          </w:tcPr>
          <w:p>
            <w:pPr>
              <w:pStyle w:val="TableContents"/>
              <w:bidi w:val="0"/>
              <w:spacing w:before="0" w:after="283"/>
              <w:jc w:val="right"/>
              <w:rPr/>
            </w:pPr>
            <w:r>
              <w:rPr/>
              <w:t>137,288</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1378" w:type="dxa"/>
            <w:tcBorders/>
            <w:shd w:fill="CCEEFF" w:val="clear"/>
            <w:vAlign w:val="center"/>
          </w:tcPr>
          <w:p>
            <w:pPr>
              <w:pStyle w:val="TableContents"/>
              <w:bidi w:val="0"/>
              <w:spacing w:before="0" w:after="283"/>
              <w:jc w:val="right"/>
              <w:rPr/>
            </w:pPr>
            <w:r>
              <w:rPr/>
              <w:t>119,185</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Reinsurance recoverables on losses</w:t>
            </w:r>
          </w:p>
        </w:tc>
        <w:tc>
          <w:tcPr>
            <w:tcW w:w="90" w:type="dxa"/>
            <w:tcBorders/>
            <w:vAlign w:val="center"/>
          </w:tcPr>
          <w:p>
            <w:pPr>
              <w:pStyle w:val="TableContents"/>
              <w:bidi w:val="0"/>
              <w:spacing w:before="0" w:after="283"/>
              <w:jc w:val="left"/>
              <w:rPr/>
            </w:pPr>
            <w:r>
              <w:rPr/>
              <w:t> </w:t>
            </w:r>
          </w:p>
        </w:tc>
        <w:tc>
          <w:tcPr>
            <w:tcW w:w="282" w:type="dxa"/>
            <w:tcBorders>
              <w:bottom w:val="single" w:sz="8" w:space="0" w:color="000000"/>
            </w:tcBorders>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tcMar>
              <w:bottom w:w="28" w:type="dxa"/>
            </w:tcMar>
            <w:vAlign w:val="center"/>
          </w:tcPr>
          <w:p>
            <w:pPr>
              <w:pStyle w:val="TableContents"/>
              <w:bidi w:val="0"/>
              <w:spacing w:before="0" w:after="283"/>
              <w:jc w:val="right"/>
              <w:rPr/>
            </w:pPr>
            <w:r>
              <w:rPr/>
              <w:t>12,561</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bottom w:val="single" w:sz="8" w:space="0" w:color="000000"/>
            </w:tcBorders>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tcMar>
              <w:bottom w:w="28" w:type="dxa"/>
            </w:tcMar>
            <w:vAlign w:val="center"/>
          </w:tcPr>
          <w:p>
            <w:pPr>
              <w:pStyle w:val="TableContents"/>
              <w:bidi w:val="0"/>
              <w:spacing w:before="0" w:after="283"/>
              <w:jc w:val="right"/>
              <w:rPr/>
            </w:pPr>
            <w:r>
              <w:rPr/>
              <w:t>6,460</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Net balance, beginning of period</w:t>
            </w:r>
          </w:p>
        </w:tc>
        <w:tc>
          <w:tcPr>
            <w:tcW w:w="9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shd w:fill="CCEEFF" w:val="clear"/>
            <w:tcMar>
              <w:bottom w:w="28" w:type="dxa"/>
            </w:tcMar>
            <w:vAlign w:val="center"/>
          </w:tcPr>
          <w:p>
            <w:pPr>
              <w:pStyle w:val="TableContents"/>
              <w:bidi w:val="0"/>
              <w:spacing w:before="0" w:after="283"/>
              <w:jc w:val="right"/>
              <w:rPr/>
            </w:pPr>
            <w:r>
              <w:rPr/>
              <w:t>124,727</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shd w:fill="CCEEFF" w:val="clear"/>
            <w:tcMar>
              <w:bottom w:w="28" w:type="dxa"/>
            </w:tcMar>
            <w:vAlign w:val="center"/>
          </w:tcPr>
          <w:p>
            <w:pPr>
              <w:pStyle w:val="TableContents"/>
              <w:bidi w:val="0"/>
              <w:spacing w:before="0" w:after="283"/>
              <w:jc w:val="right"/>
              <w:rPr/>
            </w:pPr>
            <w:r>
              <w:rPr/>
              <w:t>112,725</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Incurred related to:</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Current year</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141,537</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160,891</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Prior years</w:t>
            </w:r>
          </w:p>
        </w:tc>
        <w:tc>
          <w:tcPr>
            <w:tcW w:w="9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shd w:fill="CCEEFF" w:val="clear"/>
            <w:tcMar>
              <w:bottom w:w="28" w:type="dxa"/>
            </w:tcMar>
            <w:vAlign w:val="center"/>
          </w:tcPr>
          <w:p>
            <w:pPr>
              <w:pStyle w:val="TableContents"/>
              <w:bidi w:val="0"/>
              <w:spacing w:before="0" w:after="283"/>
              <w:jc w:val="right"/>
              <w:rPr/>
            </w:pPr>
            <w:r>
              <w:rPr/>
              <w:t>19,792</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shd w:fill="CCEEFF" w:val="clear"/>
            <w:tcMar>
              <w:bottom w:w="28" w:type="dxa"/>
            </w:tcMar>
            <w:vAlign w:val="center"/>
          </w:tcPr>
          <w:p>
            <w:pPr>
              <w:pStyle w:val="TableContents"/>
              <w:bidi w:val="0"/>
              <w:spacing w:before="0" w:after="283"/>
              <w:jc w:val="right"/>
              <w:rPr/>
            </w:pPr>
            <w:r>
              <w:rPr/>
              <w:t>13,711</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Total incurred</w:t>
            </w:r>
          </w:p>
        </w:tc>
        <w:tc>
          <w:tcPr>
            <w:tcW w:w="90" w:type="dxa"/>
            <w:tcBorders/>
            <w:vAlign w:val="center"/>
          </w:tcPr>
          <w:p>
            <w:pPr>
              <w:pStyle w:val="TableContents"/>
              <w:bidi w:val="0"/>
              <w:spacing w:before="0" w:after="283"/>
              <w:jc w:val="left"/>
              <w:rPr/>
            </w:pPr>
            <w:r>
              <w:rPr/>
              <w:t> </w:t>
            </w:r>
          </w:p>
        </w:tc>
        <w:tc>
          <w:tcPr>
            <w:tcW w:w="282" w:type="dxa"/>
            <w:tcBorders>
              <w:bottom w:val="single" w:sz="8" w:space="0" w:color="000000"/>
            </w:tcBorders>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tcMar>
              <w:bottom w:w="28" w:type="dxa"/>
            </w:tcMar>
            <w:vAlign w:val="center"/>
          </w:tcPr>
          <w:p>
            <w:pPr>
              <w:pStyle w:val="TableContents"/>
              <w:bidi w:val="0"/>
              <w:spacing w:before="0" w:after="283"/>
              <w:jc w:val="right"/>
              <w:rPr/>
            </w:pPr>
            <w:r>
              <w:rPr/>
              <w:t>161,329</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bottom w:val="single" w:sz="8" w:space="0" w:color="000000"/>
            </w:tcBorders>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tcMar>
              <w:bottom w:w="28" w:type="dxa"/>
            </w:tcMar>
            <w:vAlign w:val="center"/>
          </w:tcPr>
          <w:p>
            <w:pPr>
              <w:pStyle w:val="TableContents"/>
              <w:bidi w:val="0"/>
              <w:spacing w:before="0" w:after="283"/>
              <w:jc w:val="right"/>
              <w:rPr/>
            </w:pPr>
            <w:r>
              <w:rPr/>
              <w:t>174,602</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Paid related to:</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Current year</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83,304</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83,766</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Prior years</w:t>
            </w:r>
          </w:p>
        </w:tc>
        <w:tc>
          <w:tcPr>
            <w:tcW w:w="90" w:type="dxa"/>
            <w:tcBorders/>
            <w:vAlign w:val="center"/>
          </w:tcPr>
          <w:p>
            <w:pPr>
              <w:pStyle w:val="TableContents"/>
              <w:bidi w:val="0"/>
              <w:spacing w:before="0" w:after="283"/>
              <w:jc w:val="left"/>
              <w:rPr/>
            </w:pPr>
            <w:r>
              <w:rPr/>
              <w:t> </w:t>
            </w:r>
          </w:p>
        </w:tc>
        <w:tc>
          <w:tcPr>
            <w:tcW w:w="282" w:type="dxa"/>
            <w:tcBorders>
              <w:bottom w:val="single" w:sz="8" w:space="0" w:color="000000"/>
            </w:tcBorders>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tcMar>
              <w:bottom w:w="28" w:type="dxa"/>
            </w:tcMar>
            <w:vAlign w:val="center"/>
          </w:tcPr>
          <w:p>
            <w:pPr>
              <w:pStyle w:val="TableContents"/>
              <w:bidi w:val="0"/>
              <w:spacing w:before="0" w:after="283"/>
              <w:jc w:val="right"/>
              <w:rPr/>
            </w:pPr>
            <w:r>
              <w:rPr/>
              <w:t>68,420</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bottom w:val="single" w:sz="8" w:space="0" w:color="000000"/>
            </w:tcBorders>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tcMar>
              <w:bottom w:w="28" w:type="dxa"/>
            </w:tcMar>
            <w:vAlign w:val="center"/>
          </w:tcPr>
          <w:p>
            <w:pPr>
              <w:pStyle w:val="TableContents"/>
              <w:bidi w:val="0"/>
              <w:spacing w:before="0" w:after="283"/>
              <w:jc w:val="right"/>
              <w:rPr/>
            </w:pPr>
            <w:r>
              <w:rPr/>
              <w:t>58,813</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Total paid</w:t>
            </w:r>
          </w:p>
        </w:tc>
        <w:tc>
          <w:tcPr>
            <w:tcW w:w="9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shd w:fill="CCEEFF" w:val="clear"/>
            <w:tcMar>
              <w:bottom w:w="28" w:type="dxa"/>
            </w:tcMar>
            <w:vAlign w:val="center"/>
          </w:tcPr>
          <w:p>
            <w:pPr>
              <w:pStyle w:val="TableContents"/>
              <w:bidi w:val="0"/>
              <w:spacing w:before="0" w:after="283"/>
              <w:jc w:val="right"/>
              <w:rPr/>
            </w:pPr>
            <w:r>
              <w:rPr/>
              <w:t>151,724</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shd w:fill="CCEEFF" w:val="clear"/>
            <w:tcMar>
              <w:bottom w:w="28" w:type="dxa"/>
            </w:tcMar>
            <w:vAlign w:val="center"/>
          </w:tcPr>
          <w:p>
            <w:pPr>
              <w:pStyle w:val="TableContents"/>
              <w:bidi w:val="0"/>
              <w:spacing w:before="0" w:after="283"/>
              <w:jc w:val="right"/>
              <w:rPr/>
            </w:pPr>
            <w:r>
              <w:rPr/>
              <w:t>142,579</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Balance, end of period:</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Liability for unpaid losses and loss adjustment expenses</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157,383</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159,069</w:t>
            </w:r>
          </w:p>
        </w:tc>
        <w:tc>
          <w:tcPr>
            <w:tcW w:w="13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Reinsurance recoverables on losses</w:t>
            </w:r>
          </w:p>
        </w:tc>
        <w:tc>
          <w:tcPr>
            <w:tcW w:w="9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shd w:fill="CCEEFF" w:val="clear"/>
            <w:tcMar>
              <w:bottom w:w="28" w:type="dxa"/>
            </w:tcMar>
            <w:vAlign w:val="center"/>
          </w:tcPr>
          <w:p>
            <w:pPr>
              <w:pStyle w:val="TableContents"/>
              <w:bidi w:val="0"/>
              <w:spacing w:before="0" w:after="283"/>
              <w:jc w:val="right"/>
              <w:rPr/>
            </w:pPr>
            <w:r>
              <w:rPr/>
              <w:t>23,051</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shd w:fill="CCEEFF" w:val="clear"/>
            <w:tcMar>
              <w:bottom w:w="28" w:type="dxa"/>
            </w:tcMar>
            <w:vAlign w:val="center"/>
          </w:tcPr>
          <w:p>
            <w:pPr>
              <w:pStyle w:val="TableContents"/>
              <w:bidi w:val="0"/>
              <w:spacing w:before="0" w:after="283"/>
              <w:jc w:val="right"/>
              <w:rPr/>
            </w:pPr>
            <w:r>
              <w:rPr/>
              <w:t>14,321</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Net balance, end of period</w:t>
            </w:r>
          </w:p>
        </w:tc>
        <w:tc>
          <w:tcPr>
            <w:tcW w:w="90" w:type="dxa"/>
            <w:tcBorders/>
            <w:vAlign w:val="center"/>
          </w:tcPr>
          <w:p>
            <w:pPr>
              <w:pStyle w:val="TableContents"/>
              <w:bidi w:val="0"/>
              <w:spacing w:before="0" w:after="283"/>
              <w:jc w:val="left"/>
              <w:rPr/>
            </w:pPr>
            <w:r>
              <w:rPr/>
              <w:t> </w:t>
            </w:r>
          </w:p>
        </w:tc>
        <w:tc>
          <w:tcPr>
            <w:tcW w:w="282" w:type="dxa"/>
            <w:tcBorders>
              <w:bottom w:val="double" w:sz="6" w:space="0" w:color="000000"/>
            </w:tcBorders>
            <w:tcMar>
              <w:bottom w:w="28" w:type="dxa"/>
            </w:tcMar>
            <w:vAlign w:val="center"/>
          </w:tcPr>
          <w:p>
            <w:pPr>
              <w:pStyle w:val="TableContents"/>
              <w:bidi w:val="0"/>
              <w:spacing w:before="0" w:after="283"/>
              <w:jc w:val="left"/>
              <w:rPr/>
            </w:pPr>
            <w:r>
              <w:rPr/>
              <w:t>$</w:t>
            </w:r>
          </w:p>
        </w:tc>
        <w:tc>
          <w:tcPr>
            <w:tcW w:w="1378" w:type="dxa"/>
            <w:tcBorders>
              <w:bottom w:val="double" w:sz="6" w:space="0" w:color="000000"/>
            </w:tcBorders>
            <w:tcMar>
              <w:bottom w:w="28" w:type="dxa"/>
            </w:tcMar>
            <w:vAlign w:val="center"/>
          </w:tcPr>
          <w:p>
            <w:pPr>
              <w:pStyle w:val="TableContents"/>
              <w:bidi w:val="0"/>
              <w:spacing w:before="0" w:after="283"/>
              <w:jc w:val="right"/>
              <w:rPr/>
            </w:pPr>
            <w:r>
              <w:rPr/>
              <w:t>134,332</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bottom w:val="double" w:sz="6" w:space="0" w:color="000000"/>
            </w:tcBorders>
            <w:tcMar>
              <w:bottom w:w="28" w:type="dxa"/>
            </w:tcMar>
            <w:vAlign w:val="center"/>
          </w:tcPr>
          <w:p>
            <w:pPr>
              <w:pStyle w:val="TableContents"/>
              <w:bidi w:val="0"/>
              <w:spacing w:before="0" w:after="283"/>
              <w:jc w:val="left"/>
              <w:rPr/>
            </w:pPr>
            <w:r>
              <w:rPr/>
              <w:t>$</w:t>
            </w:r>
          </w:p>
        </w:tc>
        <w:tc>
          <w:tcPr>
            <w:tcW w:w="1378" w:type="dxa"/>
            <w:tcBorders>
              <w:bottom w:val="double" w:sz="6" w:space="0" w:color="000000"/>
            </w:tcBorders>
            <w:tcMar>
              <w:bottom w:w="28" w:type="dxa"/>
            </w:tcMar>
            <w:vAlign w:val="center"/>
          </w:tcPr>
          <w:p>
            <w:pPr>
              <w:pStyle w:val="TableContents"/>
              <w:bidi w:val="0"/>
              <w:spacing w:before="0" w:after="283"/>
              <w:jc w:val="right"/>
              <w:rPr/>
            </w:pPr>
            <w:r>
              <w:rPr/>
              <w:t>144,748</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208" w:type="dxa"/>
        <w:jc w:val="left"/>
        <w:tblInd w:w="0" w:type="dxa"/>
        <w:tblLayout w:type="fixed"/>
        <w:tblCellMar>
          <w:top w:w="0" w:type="dxa"/>
          <w:left w:w="0" w:type="dxa"/>
          <w:bottom w:w="0" w:type="dxa"/>
          <w:right w:w="0" w:type="dxa"/>
        </w:tblCellMar>
      </w:tblPr>
      <w:tblGrid>
        <w:gridCol w:w="5330"/>
        <w:gridCol w:w="90"/>
        <w:gridCol w:w="375"/>
        <w:gridCol w:w="640"/>
        <w:gridCol w:w="198"/>
        <w:gridCol w:w="198"/>
        <w:gridCol w:w="375"/>
        <w:gridCol w:w="1832"/>
        <w:gridCol w:w="170"/>
      </w:tblGrid>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98"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22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Discontinued operations:</w:t>
            </w:r>
          </w:p>
        </w:tc>
        <w:tc>
          <w:tcPr>
            <w:tcW w:w="9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83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Balance, beginning of period:</w:t>
            </w:r>
          </w:p>
        </w:tc>
        <w:tc>
          <w:tcPr>
            <w:tcW w:w="9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183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Liability for unpaid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0"/>
              <w:jc w:val="right"/>
              <w:rPr/>
            </w:pPr>
            <w:r>
              <w:rPr/>
              <w:t>—</w:t>
            </w:r>
          </w:p>
        </w:tc>
        <w:tc>
          <w:tcPr>
            <w:tcW w:w="198"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w:t>
            </w:r>
          </w:p>
        </w:tc>
        <w:tc>
          <w:tcPr>
            <w:tcW w:w="1832" w:type="dxa"/>
            <w:tcBorders/>
            <w:shd w:fill="CCEEFF" w:val="clear"/>
            <w:vAlign w:val="center"/>
          </w:tcPr>
          <w:p>
            <w:pPr>
              <w:pStyle w:val="TableContents"/>
              <w:bidi w:val="0"/>
              <w:spacing w:before="0" w:after="283"/>
              <w:jc w:val="right"/>
              <w:rPr/>
            </w:pPr>
            <w:r>
              <w:rPr/>
              <w:t>97,934</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Reinsurance recoverables on losses</w:t>
            </w:r>
          </w:p>
        </w:tc>
        <w:tc>
          <w:tcPr>
            <w:tcW w:w="90" w:type="dxa"/>
            <w:tcBorders/>
            <w:vAlign w:val="center"/>
          </w:tcPr>
          <w:p>
            <w:pPr>
              <w:pStyle w:val="TableContents"/>
              <w:bidi w:val="0"/>
              <w:spacing w:before="0" w:after="283"/>
              <w:jc w:val="left"/>
              <w:rPr/>
            </w:pPr>
            <w:r>
              <w:rPr/>
              <w:t> </w:t>
            </w:r>
          </w:p>
        </w:tc>
        <w:tc>
          <w:tcPr>
            <w:tcW w:w="375" w:type="dxa"/>
            <w:tcBorders>
              <w:bottom w:val="single" w:sz="8" w:space="0" w:color="000000"/>
            </w:tcBorders>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tcMar>
              <w:bottom w:w="28" w:type="dxa"/>
            </w:tcMar>
            <w:vAlign w:val="center"/>
          </w:tcPr>
          <w:p>
            <w:pPr>
              <w:pStyle w:val="TableContents"/>
              <w:bidi w:val="0"/>
              <w:spacing w:before="0" w:after="0"/>
              <w:jc w:val="right"/>
              <w:rPr/>
            </w:pPr>
            <w:r>
              <w:rPr/>
              <w:t>—</w:t>
            </w:r>
          </w:p>
        </w:tc>
        <w:tc>
          <w:tcPr>
            <w:tcW w:w="198"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375" w:type="dxa"/>
            <w:tcBorders>
              <w:bottom w:val="single" w:sz="8" w:space="0" w:color="000000"/>
            </w:tcBorders>
            <w:tcMar>
              <w:bottom w:w="28" w:type="dxa"/>
            </w:tcMar>
            <w:vAlign w:val="center"/>
          </w:tcPr>
          <w:p>
            <w:pPr>
              <w:pStyle w:val="TableContents"/>
              <w:bidi w:val="0"/>
              <w:spacing w:before="0" w:after="283"/>
              <w:jc w:val="left"/>
              <w:rPr/>
            </w:pPr>
            <w:r>
              <w:rPr/>
              <w:t> </w:t>
            </w:r>
          </w:p>
        </w:tc>
        <w:tc>
          <w:tcPr>
            <w:tcW w:w="1832" w:type="dxa"/>
            <w:tcBorders>
              <w:bottom w:val="single" w:sz="8" w:space="0" w:color="000000"/>
            </w:tcBorders>
            <w:tcMar>
              <w:bottom w:w="28" w:type="dxa"/>
            </w:tcMar>
            <w:vAlign w:val="center"/>
          </w:tcPr>
          <w:p>
            <w:pPr>
              <w:pStyle w:val="TableContents"/>
              <w:bidi w:val="0"/>
              <w:spacing w:before="0" w:after="283"/>
              <w:jc w:val="right"/>
              <w:rPr/>
            </w:pPr>
            <w:r>
              <w:rPr/>
              <w:t>42,509</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Net balance, beginning of period</w:t>
            </w:r>
          </w:p>
        </w:tc>
        <w:tc>
          <w:tcPr>
            <w:tcW w:w="90" w:type="dxa"/>
            <w:tcBorders/>
            <w:shd w:fill="CCEEFF" w:val="clear"/>
            <w:vAlign w:val="center"/>
          </w:tcPr>
          <w:p>
            <w:pPr>
              <w:pStyle w:val="TableContents"/>
              <w:bidi w:val="0"/>
              <w:spacing w:before="0" w:after="283"/>
              <w:jc w:val="left"/>
              <w:rPr/>
            </w:pPr>
            <w:r>
              <w:rPr/>
              <w:t> </w:t>
            </w:r>
          </w:p>
        </w:tc>
        <w:tc>
          <w:tcPr>
            <w:tcW w:w="3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98"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32" w:type="dxa"/>
            <w:tcBorders>
              <w:bottom w:val="single" w:sz="8" w:space="0" w:color="000000"/>
            </w:tcBorders>
            <w:shd w:fill="CCEEFF" w:val="clear"/>
            <w:tcMar>
              <w:bottom w:w="28" w:type="dxa"/>
            </w:tcMar>
            <w:vAlign w:val="center"/>
          </w:tcPr>
          <w:p>
            <w:pPr>
              <w:pStyle w:val="TableContents"/>
              <w:bidi w:val="0"/>
              <w:spacing w:before="0" w:after="283"/>
              <w:jc w:val="right"/>
              <w:rPr/>
            </w:pPr>
            <w:r>
              <w:rPr/>
              <w:t>55,425</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183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Incurred related to:</w:t>
            </w:r>
          </w:p>
        </w:tc>
        <w:tc>
          <w:tcPr>
            <w:tcW w:w="9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83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Current year</w:t>
            </w:r>
          </w:p>
        </w:tc>
        <w:tc>
          <w:tcPr>
            <w:tcW w:w="9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0"/>
              <w:jc w:val="right"/>
              <w:rPr/>
            </w:pPr>
            <w:r>
              <w:rPr/>
              <w:t>—</w:t>
            </w:r>
          </w:p>
        </w:tc>
        <w:tc>
          <w:tcPr>
            <w:tcW w:w="198"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1832" w:type="dxa"/>
            <w:tcBorders/>
            <w:vAlign w:val="center"/>
          </w:tcPr>
          <w:p>
            <w:pPr>
              <w:pStyle w:val="TableContents"/>
              <w:bidi w:val="0"/>
              <w:spacing w:before="0" w:after="283"/>
              <w:jc w:val="right"/>
              <w:rPr/>
            </w:pPr>
            <w:r>
              <w:rPr/>
              <w:t>24,115</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Prior years</w:t>
            </w:r>
          </w:p>
        </w:tc>
        <w:tc>
          <w:tcPr>
            <w:tcW w:w="90" w:type="dxa"/>
            <w:tcBorders/>
            <w:shd w:fill="CCEEFF" w:val="clear"/>
            <w:vAlign w:val="center"/>
          </w:tcPr>
          <w:p>
            <w:pPr>
              <w:pStyle w:val="TableContents"/>
              <w:bidi w:val="0"/>
              <w:spacing w:before="0" w:after="283"/>
              <w:jc w:val="left"/>
              <w:rPr/>
            </w:pPr>
            <w:r>
              <w:rPr/>
              <w:t> </w:t>
            </w:r>
          </w:p>
        </w:tc>
        <w:tc>
          <w:tcPr>
            <w:tcW w:w="3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98"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32" w:type="dxa"/>
            <w:tcBorders>
              <w:bottom w:val="single" w:sz="8" w:space="0" w:color="000000"/>
            </w:tcBorders>
            <w:shd w:fill="CCEEFF" w:val="clear"/>
            <w:tcMar>
              <w:bottom w:w="28" w:type="dxa"/>
            </w:tcMar>
            <w:vAlign w:val="center"/>
          </w:tcPr>
          <w:p>
            <w:pPr>
              <w:pStyle w:val="TableContents"/>
              <w:bidi w:val="0"/>
              <w:spacing w:before="0" w:after="283"/>
              <w:jc w:val="right"/>
              <w:rPr/>
            </w:pPr>
            <w:r>
              <w:rPr/>
              <w:t>(609</w:t>
            </w:r>
          </w:p>
        </w:tc>
        <w:tc>
          <w:tcPr>
            <w:tcW w:w="170" w:type="dxa"/>
            <w:tcBorders/>
            <w:shd w:fill="CCEEFF" w:val="clear"/>
            <w:vAlign w:val="center"/>
          </w:tcPr>
          <w:p>
            <w:pPr>
              <w:pStyle w:val="TableContents"/>
              <w:bidi w:val="0"/>
              <w:spacing w:before="0" w:after="283"/>
              <w:jc w:val="left"/>
              <w:rPr/>
            </w:pPr>
            <w:r>
              <w:rPr/>
              <w:t>)</w:t>
            </w:r>
          </w:p>
        </w:tc>
      </w:tr>
      <w:tr>
        <w:trPr/>
        <w:tc>
          <w:tcPr>
            <w:tcW w:w="5330" w:type="dxa"/>
            <w:tcBorders/>
            <w:vAlign w:val="center"/>
          </w:tcPr>
          <w:p>
            <w:pPr>
              <w:pStyle w:val="TableContents"/>
              <w:bidi w:val="0"/>
              <w:spacing w:before="0" w:after="283"/>
              <w:jc w:val="left"/>
              <w:rPr/>
            </w:pPr>
            <w:r>
              <w:rPr/>
              <w:t>Total incurred</w:t>
            </w:r>
          </w:p>
        </w:tc>
        <w:tc>
          <w:tcPr>
            <w:tcW w:w="90" w:type="dxa"/>
            <w:tcBorders/>
            <w:vAlign w:val="center"/>
          </w:tcPr>
          <w:p>
            <w:pPr>
              <w:pStyle w:val="TableContents"/>
              <w:bidi w:val="0"/>
              <w:spacing w:before="0" w:after="283"/>
              <w:jc w:val="left"/>
              <w:rPr/>
            </w:pPr>
            <w:r>
              <w:rPr/>
              <w:t> </w:t>
            </w:r>
          </w:p>
        </w:tc>
        <w:tc>
          <w:tcPr>
            <w:tcW w:w="375" w:type="dxa"/>
            <w:tcBorders>
              <w:bottom w:val="single" w:sz="8" w:space="0" w:color="000000"/>
            </w:tcBorders>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tcMar>
              <w:bottom w:w="28" w:type="dxa"/>
            </w:tcMar>
            <w:vAlign w:val="center"/>
          </w:tcPr>
          <w:p>
            <w:pPr>
              <w:pStyle w:val="TableContents"/>
              <w:bidi w:val="0"/>
              <w:spacing w:before="0" w:after="0"/>
              <w:jc w:val="right"/>
              <w:rPr/>
            </w:pPr>
            <w:r>
              <w:rPr/>
              <w:t>—</w:t>
            </w:r>
          </w:p>
        </w:tc>
        <w:tc>
          <w:tcPr>
            <w:tcW w:w="198"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375" w:type="dxa"/>
            <w:tcBorders>
              <w:bottom w:val="single" w:sz="8" w:space="0" w:color="000000"/>
            </w:tcBorders>
            <w:tcMar>
              <w:bottom w:w="28" w:type="dxa"/>
            </w:tcMar>
            <w:vAlign w:val="center"/>
          </w:tcPr>
          <w:p>
            <w:pPr>
              <w:pStyle w:val="TableContents"/>
              <w:bidi w:val="0"/>
              <w:spacing w:before="0" w:after="283"/>
              <w:jc w:val="left"/>
              <w:rPr/>
            </w:pPr>
            <w:r>
              <w:rPr/>
              <w:t> </w:t>
            </w:r>
          </w:p>
        </w:tc>
        <w:tc>
          <w:tcPr>
            <w:tcW w:w="1832" w:type="dxa"/>
            <w:tcBorders>
              <w:bottom w:val="single" w:sz="8" w:space="0" w:color="000000"/>
            </w:tcBorders>
            <w:tcMar>
              <w:bottom w:w="28" w:type="dxa"/>
            </w:tcMar>
            <w:vAlign w:val="center"/>
          </w:tcPr>
          <w:p>
            <w:pPr>
              <w:pStyle w:val="TableContents"/>
              <w:bidi w:val="0"/>
              <w:spacing w:before="0" w:after="283"/>
              <w:jc w:val="right"/>
              <w:rPr/>
            </w:pPr>
            <w:r>
              <w:rPr/>
              <w:t>23,506</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83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Paid related to:</w:t>
            </w:r>
          </w:p>
        </w:tc>
        <w:tc>
          <w:tcPr>
            <w:tcW w:w="9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183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Current year</w:t>
            </w:r>
          </w:p>
        </w:tc>
        <w:tc>
          <w:tcPr>
            <w:tcW w:w="9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0"/>
              <w:jc w:val="right"/>
              <w:rPr/>
            </w:pPr>
            <w:r>
              <w:rPr/>
              <w:t>—</w:t>
            </w:r>
          </w:p>
        </w:tc>
        <w:tc>
          <w:tcPr>
            <w:tcW w:w="198"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832" w:type="dxa"/>
            <w:tcBorders/>
            <w:shd w:fill="CCEEFF" w:val="clear"/>
            <w:vAlign w:val="center"/>
          </w:tcPr>
          <w:p>
            <w:pPr>
              <w:pStyle w:val="TableContents"/>
              <w:bidi w:val="0"/>
              <w:spacing w:before="0" w:after="283"/>
              <w:jc w:val="right"/>
              <w:rPr/>
            </w:pPr>
            <w:r>
              <w:rPr/>
              <w:t>5,564</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Prior years</w:t>
            </w:r>
          </w:p>
        </w:tc>
        <w:tc>
          <w:tcPr>
            <w:tcW w:w="90" w:type="dxa"/>
            <w:tcBorders/>
            <w:vAlign w:val="center"/>
          </w:tcPr>
          <w:p>
            <w:pPr>
              <w:pStyle w:val="TableContents"/>
              <w:bidi w:val="0"/>
              <w:spacing w:before="0" w:after="283"/>
              <w:jc w:val="left"/>
              <w:rPr/>
            </w:pPr>
            <w:r>
              <w:rPr/>
              <w:t> </w:t>
            </w:r>
          </w:p>
        </w:tc>
        <w:tc>
          <w:tcPr>
            <w:tcW w:w="375" w:type="dxa"/>
            <w:tcBorders>
              <w:bottom w:val="single" w:sz="8" w:space="0" w:color="000000"/>
            </w:tcBorders>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tcMar>
              <w:bottom w:w="28" w:type="dxa"/>
            </w:tcMar>
            <w:vAlign w:val="center"/>
          </w:tcPr>
          <w:p>
            <w:pPr>
              <w:pStyle w:val="TableContents"/>
              <w:bidi w:val="0"/>
              <w:spacing w:before="0" w:after="0"/>
              <w:jc w:val="right"/>
              <w:rPr/>
            </w:pPr>
            <w:r>
              <w:rPr/>
              <w:t>—</w:t>
            </w:r>
          </w:p>
        </w:tc>
        <w:tc>
          <w:tcPr>
            <w:tcW w:w="198"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375" w:type="dxa"/>
            <w:tcBorders>
              <w:bottom w:val="single" w:sz="8" w:space="0" w:color="000000"/>
            </w:tcBorders>
            <w:tcMar>
              <w:bottom w:w="28" w:type="dxa"/>
            </w:tcMar>
            <w:vAlign w:val="center"/>
          </w:tcPr>
          <w:p>
            <w:pPr>
              <w:pStyle w:val="TableContents"/>
              <w:bidi w:val="0"/>
              <w:spacing w:before="0" w:after="283"/>
              <w:jc w:val="left"/>
              <w:rPr/>
            </w:pPr>
            <w:r>
              <w:rPr/>
              <w:t> </w:t>
            </w:r>
          </w:p>
        </w:tc>
        <w:tc>
          <w:tcPr>
            <w:tcW w:w="1832" w:type="dxa"/>
            <w:tcBorders>
              <w:bottom w:val="single" w:sz="8" w:space="0" w:color="000000"/>
            </w:tcBorders>
            <w:tcMar>
              <w:bottom w:w="28" w:type="dxa"/>
            </w:tcMar>
            <w:vAlign w:val="center"/>
          </w:tcPr>
          <w:p>
            <w:pPr>
              <w:pStyle w:val="TableContents"/>
              <w:bidi w:val="0"/>
              <w:spacing w:before="0" w:after="283"/>
              <w:jc w:val="right"/>
              <w:rPr/>
            </w:pPr>
            <w:r>
              <w:rPr/>
              <w:t>11,179</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Total paid</w:t>
            </w:r>
          </w:p>
        </w:tc>
        <w:tc>
          <w:tcPr>
            <w:tcW w:w="90" w:type="dxa"/>
            <w:tcBorders/>
            <w:shd w:fill="CCEEFF" w:val="clear"/>
            <w:vAlign w:val="center"/>
          </w:tcPr>
          <w:p>
            <w:pPr>
              <w:pStyle w:val="TableContents"/>
              <w:bidi w:val="0"/>
              <w:spacing w:before="0" w:after="283"/>
              <w:jc w:val="left"/>
              <w:rPr/>
            </w:pPr>
            <w:r>
              <w:rPr/>
              <w:t> </w:t>
            </w:r>
          </w:p>
        </w:tc>
        <w:tc>
          <w:tcPr>
            <w:tcW w:w="3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98"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32" w:type="dxa"/>
            <w:tcBorders>
              <w:bottom w:val="single" w:sz="8" w:space="0" w:color="000000"/>
            </w:tcBorders>
            <w:shd w:fill="CCEEFF" w:val="clear"/>
            <w:tcMar>
              <w:bottom w:w="28" w:type="dxa"/>
            </w:tcMar>
            <w:vAlign w:val="center"/>
          </w:tcPr>
          <w:p>
            <w:pPr>
              <w:pStyle w:val="TableContents"/>
              <w:bidi w:val="0"/>
              <w:spacing w:before="0" w:after="283"/>
              <w:jc w:val="right"/>
              <w:rPr/>
            </w:pPr>
            <w:r>
              <w:rPr/>
              <w:t>16,743</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183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Westminster balances disposed in sale:</w:t>
            </w:r>
          </w:p>
        </w:tc>
        <w:tc>
          <w:tcPr>
            <w:tcW w:w="9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83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Liability for unpaid losses and loss adjustment expenses</w:t>
            </w:r>
          </w:p>
        </w:tc>
        <w:tc>
          <w:tcPr>
            <w:tcW w:w="9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w:t>
            </w:r>
          </w:p>
        </w:tc>
        <w:tc>
          <w:tcPr>
            <w:tcW w:w="198"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1832" w:type="dxa"/>
            <w:tcBorders/>
            <w:vAlign w:val="center"/>
          </w:tcPr>
          <w:p>
            <w:pPr>
              <w:pStyle w:val="TableContents"/>
              <w:bidi w:val="0"/>
              <w:spacing w:before="0" w:after="283"/>
              <w:jc w:val="right"/>
              <w:rPr/>
            </w:pPr>
            <w:r>
              <w:rPr/>
              <w:t>107,508</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Reinsurance recoverables on losses</w:t>
            </w:r>
          </w:p>
        </w:tc>
        <w:tc>
          <w:tcPr>
            <w:tcW w:w="90" w:type="dxa"/>
            <w:tcBorders/>
            <w:shd w:fill="CCEEFF" w:val="clear"/>
            <w:vAlign w:val="center"/>
          </w:tcPr>
          <w:p>
            <w:pPr>
              <w:pStyle w:val="TableContents"/>
              <w:bidi w:val="0"/>
              <w:spacing w:before="0" w:after="283"/>
              <w:jc w:val="left"/>
              <w:rPr/>
            </w:pPr>
            <w:r>
              <w:rPr/>
              <w:t> </w:t>
            </w:r>
          </w:p>
        </w:tc>
        <w:tc>
          <w:tcPr>
            <w:tcW w:w="3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98"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32" w:type="dxa"/>
            <w:tcBorders>
              <w:bottom w:val="single" w:sz="8" w:space="0" w:color="000000"/>
            </w:tcBorders>
            <w:shd w:fill="CCEEFF" w:val="clear"/>
            <w:tcMar>
              <w:bottom w:w="28" w:type="dxa"/>
            </w:tcMar>
            <w:vAlign w:val="center"/>
          </w:tcPr>
          <w:p>
            <w:pPr>
              <w:pStyle w:val="TableContents"/>
              <w:bidi w:val="0"/>
              <w:spacing w:before="0" w:after="283"/>
              <w:jc w:val="right"/>
              <w:rPr/>
            </w:pPr>
            <w:r>
              <w:rPr/>
              <w:t>45,320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Net balance, date of sale</w:t>
            </w:r>
          </w:p>
        </w:tc>
        <w:tc>
          <w:tcPr>
            <w:tcW w:w="90" w:type="dxa"/>
            <w:tcBorders/>
            <w:vAlign w:val="center"/>
          </w:tcPr>
          <w:p>
            <w:pPr>
              <w:pStyle w:val="TableContents"/>
              <w:bidi w:val="0"/>
              <w:spacing w:before="0" w:after="283"/>
              <w:jc w:val="left"/>
              <w:rPr/>
            </w:pPr>
            <w:r>
              <w:rPr/>
              <w:t> </w:t>
            </w:r>
          </w:p>
        </w:tc>
        <w:tc>
          <w:tcPr>
            <w:tcW w:w="375" w:type="dxa"/>
            <w:tcBorders>
              <w:bottom w:val="single" w:sz="8" w:space="0" w:color="000000"/>
            </w:tcBorders>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tcMar>
              <w:bottom w:w="28" w:type="dxa"/>
            </w:tcMar>
            <w:vAlign w:val="center"/>
          </w:tcPr>
          <w:p>
            <w:pPr>
              <w:pStyle w:val="TableContents"/>
              <w:bidi w:val="0"/>
              <w:spacing w:before="0" w:after="283"/>
              <w:jc w:val="right"/>
              <w:rPr/>
            </w:pPr>
            <w:r>
              <w:rPr/>
              <w:t>—</w:t>
            </w:r>
          </w:p>
        </w:tc>
        <w:tc>
          <w:tcPr>
            <w:tcW w:w="198"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375" w:type="dxa"/>
            <w:tcBorders>
              <w:bottom w:val="single" w:sz="8" w:space="0" w:color="000000"/>
            </w:tcBorders>
            <w:tcMar>
              <w:bottom w:w="28" w:type="dxa"/>
            </w:tcMar>
            <w:vAlign w:val="center"/>
          </w:tcPr>
          <w:p>
            <w:pPr>
              <w:pStyle w:val="TableContents"/>
              <w:bidi w:val="0"/>
              <w:spacing w:before="0" w:after="283"/>
              <w:jc w:val="left"/>
              <w:rPr/>
            </w:pPr>
            <w:r>
              <w:rPr/>
              <w:t> </w:t>
            </w:r>
          </w:p>
        </w:tc>
        <w:tc>
          <w:tcPr>
            <w:tcW w:w="1832" w:type="dxa"/>
            <w:tcBorders>
              <w:bottom w:val="single" w:sz="8" w:space="0" w:color="000000"/>
            </w:tcBorders>
            <w:tcMar>
              <w:bottom w:w="28" w:type="dxa"/>
            </w:tcMar>
            <w:vAlign w:val="center"/>
          </w:tcPr>
          <w:p>
            <w:pPr>
              <w:pStyle w:val="TableContents"/>
              <w:bidi w:val="0"/>
              <w:spacing w:before="0" w:after="283"/>
              <w:jc w:val="right"/>
              <w:rPr/>
            </w:pPr>
            <w:r>
              <w:rPr/>
              <w:t>62,188</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98"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83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Balance, end of period:</w:t>
            </w:r>
          </w:p>
        </w:tc>
        <w:tc>
          <w:tcPr>
            <w:tcW w:w="9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183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Liability for unpaid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0"/>
              <w:jc w:val="right"/>
              <w:rPr/>
            </w:pPr>
            <w:r>
              <w:rPr/>
              <w:t>—</w:t>
            </w:r>
          </w:p>
        </w:tc>
        <w:tc>
          <w:tcPr>
            <w:tcW w:w="198"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832"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Reinsurance recoverables on losses</w:t>
            </w:r>
          </w:p>
        </w:tc>
        <w:tc>
          <w:tcPr>
            <w:tcW w:w="90" w:type="dxa"/>
            <w:tcBorders/>
            <w:vAlign w:val="center"/>
          </w:tcPr>
          <w:p>
            <w:pPr>
              <w:pStyle w:val="TableContents"/>
              <w:bidi w:val="0"/>
              <w:spacing w:before="0" w:after="283"/>
              <w:jc w:val="left"/>
              <w:rPr/>
            </w:pPr>
            <w:r>
              <w:rPr/>
              <w:t> </w:t>
            </w:r>
          </w:p>
        </w:tc>
        <w:tc>
          <w:tcPr>
            <w:tcW w:w="375" w:type="dxa"/>
            <w:tcBorders>
              <w:bottom w:val="single" w:sz="8" w:space="0" w:color="000000"/>
            </w:tcBorders>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tcMar>
              <w:bottom w:w="28" w:type="dxa"/>
            </w:tcMar>
            <w:vAlign w:val="center"/>
          </w:tcPr>
          <w:p>
            <w:pPr>
              <w:pStyle w:val="TableContents"/>
              <w:bidi w:val="0"/>
              <w:spacing w:before="0" w:after="0"/>
              <w:jc w:val="right"/>
              <w:rPr/>
            </w:pPr>
            <w:r>
              <w:rPr/>
              <w:t>—</w:t>
            </w:r>
          </w:p>
        </w:tc>
        <w:tc>
          <w:tcPr>
            <w:tcW w:w="198"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375" w:type="dxa"/>
            <w:tcBorders>
              <w:bottom w:val="single" w:sz="8" w:space="0" w:color="000000"/>
            </w:tcBorders>
            <w:tcMar>
              <w:bottom w:w="28" w:type="dxa"/>
            </w:tcMar>
            <w:vAlign w:val="center"/>
          </w:tcPr>
          <w:p>
            <w:pPr>
              <w:pStyle w:val="TableContents"/>
              <w:bidi w:val="0"/>
              <w:spacing w:before="0" w:after="283"/>
              <w:jc w:val="left"/>
              <w:rPr/>
            </w:pPr>
            <w:r>
              <w:rPr/>
              <w:t> </w:t>
            </w:r>
          </w:p>
        </w:tc>
        <w:tc>
          <w:tcPr>
            <w:tcW w:w="1832" w:type="dxa"/>
            <w:tcBorders>
              <w:bottom w:val="single" w:sz="8" w:space="0" w:color="000000"/>
            </w:tcBorders>
            <w:tcMar>
              <w:bottom w:w="28" w:type="dxa"/>
            </w:tcMar>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Net balance, end of period</w:t>
            </w:r>
          </w:p>
        </w:tc>
        <w:tc>
          <w:tcPr>
            <w:tcW w:w="90" w:type="dxa"/>
            <w:tcBorders/>
            <w:shd w:fill="CCEEFF" w:val="clear"/>
            <w:vAlign w:val="center"/>
          </w:tcPr>
          <w:p>
            <w:pPr>
              <w:pStyle w:val="TableContents"/>
              <w:bidi w:val="0"/>
              <w:spacing w:before="0" w:after="283"/>
              <w:jc w:val="left"/>
              <w:rPr/>
            </w:pPr>
            <w:r>
              <w:rPr/>
              <w:t> </w:t>
            </w:r>
          </w:p>
        </w:tc>
        <w:tc>
          <w:tcPr>
            <w:tcW w:w="3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0"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98"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3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83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1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Property and Equipment</w:t>
      </w:r>
    </w:p>
    <w:p>
      <w:pPr>
        <w:pStyle w:val="TextBody"/>
        <w:bidi w:val="0"/>
        <w:spacing w:before="0" w:after="200"/>
        <w:ind w:left="0"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w:t>
      </w:r>
    </w:p>
    <w:tbl>
      <w:tblPr>
        <w:tblW w:w="10205" w:type="dxa"/>
        <w:jc w:val="left"/>
        <w:tblInd w:w="0" w:type="dxa"/>
        <w:tblLayout w:type="fixed"/>
        <w:tblCellMar>
          <w:top w:w="0" w:type="dxa"/>
          <w:left w:w="0" w:type="dxa"/>
          <w:bottom w:w="0" w:type="dxa"/>
          <w:right w:w="0" w:type="dxa"/>
        </w:tblCellMar>
      </w:tblPr>
      <w:tblGrid>
        <w:gridCol w:w="3497"/>
        <w:gridCol w:w="90"/>
        <w:gridCol w:w="355"/>
        <w:gridCol w:w="1650"/>
        <w:gridCol w:w="125"/>
        <w:gridCol w:w="90"/>
        <w:gridCol w:w="346"/>
        <w:gridCol w:w="1599"/>
        <w:gridCol w:w="125"/>
        <w:gridCol w:w="90"/>
        <w:gridCol w:w="2238"/>
      </w:tblGrid>
      <w:tr>
        <w:trPr/>
        <w:tc>
          <w:tcPr>
            <w:tcW w:w="34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8" w:type="dxa"/>
            <w:tcBorders>
              <w:bottom w:val="single" w:sz="8" w:space="0" w:color="000000"/>
            </w:tcBorders>
            <w:tcMar>
              <w:bottom w:w="28" w:type="dxa"/>
            </w:tcMar>
            <w:vAlign w:val="center"/>
          </w:tcPr>
          <w:p>
            <w:pPr>
              <w:pStyle w:val="TableContents"/>
              <w:bidi w:val="0"/>
              <w:spacing w:before="0" w:after="283"/>
              <w:jc w:val="center"/>
              <w:rPr>
                <w:b/>
              </w:rPr>
            </w:pPr>
            <w:r>
              <w:rPr>
                <w:b/>
              </w:rPr>
              <w:t>Estimated Useful Life</w:t>
            </w:r>
          </w:p>
        </w:tc>
      </w:tr>
      <w:tr>
        <w:trPr/>
        <w:tc>
          <w:tcPr>
            <w:tcW w:w="3497" w:type="dxa"/>
            <w:tcBorders/>
            <w:vAlign w:val="center"/>
          </w:tcPr>
          <w:p>
            <w:pPr>
              <w:pStyle w:val="TableContents"/>
              <w:bidi w:val="0"/>
              <w:spacing w:before="0" w:after="283"/>
              <w:jc w:val="left"/>
              <w:rPr/>
            </w:pPr>
            <w:r>
              <w:rPr/>
              <w:t>Cost:</w:t>
            </w:r>
          </w:p>
        </w:tc>
        <w:tc>
          <w:tcPr>
            <w:tcW w:w="90" w:type="dxa"/>
            <w:tcBorders/>
            <w:vAlign w:val="center"/>
          </w:tcPr>
          <w:p>
            <w:pPr>
              <w:pStyle w:val="TableContents"/>
              <w:bidi w:val="0"/>
              <w:spacing w:before="0" w:after="283"/>
              <w:jc w:val="left"/>
              <w:rPr/>
            </w:pPr>
            <w:r>
              <w:rPr/>
              <w:t> </w:t>
            </w:r>
          </w:p>
        </w:tc>
        <w:tc>
          <w:tcPr>
            <w:tcW w:w="200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8" w:type="dxa"/>
            <w:tcBorders/>
            <w:vAlign w:val="center"/>
          </w:tcPr>
          <w:p>
            <w:pPr>
              <w:pStyle w:val="TableContents"/>
              <w:bidi w:val="0"/>
              <w:spacing w:before="0" w:after="283"/>
              <w:jc w:val="right"/>
              <w:rPr/>
            </w:pPr>
            <w:r>
              <w:rPr/>
              <w:t> </w:t>
            </w:r>
          </w:p>
        </w:tc>
      </w:tr>
      <w:tr>
        <w:trPr/>
        <w:tc>
          <w:tcPr>
            <w:tcW w:w="3497" w:type="dxa"/>
            <w:tcBorders/>
            <w:shd w:fill="CCEEFF" w:val="clear"/>
            <w:vAlign w:val="center"/>
          </w:tcPr>
          <w:p>
            <w:pPr>
              <w:pStyle w:val="TableContents"/>
              <w:bidi w:val="0"/>
              <w:spacing w:before="0" w:after="283"/>
              <w:jc w:val="left"/>
              <w:rPr/>
            </w:pPr>
            <w:r>
              <w:rPr/>
              <w:t>Land</w:t>
            </w:r>
          </w:p>
        </w:tc>
        <w:tc>
          <w:tcPr>
            <w:tcW w:w="9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w:t>
            </w:r>
          </w:p>
        </w:tc>
        <w:tc>
          <w:tcPr>
            <w:tcW w:w="1650" w:type="dxa"/>
            <w:tcBorders/>
            <w:shd w:fill="CCEEFF" w:val="clear"/>
            <w:vAlign w:val="center"/>
          </w:tcPr>
          <w:p>
            <w:pPr>
              <w:pStyle w:val="TableContents"/>
              <w:bidi w:val="0"/>
              <w:spacing w:before="0" w:after="283"/>
              <w:jc w:val="right"/>
              <w:rPr/>
            </w:pPr>
            <w:r>
              <w:rPr/>
              <w:t>1,249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1599" w:type="dxa"/>
            <w:tcBorders/>
            <w:shd w:fill="CCEEFF" w:val="clear"/>
            <w:vAlign w:val="center"/>
          </w:tcPr>
          <w:p>
            <w:pPr>
              <w:pStyle w:val="TableContents"/>
              <w:bidi w:val="0"/>
              <w:spacing w:before="0" w:after="283"/>
              <w:jc w:val="right"/>
              <w:rPr/>
            </w:pPr>
            <w:r>
              <w:rPr/>
              <w:t>1,249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8" w:type="dxa"/>
            <w:tcBorders/>
            <w:shd w:fill="CCEEFF" w:val="clear"/>
            <w:vAlign w:val="center"/>
          </w:tcPr>
          <w:p>
            <w:pPr>
              <w:pStyle w:val="TableContents"/>
              <w:bidi w:val="0"/>
              <w:spacing w:before="0" w:after="283"/>
              <w:jc w:val="center"/>
              <w:rPr/>
            </w:pPr>
            <w:r>
              <w:rPr/>
              <w:t>indefinite</w:t>
            </w:r>
          </w:p>
        </w:tc>
      </w:tr>
      <w:tr>
        <w:trPr/>
        <w:tc>
          <w:tcPr>
            <w:tcW w:w="3497" w:type="dxa"/>
            <w:tcBorders/>
            <w:vAlign w:val="center"/>
          </w:tcPr>
          <w:p>
            <w:pPr>
              <w:pStyle w:val="TableContents"/>
              <w:bidi w:val="0"/>
              <w:spacing w:before="0" w:after="283"/>
              <w:jc w:val="left"/>
              <w:rPr/>
            </w:pPr>
            <w:r>
              <w:rPr/>
              <w:t>Building and improvements</w:t>
            </w:r>
          </w:p>
        </w:tc>
        <w:tc>
          <w:tcPr>
            <w:tcW w:w="9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right"/>
              <w:rPr/>
            </w:pPr>
            <w:r>
              <w:rPr/>
              <w:t>12,509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599" w:type="dxa"/>
            <w:tcBorders/>
            <w:vAlign w:val="center"/>
          </w:tcPr>
          <w:p>
            <w:pPr>
              <w:pStyle w:val="TableContents"/>
              <w:bidi w:val="0"/>
              <w:spacing w:before="0" w:after="283"/>
              <w:jc w:val="right"/>
              <w:rPr/>
            </w:pPr>
            <w:r>
              <w:rPr/>
              <w:t>12,497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8" w:type="dxa"/>
            <w:tcBorders/>
            <w:vAlign w:val="center"/>
          </w:tcPr>
          <w:p>
            <w:pPr>
              <w:pStyle w:val="TableContents"/>
              <w:bidi w:val="0"/>
              <w:spacing w:before="0" w:after="283"/>
              <w:jc w:val="center"/>
              <w:rPr/>
            </w:pPr>
            <w:r>
              <w:rPr/>
              <w:t>10 – 43 years</w:t>
            </w:r>
          </w:p>
        </w:tc>
      </w:tr>
      <w:tr>
        <w:trPr/>
        <w:tc>
          <w:tcPr>
            <w:tcW w:w="3497" w:type="dxa"/>
            <w:tcBorders/>
            <w:shd w:fill="CCEEFF" w:val="clear"/>
            <w:vAlign w:val="center"/>
          </w:tcPr>
          <w:p>
            <w:pPr>
              <w:pStyle w:val="TableContents"/>
              <w:bidi w:val="0"/>
              <w:spacing w:before="0" w:after="283"/>
              <w:jc w:val="left"/>
              <w:rPr/>
            </w:pPr>
            <w:r>
              <w:rPr/>
              <w:t>Electronic data processing equipment</w:t>
            </w:r>
          </w:p>
        </w:tc>
        <w:tc>
          <w:tcPr>
            <w:tcW w:w="9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1,491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1,444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8" w:type="dxa"/>
            <w:tcBorders/>
            <w:shd w:fill="CCEEFF" w:val="clear"/>
            <w:vAlign w:val="center"/>
          </w:tcPr>
          <w:p>
            <w:pPr>
              <w:pStyle w:val="TableContents"/>
              <w:bidi w:val="0"/>
              <w:spacing w:before="0" w:after="283"/>
              <w:jc w:val="center"/>
              <w:rPr/>
            </w:pPr>
            <w:r>
              <w:rPr/>
              <w:t>5 – 7 years</w:t>
            </w:r>
          </w:p>
        </w:tc>
      </w:tr>
      <w:tr>
        <w:trPr/>
        <w:tc>
          <w:tcPr>
            <w:tcW w:w="3497" w:type="dxa"/>
            <w:tcBorders/>
            <w:vAlign w:val="center"/>
          </w:tcPr>
          <w:p>
            <w:pPr>
              <w:pStyle w:val="TableContents"/>
              <w:bidi w:val="0"/>
              <w:spacing w:before="0" w:after="283"/>
              <w:jc w:val="left"/>
              <w:rPr/>
            </w:pPr>
            <w:r>
              <w:rPr/>
              <w:t>Furniture and fixtures</w:t>
            </w:r>
          </w:p>
        </w:tc>
        <w:tc>
          <w:tcPr>
            <w:tcW w:w="9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right"/>
              <w:rPr/>
            </w:pPr>
            <w:r>
              <w:rPr/>
              <w:t>2,684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599" w:type="dxa"/>
            <w:tcBorders/>
            <w:vAlign w:val="center"/>
          </w:tcPr>
          <w:p>
            <w:pPr>
              <w:pStyle w:val="TableContents"/>
              <w:bidi w:val="0"/>
              <w:spacing w:before="0" w:after="283"/>
              <w:jc w:val="right"/>
              <w:rPr/>
            </w:pPr>
            <w:r>
              <w:rPr/>
              <w:t>2,762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8" w:type="dxa"/>
            <w:tcBorders/>
            <w:vAlign w:val="center"/>
          </w:tcPr>
          <w:p>
            <w:pPr>
              <w:pStyle w:val="TableContents"/>
              <w:bidi w:val="0"/>
              <w:spacing w:before="0" w:after="283"/>
              <w:jc w:val="center"/>
              <w:rPr/>
            </w:pPr>
            <w:r>
              <w:rPr/>
              <w:t>5 – 7 years</w:t>
            </w:r>
          </w:p>
        </w:tc>
      </w:tr>
      <w:tr>
        <w:trPr/>
        <w:tc>
          <w:tcPr>
            <w:tcW w:w="3497" w:type="dxa"/>
            <w:tcBorders/>
            <w:shd w:fill="CCEEFF" w:val="clear"/>
            <w:vAlign w:val="center"/>
          </w:tcPr>
          <w:p>
            <w:pPr>
              <w:pStyle w:val="TableContents"/>
              <w:bidi w:val="0"/>
              <w:spacing w:before="0" w:after="283"/>
              <w:jc w:val="left"/>
              <w:rPr/>
            </w:pPr>
            <w:r>
              <w:rPr/>
              <w:t>Automobiles</w:t>
            </w:r>
          </w:p>
        </w:tc>
        <w:tc>
          <w:tcPr>
            <w:tcW w:w="90" w:type="dxa"/>
            <w:tcBorders/>
            <w:shd w:fill="CCEEFF" w:val="clear"/>
            <w:vAlign w:val="center"/>
          </w:tcPr>
          <w:p>
            <w:pPr>
              <w:pStyle w:val="TableContents"/>
              <w:bidi w:val="0"/>
              <w:spacing w:before="0" w:after="283"/>
              <w:jc w:val="left"/>
              <w:rPr/>
            </w:pPr>
            <w:r>
              <w:rPr/>
              <w:t> </w:t>
            </w:r>
          </w:p>
        </w:tc>
        <w:tc>
          <w:tcPr>
            <w:tcW w:w="3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50" w:type="dxa"/>
            <w:tcBorders>
              <w:bottom w:val="single" w:sz="8" w:space="0" w:color="000000"/>
            </w:tcBorders>
            <w:shd w:fill="CCEEFF" w:val="clear"/>
            <w:tcMar>
              <w:bottom w:w="28" w:type="dxa"/>
            </w:tcMar>
            <w:vAlign w:val="center"/>
          </w:tcPr>
          <w:p>
            <w:pPr>
              <w:pStyle w:val="TableContents"/>
              <w:bidi w:val="0"/>
              <w:spacing w:before="0" w:after="283"/>
              <w:jc w:val="right"/>
              <w:rPr/>
            </w:pPr>
            <w:r>
              <w:rPr/>
              <w:t>1,317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99" w:type="dxa"/>
            <w:tcBorders>
              <w:bottom w:val="single" w:sz="8" w:space="0" w:color="000000"/>
            </w:tcBorders>
            <w:shd w:fill="CCEEFF" w:val="clear"/>
            <w:tcMar>
              <w:bottom w:w="28" w:type="dxa"/>
            </w:tcMar>
            <w:vAlign w:val="center"/>
          </w:tcPr>
          <w:p>
            <w:pPr>
              <w:pStyle w:val="TableContents"/>
              <w:bidi w:val="0"/>
              <w:spacing w:before="0" w:after="283"/>
              <w:jc w:val="right"/>
              <w:rPr/>
            </w:pPr>
            <w:r>
              <w:rPr/>
              <w:t>1,280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8" w:type="dxa"/>
            <w:tcBorders/>
            <w:shd w:fill="CCEEFF" w:val="clear"/>
            <w:vAlign w:val="center"/>
          </w:tcPr>
          <w:p>
            <w:pPr>
              <w:pStyle w:val="TableContents"/>
              <w:bidi w:val="0"/>
              <w:spacing w:before="0" w:after="283"/>
              <w:jc w:val="center"/>
              <w:rPr/>
            </w:pPr>
            <w:r>
              <w:rPr/>
              <w:t>2 – 3 years</w:t>
            </w:r>
          </w:p>
        </w:tc>
      </w:tr>
      <w:tr>
        <w:trPr/>
        <w:tc>
          <w:tcPr>
            <w:tcW w:w="3497" w:type="dxa"/>
            <w:tcBorders/>
            <w:vAlign w:val="center"/>
          </w:tcPr>
          <w:p>
            <w:pPr>
              <w:pStyle w:val="TableContents"/>
              <w:bidi w:val="0"/>
              <w:spacing w:before="0" w:after="283"/>
              <w:jc w:val="left"/>
              <w:rPr/>
            </w:pPr>
            <w:r>
              <w:rPr/>
              <w:t>Gross cost</w:t>
            </w:r>
          </w:p>
        </w:tc>
        <w:tc>
          <w:tcPr>
            <w:tcW w:w="9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right"/>
              <w:rPr/>
            </w:pPr>
            <w:r>
              <w:rPr/>
              <w:t>19,250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599" w:type="dxa"/>
            <w:tcBorders/>
            <w:vAlign w:val="center"/>
          </w:tcPr>
          <w:p>
            <w:pPr>
              <w:pStyle w:val="TableContents"/>
              <w:bidi w:val="0"/>
              <w:spacing w:before="0" w:after="283"/>
              <w:jc w:val="right"/>
              <w:rPr/>
            </w:pPr>
            <w:r>
              <w:rPr/>
              <w:t>19,232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8" w:type="dxa"/>
            <w:tcBorders/>
            <w:vAlign w:val="center"/>
          </w:tcPr>
          <w:p>
            <w:pPr>
              <w:pStyle w:val="TableContents"/>
              <w:bidi w:val="0"/>
              <w:spacing w:before="0" w:after="283"/>
              <w:jc w:val="right"/>
              <w:rPr/>
            </w:pPr>
            <w:r>
              <w:rPr/>
              <w:t> </w:t>
            </w:r>
          </w:p>
        </w:tc>
      </w:tr>
      <w:tr>
        <w:trPr/>
        <w:tc>
          <w:tcPr>
            <w:tcW w:w="349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8" w:type="dxa"/>
            <w:tcBorders/>
            <w:shd w:fill="CCEEFF" w:val="clear"/>
            <w:vAlign w:val="center"/>
          </w:tcPr>
          <w:p>
            <w:pPr>
              <w:pStyle w:val="TableContents"/>
              <w:bidi w:val="0"/>
              <w:spacing w:before="0" w:after="283"/>
              <w:jc w:val="right"/>
              <w:rPr/>
            </w:pPr>
            <w:r>
              <w:rPr/>
              <w:t> </w:t>
            </w:r>
          </w:p>
        </w:tc>
      </w:tr>
      <w:tr>
        <w:trPr/>
        <w:tc>
          <w:tcPr>
            <w:tcW w:w="3497" w:type="dxa"/>
            <w:tcBorders/>
            <w:vAlign w:val="center"/>
          </w:tcPr>
          <w:p>
            <w:pPr>
              <w:pStyle w:val="TableContents"/>
              <w:bidi w:val="0"/>
              <w:spacing w:before="0" w:after="283"/>
              <w:jc w:val="left"/>
              <w:rPr/>
            </w:pPr>
            <w:r>
              <w:rPr/>
              <w:t>Accumulated depreciation</w:t>
            </w:r>
          </w:p>
        </w:tc>
        <w:tc>
          <w:tcPr>
            <w:tcW w:w="90" w:type="dxa"/>
            <w:tcBorders/>
            <w:vAlign w:val="center"/>
          </w:tcPr>
          <w:p>
            <w:pPr>
              <w:pStyle w:val="TableContents"/>
              <w:bidi w:val="0"/>
              <w:spacing w:before="0" w:after="283"/>
              <w:jc w:val="left"/>
              <w:rPr/>
            </w:pPr>
            <w:r>
              <w:rPr/>
              <w:t> </w:t>
            </w:r>
          </w:p>
        </w:tc>
        <w:tc>
          <w:tcPr>
            <w:tcW w:w="355" w:type="dxa"/>
            <w:tcBorders>
              <w:bottom w:val="single" w:sz="8" w:space="0" w:color="000000"/>
            </w:tcBorders>
            <w:tcMar>
              <w:bottom w:w="28" w:type="dxa"/>
            </w:tcMar>
            <w:vAlign w:val="center"/>
          </w:tcPr>
          <w:p>
            <w:pPr>
              <w:pStyle w:val="TableContents"/>
              <w:bidi w:val="0"/>
              <w:spacing w:before="0" w:after="283"/>
              <w:jc w:val="left"/>
              <w:rPr/>
            </w:pPr>
            <w:r>
              <w:rPr/>
              <w:t> </w:t>
            </w:r>
          </w:p>
        </w:tc>
        <w:tc>
          <w:tcPr>
            <w:tcW w:w="1650" w:type="dxa"/>
            <w:tcBorders>
              <w:bottom w:val="single" w:sz="8" w:space="0" w:color="000000"/>
            </w:tcBorders>
            <w:tcMar>
              <w:bottom w:w="28" w:type="dxa"/>
            </w:tcMar>
            <w:vAlign w:val="center"/>
          </w:tcPr>
          <w:p>
            <w:pPr>
              <w:pStyle w:val="TableContents"/>
              <w:bidi w:val="0"/>
              <w:spacing w:before="0" w:after="283"/>
              <w:jc w:val="right"/>
              <w:rPr/>
            </w:pPr>
            <w:r>
              <w:rPr/>
              <w:t>(12,024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46" w:type="dxa"/>
            <w:tcBorders>
              <w:bottom w:val="single" w:sz="8" w:space="0" w:color="000000"/>
            </w:tcBorders>
            <w:tcMar>
              <w:bottom w:w="28" w:type="dxa"/>
            </w:tcMar>
            <w:vAlign w:val="center"/>
          </w:tcPr>
          <w:p>
            <w:pPr>
              <w:pStyle w:val="TableContents"/>
              <w:bidi w:val="0"/>
              <w:spacing w:before="0" w:after="283"/>
              <w:jc w:val="left"/>
              <w:rPr/>
            </w:pPr>
            <w:r>
              <w:rPr/>
              <w:t> </w:t>
            </w:r>
          </w:p>
        </w:tc>
        <w:tc>
          <w:tcPr>
            <w:tcW w:w="1599" w:type="dxa"/>
            <w:tcBorders>
              <w:bottom w:val="single" w:sz="8" w:space="0" w:color="000000"/>
            </w:tcBorders>
            <w:tcMar>
              <w:bottom w:w="28" w:type="dxa"/>
            </w:tcMar>
            <w:vAlign w:val="center"/>
          </w:tcPr>
          <w:p>
            <w:pPr>
              <w:pStyle w:val="TableContents"/>
              <w:bidi w:val="0"/>
              <w:spacing w:before="0" w:after="283"/>
              <w:jc w:val="right"/>
              <w:rPr/>
            </w:pPr>
            <w:r>
              <w:rPr/>
              <w:t>(11,685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38" w:type="dxa"/>
            <w:tcBorders/>
            <w:vAlign w:val="center"/>
          </w:tcPr>
          <w:p>
            <w:pPr>
              <w:pStyle w:val="TableContents"/>
              <w:bidi w:val="0"/>
              <w:spacing w:before="0" w:after="283"/>
              <w:jc w:val="right"/>
              <w:rPr/>
            </w:pPr>
            <w:r>
              <w:rPr/>
              <w:t> </w:t>
            </w:r>
          </w:p>
        </w:tc>
      </w:tr>
      <w:tr>
        <w:trPr/>
        <w:tc>
          <w:tcPr>
            <w:tcW w:w="3497" w:type="dxa"/>
            <w:tcBorders/>
            <w:shd w:fill="CCEEFF" w:val="clear"/>
            <w:vAlign w:val="center"/>
          </w:tcPr>
          <w:p>
            <w:pPr>
              <w:pStyle w:val="TableContents"/>
              <w:bidi w:val="0"/>
              <w:spacing w:before="0" w:after="283"/>
              <w:jc w:val="left"/>
              <w:rPr/>
            </w:pPr>
            <w:r>
              <w:rPr/>
              <w:t>Total property and equipment, net</w:t>
            </w:r>
          </w:p>
        </w:tc>
        <w:tc>
          <w:tcPr>
            <w:tcW w:w="90" w:type="dxa"/>
            <w:tcBorders/>
            <w:shd w:fill="CCEEFF" w:val="clear"/>
            <w:vAlign w:val="center"/>
          </w:tcPr>
          <w:p>
            <w:pPr>
              <w:pStyle w:val="TableContents"/>
              <w:bidi w:val="0"/>
              <w:spacing w:before="0" w:after="283"/>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50" w:type="dxa"/>
            <w:tcBorders>
              <w:bottom w:val="double" w:sz="6" w:space="0" w:color="000000"/>
            </w:tcBorders>
            <w:shd w:fill="CCEEFF" w:val="clear"/>
            <w:tcMar>
              <w:bottom w:w="28" w:type="dxa"/>
            </w:tcMar>
            <w:vAlign w:val="center"/>
          </w:tcPr>
          <w:p>
            <w:pPr>
              <w:pStyle w:val="TableContents"/>
              <w:bidi w:val="0"/>
              <w:spacing w:before="0" w:after="283"/>
              <w:jc w:val="right"/>
              <w:rPr/>
            </w:pPr>
            <w:r>
              <w:rPr/>
              <w:t>7,226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99" w:type="dxa"/>
            <w:tcBorders>
              <w:bottom w:val="double" w:sz="6" w:space="0" w:color="000000"/>
            </w:tcBorders>
            <w:shd w:fill="CCEEFF" w:val="clear"/>
            <w:tcMar>
              <w:bottom w:w="28" w:type="dxa"/>
            </w:tcMar>
            <w:vAlign w:val="center"/>
          </w:tcPr>
          <w:p>
            <w:pPr>
              <w:pStyle w:val="TableContents"/>
              <w:bidi w:val="0"/>
              <w:spacing w:before="0" w:after="283"/>
              <w:jc w:val="right"/>
              <w:rPr/>
            </w:pPr>
            <w:r>
              <w:rPr/>
              <w:t>7,547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8" w:type="dxa"/>
            <w:tcBorders/>
            <w:shd w:fill="CCEEFF" w:val="clear"/>
            <w:vAlign w:val="center"/>
          </w:tcPr>
          <w:p>
            <w:pPr>
              <w:pStyle w:val="TableContents"/>
              <w:bidi w:val="0"/>
              <w:spacing w:before="0" w:after="283"/>
              <w:jc w:val="right"/>
              <w:rPr/>
            </w:pPr>
            <w:r>
              <w:rPr/>
              <w:t> </w:t>
            </w:r>
          </w:p>
        </w:tc>
      </w:tr>
    </w:tbl>
    <w:p>
      <w:pPr>
        <w:pStyle w:val="TextBody"/>
        <w:bidi w:val="0"/>
        <w:jc w:val="left"/>
        <w:rPr>
          <w:caps w:val="false"/>
          <w:smallCaps w:val="false"/>
        </w:rPr>
      </w:pPr>
      <w:r>
        <w:rPr>
          <w:caps w:val="false"/>
          <w:smallCaps w:val="false"/>
        </w:rPr>
        <w:t> </w:t>
      </w:r>
    </w:p>
    <w:p>
      <w:pPr>
        <w:pStyle w:val="TextBody"/>
        <w:bidi w:val="0"/>
        <w:spacing w:before="0" w:after="200"/>
        <w:ind w:left="0"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$175 and $186 for the three months ended September 30, 2025 and 2024, respectively, and $519 and $616 for the nine months ended September 30, 2025 and 2024, respectively. Depreciation expense for continuing operations was $175 and $186 for the three months ended September 30, 2025 and 2024, respectively, and $519 and $527 for the nine months ended September 30, 2025 and 2024, respectively.</w:t>
      </w:r>
    </w:p>
    <w:p>
      <w:pPr>
        <w:pStyle w:val="TextBody"/>
        <w:bidi w:val="0"/>
        <w:spacing w:before="0" w:after="200"/>
        <w:ind w:left="0" w:right="1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Goodwill and Other Intangibles</w:t>
      </w:r>
    </w:p>
    <w:p>
      <w:pPr>
        <w:pStyle w:val="TextBody"/>
        <w:bidi w:val="0"/>
        <w:spacing w:before="0" w:after="200"/>
        <w:ind w:left="0" w:right="15"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200"/>
        <w:ind w:left="0"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carrying amount of the Company’s goodwill and related impairment by segment:</w:t>
      </w:r>
    </w:p>
    <w:tbl>
      <w:tblPr>
        <w:tblW w:w="10205" w:type="dxa"/>
        <w:jc w:val="left"/>
        <w:tblInd w:w="0" w:type="dxa"/>
        <w:tblLayout w:type="fixed"/>
        <w:tblCellMar>
          <w:top w:w="0" w:type="dxa"/>
          <w:left w:w="0" w:type="dxa"/>
          <w:bottom w:w="0" w:type="dxa"/>
          <w:right w:w="0" w:type="dxa"/>
        </w:tblCellMar>
      </w:tblPr>
      <w:tblGrid>
        <w:gridCol w:w="1686"/>
        <w:gridCol w:w="90"/>
        <w:gridCol w:w="561"/>
        <w:gridCol w:w="959"/>
        <w:gridCol w:w="114"/>
        <w:gridCol w:w="114"/>
        <w:gridCol w:w="478"/>
        <w:gridCol w:w="817"/>
        <w:gridCol w:w="114"/>
        <w:gridCol w:w="114"/>
        <w:gridCol w:w="320"/>
        <w:gridCol w:w="368"/>
        <w:gridCol w:w="90"/>
        <w:gridCol w:w="90"/>
        <w:gridCol w:w="309"/>
        <w:gridCol w:w="1211"/>
        <w:gridCol w:w="132"/>
        <w:gridCol w:w="95"/>
        <w:gridCol w:w="478"/>
        <w:gridCol w:w="817"/>
        <w:gridCol w:w="95"/>
        <w:gridCol w:w="95"/>
        <w:gridCol w:w="179"/>
        <w:gridCol w:w="704"/>
        <w:gridCol w:w="175"/>
      </w:tblGrid>
      <w:tr>
        <w:trPr/>
        <w:tc>
          <w:tcPr>
            <w:tcW w:w="16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9"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1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 2024</w:t>
            </w:r>
          </w:p>
        </w:tc>
        <w:tc>
          <w:tcPr>
            <w:tcW w:w="175" w:type="dxa"/>
            <w:tcBorders/>
            <w:vAlign w:val="center"/>
          </w:tcPr>
          <w:p>
            <w:pPr>
              <w:pStyle w:val="TableContents"/>
              <w:bidi w:val="0"/>
              <w:spacing w:before="0" w:after="283"/>
              <w:jc w:val="left"/>
              <w:rPr/>
            </w:pPr>
            <w:r>
              <w:rPr/>
              <w:t> </w:t>
            </w:r>
          </w:p>
        </w:tc>
      </w:tr>
      <w:tr>
        <w:trPr/>
        <w:tc>
          <w:tcPr>
            <w:tcW w:w="168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Non-Standard</w:t>
              <w:br/>
              <w:t>Auto</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Commercial</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6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Non-Standard</w:t>
              <w:br/>
              <w:t>Auto</w:t>
            </w:r>
          </w:p>
        </w:tc>
        <w:tc>
          <w:tcPr>
            <w:tcW w:w="13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Commercial</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75" w:type="dxa"/>
            <w:tcBorders/>
            <w:vAlign w:val="center"/>
          </w:tcPr>
          <w:p>
            <w:pPr>
              <w:pStyle w:val="TableContents"/>
              <w:bidi w:val="0"/>
              <w:spacing w:before="0" w:after="283"/>
              <w:jc w:val="left"/>
              <w:rPr/>
            </w:pPr>
            <w:r>
              <w:rPr/>
              <w:t> </w:t>
            </w:r>
          </w:p>
        </w:tc>
      </w:tr>
      <w:tr>
        <w:trPr/>
        <w:tc>
          <w:tcPr>
            <w:tcW w:w="1686" w:type="dxa"/>
            <w:tcBorders/>
            <w:shd w:fill="CCEEFF" w:val="clear"/>
            <w:vAlign w:val="center"/>
          </w:tcPr>
          <w:p>
            <w:pPr>
              <w:pStyle w:val="TableContents"/>
              <w:bidi w:val="0"/>
              <w:spacing w:before="0" w:after="283"/>
              <w:jc w:val="left"/>
              <w:rPr/>
            </w:pPr>
            <w:r>
              <w:rPr/>
              <w:t>Goodwill, beginning of period</w:t>
            </w:r>
          </w:p>
        </w:tc>
        <w:tc>
          <w:tcPr>
            <w:tcW w:w="90"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w:t>
            </w:r>
          </w:p>
        </w:tc>
        <w:tc>
          <w:tcPr>
            <w:tcW w:w="959" w:type="dxa"/>
            <w:tcBorders/>
            <w:shd w:fill="CCEEFF" w:val="clear"/>
            <w:vAlign w:val="center"/>
          </w:tcPr>
          <w:p>
            <w:pPr>
              <w:pStyle w:val="TableContents"/>
              <w:bidi w:val="0"/>
              <w:spacing w:before="0" w:after="0"/>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w:t>
            </w:r>
          </w:p>
        </w:tc>
        <w:tc>
          <w:tcPr>
            <w:tcW w:w="817" w:type="dxa"/>
            <w:tcBorders/>
            <w:shd w:fill="CCEEFF" w:val="clear"/>
            <w:vAlign w:val="center"/>
          </w:tcPr>
          <w:p>
            <w:pPr>
              <w:pStyle w:val="TableContents"/>
              <w:bidi w:val="0"/>
              <w:spacing w:before="0" w:after="0"/>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36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2,628</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w:t>
            </w:r>
          </w:p>
        </w:tc>
        <w:tc>
          <w:tcPr>
            <w:tcW w:w="817"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2,628</w:t>
            </w:r>
          </w:p>
        </w:tc>
        <w:tc>
          <w:tcPr>
            <w:tcW w:w="175" w:type="dxa"/>
            <w:tcBorders/>
            <w:shd w:fill="CCEEFF" w:val="clear"/>
            <w:vAlign w:val="center"/>
          </w:tcPr>
          <w:p>
            <w:pPr>
              <w:pStyle w:val="TableContents"/>
              <w:bidi w:val="0"/>
              <w:spacing w:before="0" w:after="283"/>
              <w:jc w:val="left"/>
              <w:rPr/>
            </w:pPr>
            <w:r>
              <w:rPr/>
              <w:t> </w:t>
            </w:r>
          </w:p>
        </w:tc>
      </w:tr>
      <w:tr>
        <w:trPr/>
        <w:tc>
          <w:tcPr>
            <w:tcW w:w="1686" w:type="dxa"/>
            <w:tcBorders/>
            <w:vAlign w:val="center"/>
          </w:tcPr>
          <w:p>
            <w:pPr>
              <w:pStyle w:val="TableContents"/>
              <w:bidi w:val="0"/>
              <w:spacing w:before="0" w:after="283"/>
              <w:jc w:val="left"/>
              <w:rPr/>
            </w:pPr>
            <w:r>
              <w:rPr/>
              <w:t>Impairment recognized during the period</w:t>
            </w:r>
          </w:p>
        </w:tc>
        <w:tc>
          <w:tcPr>
            <w:tcW w:w="90" w:type="dxa"/>
            <w:tcBorders/>
            <w:vAlign w:val="center"/>
          </w:tcPr>
          <w:p>
            <w:pPr>
              <w:pStyle w:val="TableContents"/>
              <w:bidi w:val="0"/>
              <w:spacing w:before="0" w:after="283"/>
              <w:jc w:val="left"/>
              <w:rPr/>
            </w:pPr>
            <w:r>
              <w:rPr/>
              <w:t> </w:t>
            </w:r>
          </w:p>
        </w:tc>
        <w:tc>
          <w:tcPr>
            <w:tcW w:w="561" w:type="dxa"/>
            <w:tcBorders>
              <w:bottom w:val="single" w:sz="8" w:space="0" w:color="000000"/>
            </w:tcBorders>
            <w:tcMar>
              <w:bottom w:w="28" w:type="dxa"/>
            </w:tcMar>
            <w:vAlign w:val="center"/>
          </w:tcPr>
          <w:p>
            <w:pPr>
              <w:pStyle w:val="TableContents"/>
              <w:bidi w:val="0"/>
              <w:spacing w:before="0" w:after="283"/>
              <w:jc w:val="left"/>
              <w:rPr/>
            </w:pPr>
            <w:r>
              <w:rPr/>
              <w:t> </w:t>
            </w:r>
          </w:p>
        </w:tc>
        <w:tc>
          <w:tcPr>
            <w:tcW w:w="959" w:type="dxa"/>
            <w:tcBorders>
              <w:bottom w:val="single" w:sz="8" w:space="0" w:color="000000"/>
            </w:tcBorders>
            <w:tcMar>
              <w:bottom w:w="28" w:type="dxa"/>
            </w:tcMar>
            <w:vAlign w:val="center"/>
          </w:tcPr>
          <w:p>
            <w:pPr>
              <w:pStyle w:val="TableContents"/>
              <w:bidi w:val="0"/>
              <w:spacing w:before="0" w:after="0"/>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478" w:type="dxa"/>
            <w:tcBorders>
              <w:bottom w:val="single" w:sz="8" w:space="0" w:color="000000"/>
            </w:tcBorders>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tcMar>
              <w:bottom w:w="28" w:type="dxa"/>
            </w:tcMar>
            <w:vAlign w:val="center"/>
          </w:tcPr>
          <w:p>
            <w:pPr>
              <w:pStyle w:val="TableContents"/>
              <w:bidi w:val="0"/>
              <w:spacing w:before="0" w:after="0"/>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320" w:type="dxa"/>
            <w:tcBorders>
              <w:bottom w:val="single" w:sz="8" w:space="0" w:color="000000"/>
            </w:tcBorders>
            <w:tcMar>
              <w:bottom w:w="28" w:type="dxa"/>
            </w:tcMar>
            <w:vAlign w:val="center"/>
          </w:tcPr>
          <w:p>
            <w:pPr>
              <w:pStyle w:val="TableContents"/>
              <w:bidi w:val="0"/>
              <w:spacing w:before="0" w:after="283"/>
              <w:jc w:val="left"/>
              <w:rPr/>
            </w:pPr>
            <w:r>
              <w:rPr/>
              <w:t> </w:t>
            </w:r>
          </w:p>
        </w:tc>
        <w:tc>
          <w:tcPr>
            <w:tcW w:w="368" w:type="dxa"/>
            <w:tcBorders>
              <w:bottom w:val="single" w:sz="8"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9" w:type="dxa"/>
            <w:tcBorders>
              <w:bottom w:val="single" w:sz="8" w:space="0" w:color="000000"/>
            </w:tcBorders>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tcMar>
              <w:bottom w:w="28" w:type="dxa"/>
            </w:tcMar>
            <w:vAlign w:val="center"/>
          </w:tcPr>
          <w:p>
            <w:pPr>
              <w:pStyle w:val="TableContents"/>
              <w:bidi w:val="0"/>
              <w:spacing w:before="0" w:after="283"/>
              <w:jc w:val="right"/>
              <w:rPr/>
            </w:pPr>
            <w:r>
              <w:rPr/>
              <w:t>(2,628</w:t>
            </w:r>
          </w:p>
        </w:tc>
        <w:tc>
          <w:tcPr>
            <w:tcW w:w="132" w:type="dxa"/>
            <w:tcBorders/>
            <w:vAlign w:val="center"/>
          </w:tcPr>
          <w:p>
            <w:pPr>
              <w:pStyle w:val="TableContents"/>
              <w:bidi w:val="0"/>
              <w:spacing w:before="0" w:after="283"/>
              <w:jc w:val="left"/>
              <w:rPr/>
            </w:pPr>
            <w:r>
              <w:rPr/>
              <w:t>)</w:t>
            </w:r>
          </w:p>
        </w:tc>
        <w:tc>
          <w:tcPr>
            <w:tcW w:w="95" w:type="dxa"/>
            <w:tcBorders/>
            <w:vAlign w:val="center"/>
          </w:tcPr>
          <w:p>
            <w:pPr>
              <w:pStyle w:val="TableContents"/>
              <w:bidi w:val="0"/>
              <w:spacing w:before="0" w:after="283"/>
              <w:jc w:val="left"/>
              <w:rPr/>
            </w:pPr>
            <w:r>
              <w:rPr/>
              <w:t> </w:t>
            </w:r>
          </w:p>
        </w:tc>
        <w:tc>
          <w:tcPr>
            <w:tcW w:w="478" w:type="dxa"/>
            <w:tcBorders>
              <w:bottom w:val="single" w:sz="8" w:space="0" w:color="000000"/>
            </w:tcBorders>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79" w:type="dxa"/>
            <w:tcBorders>
              <w:bottom w:val="single" w:sz="8" w:space="0" w:color="000000"/>
            </w:tcBorders>
            <w:tcMar>
              <w:bottom w:w="28" w:type="dxa"/>
            </w:tcMar>
            <w:vAlign w:val="center"/>
          </w:tcPr>
          <w:p>
            <w:pPr>
              <w:pStyle w:val="TableContents"/>
              <w:bidi w:val="0"/>
              <w:spacing w:before="0" w:after="283"/>
              <w:jc w:val="left"/>
              <w:rPr/>
            </w:pPr>
            <w:r>
              <w:rPr/>
              <w:t> </w:t>
            </w:r>
          </w:p>
        </w:tc>
        <w:tc>
          <w:tcPr>
            <w:tcW w:w="704" w:type="dxa"/>
            <w:tcBorders>
              <w:bottom w:val="single" w:sz="8" w:space="0" w:color="000000"/>
            </w:tcBorders>
            <w:tcMar>
              <w:bottom w:w="28" w:type="dxa"/>
            </w:tcMar>
            <w:vAlign w:val="center"/>
          </w:tcPr>
          <w:p>
            <w:pPr>
              <w:pStyle w:val="TableContents"/>
              <w:bidi w:val="0"/>
              <w:spacing w:before="0" w:after="283"/>
              <w:jc w:val="right"/>
              <w:rPr/>
            </w:pPr>
            <w:r>
              <w:rPr/>
              <w:t>(2,628</w:t>
            </w:r>
          </w:p>
        </w:tc>
        <w:tc>
          <w:tcPr>
            <w:tcW w:w="175" w:type="dxa"/>
            <w:tcBorders/>
            <w:vAlign w:val="center"/>
          </w:tcPr>
          <w:p>
            <w:pPr>
              <w:pStyle w:val="TableContents"/>
              <w:bidi w:val="0"/>
              <w:spacing w:before="0" w:after="283"/>
              <w:jc w:val="left"/>
              <w:rPr/>
            </w:pPr>
            <w:r>
              <w:rPr/>
              <w:t>)</w:t>
            </w:r>
          </w:p>
        </w:tc>
      </w:tr>
      <w:tr>
        <w:trPr/>
        <w:tc>
          <w:tcPr>
            <w:tcW w:w="1686" w:type="dxa"/>
            <w:tcBorders/>
            <w:shd w:fill="CCEEFF" w:val="clear"/>
            <w:vAlign w:val="center"/>
          </w:tcPr>
          <w:p>
            <w:pPr>
              <w:pStyle w:val="TableContents"/>
              <w:bidi w:val="0"/>
              <w:spacing w:before="0" w:after="283"/>
              <w:jc w:val="left"/>
              <w:rPr/>
            </w:pPr>
            <w:r>
              <w:rPr/>
              <w:t>Goodwill, end of period</w:t>
            </w:r>
          </w:p>
        </w:tc>
        <w:tc>
          <w:tcPr>
            <w:tcW w:w="90" w:type="dxa"/>
            <w:tcBorders/>
            <w:shd w:fill="CCEEFF" w:val="clear"/>
            <w:vAlign w:val="center"/>
          </w:tcPr>
          <w:p>
            <w:pPr>
              <w:pStyle w:val="TableContents"/>
              <w:bidi w:val="0"/>
              <w:spacing w:before="0" w:after="283"/>
              <w:jc w:val="left"/>
              <w:rPr/>
            </w:pPr>
            <w:r>
              <w:rPr/>
              <w:t> </w:t>
            </w:r>
          </w:p>
        </w:tc>
        <w:tc>
          <w:tcPr>
            <w:tcW w:w="5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9"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4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32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68"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1"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4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4"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75" w:type="dxa"/>
            <w:tcBorders/>
            <w:shd w:fill="CCEEFF" w:val="clear"/>
            <w:vAlign w:val="center"/>
          </w:tcPr>
          <w:p>
            <w:pPr>
              <w:pStyle w:val="TableContents"/>
              <w:bidi w:val="0"/>
              <w:spacing w:before="0" w:after="283"/>
              <w:jc w:val="left"/>
              <w:rPr/>
            </w:pPr>
            <w:r>
              <w:rPr/>
              <w:t> </w:t>
            </w:r>
          </w:p>
        </w:tc>
      </w:tr>
    </w:tbl>
    <w:p>
      <w:pPr>
        <w:pStyle w:val="TextBody"/>
        <w:bidi w:val="0"/>
        <w:spacing w:before="200" w:after="200"/>
        <w:ind w:left="14" w:right="14" w:hanging="1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performed a quantitative assessment of the goodwill related to the Primero acquisition during the fourth quarter of 2024, which is allocated to our Non-Standard Auto segment, and concluded that the goodwill was fully impaired as of December 31, 2024, resulting in a non-cash impairment charge of $2,628. See the Part II, Item 8, Note 10 “Goodwill and Other Intangibles” section of the 2024 Annual Report for additional information.</w:t>
      </w:r>
    </w:p>
    <w:p>
      <w:pPr>
        <w:pStyle w:val="TextBody"/>
        <w:bidi w:val="0"/>
        <w:spacing w:before="0" w:after="20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Intangible Assets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and net carrying value of the Company’s other intangible assets were $100 at September 30, 2025, and December 31, 2024, and consist of the state insurance license for Direct Auto, which has an indefinite life.</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determined during our reviews that the other indefinite-lived intangible assets were not impaired as of September 30, 2025, or December 31, 2024.</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$0 for the three months ended September 30, 2025 and 2024, respectively, and $0 and $211 for the nine months ended September 30, 2025 and 2024, respectively. Amortization expense for continuing operations was $0 for the three months ended September 30, 2025 and 2024, and $0 for the nine months ended September 30, 2025 and 2024.</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Royalties, Dividends, and Affiliations</w:t>
      </w:r>
    </w:p>
    <w:p>
      <w:pPr>
        <w:pStyle w:val="TextBody"/>
        <w:bidi w:val="0"/>
        <w:spacing w:before="0" w:after="20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North Dakota Farm Bureau</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was organized by the North Dakota Farm Bureau (“NDFB”) to provide insurance protection for its members. We have a royalty agreement with the NDFB that recognizes the use of their trademark and provides royalties to the NDFB based on the premiums written on Nodak Insurance’s policies. Royalties paid to the NDFB were $420 and $468 during the three months ended September 30, 2025 and 2024, respectively, and $1,382 and $1,351 for the nine months ended September 30, 2025 and 2024, respectively. Royalty amounts payable of $0 and $146 were accrued as a liability to the NDFB at September 30, 2025, and December 31, 2024, respectively.</w:t>
      </w:r>
    </w:p>
    <w:p>
      <w:pPr>
        <w:pStyle w:val="TextBody"/>
        <w:bidi w:val="0"/>
        <w:spacing w:before="0" w:after="20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requirements that may further affect their ability to pay dividends. Our insurance subsidiaries statutory capital and surplus at December 31, 2024, exceeded the amount of statutory capital and surplus necessary to satisfy risk-based capital requirements by a significant margin. For information regarding the availability of subsidiaries to pay dividends to NI Holdings during 2025, see Part II, Item 8, Note 11 “Royalties, Dividends, and Affiliations” section of the 2024 Annual Report.</w:t>
      </w:r>
    </w:p>
    <w:p>
      <w:pPr>
        <w:pStyle w:val="TextBody"/>
        <w:bidi w:val="0"/>
        <w:spacing w:before="0" w:after="20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Battle Creek </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January 2, 2024, we consolidated the financial statements of Battle Creek, and Battle Creek’s policyholders’ interest in Battle Creek was reflected as a non-controlling interest in shareholders’ equity in our Consolidated Balance Sheets. Subsequent to January 2, 2024, Battle Creek is fully consolidated in our Consolidated Balance Sheets. See the Part I, Item 1, Note 1 “Organization” section of this Form 10-Q for additional information.</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Benefit Plans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sponsors a 401(k) plan with an automatic and matching contribution for eligible employees at Nodak Insurance, Primero, and Direct Auto. Nodak Insurance also contributes an additional elective amount of employee compensation as a profit-sharing contribution for eligible employees. Westminster also sponsored a separate 401(k) plan until the company was sold on June 30, 2024. American West and Battle Creek have no employees. The Company reported expenses related to these plans totaling $277 and $312 during the three months ended September 30, 2025 and 2024, respectively, and $1,079 and $1,117 during the nine months ended September 30, 2025 and 2024, respectively.</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fees associated with the plans are deducted from the eligible employee accounts.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offers a non-qualified deferred compensation plan to key executives of the Company (as designated by the Board of Directors). The Company’s policy is to fund the plan by amounts that represent the excess of the maximum contribution allowed by the Employee Retirement Income Security Act over the key executives’ allowable 401(k) contribution. The plan also allows employee-directed deferral of key executives’ compensation or incentive payments. The Company reported expenses related to this plan totaling $25 and $27 during the three months ended September 30, 2025 and 2024, respectively, and $183 and $258 during the nine months ended September 30, 2025 and 2024, respectively.</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initial public offering (“IPO”) in March 2017, the Company established its Employee Stock Ownership Plan (the “ESOP”) within the meaning of Internal Revenue Code Section 4975(e)(7) and invests solely in common stock of the Company.</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establishment of the ESOP, Nodak Insurance loaned $2,400 to the ESOP’s related trust (the “ESOP Trust”). The ESOP loan was for a period of ten years, bearing interest at the long-term Applicable Federal Rate effective on the closing date of the offering (2.79% annually). The ESOP Trust used the proceeds of the loan to purchase shares in our IPO, which resulted in the ESOP Trust owning approximately 1.0% of the Company’s authorized shares. The ESOP has purchased the shares for investment and not for resale.</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purchased by the ESOP Trust in the offering are held in a suspense account as collateral for the ESOP loan. Nodak Insurance makes semi-annual cash contributions to the ESOP in amounts no smaller than the amounts required for the ESOP Trust to make its loan payments to Nodak Insurance. While the ESOP makes two loan payments per year, a pre-determined portion of the shares are released from the suspense account and allocated to participant accounts at the end of the calendar year. This release and allocation occurs on an annual basis over the ten-year term of the ESOP loan. Nodak Insurance has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anticipated that the only assets held by the ESOP will be shares of the Company’s common stock. Participants in the ESOP cannot direct the investment of any assets allocated to their accounts. The ESOP participants are employees of Nodak Insurance. The employees of Primero, Direct Auto, and Westminster do not participate in the ESOP.</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employee of Nodak Insurance automatically becomes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receive annual reports from the Company showing the number of shares of common stock of the Company allocated to the participants’ accounts and the market value of those shares. The shares are allocated to participants based on compensation as provided for in the ESOP.</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establishment of the ESOP, the Company created a contra-equity account on the Consolidated Balance Sheet equal to the ESOP’s basis in the shares. The basis of those shares was set at $10.00 per share as part of the IPO. As shares are released from the ESOP suspense account, the contra-equity account is credited, which reduces the impact of the contra-equity account on the Company’s Consolidated Balance Sheets over time. The Company records compensation expense related to the shares released, equal to the number of shares released from the suspense account multiplied by the average market value of the Company’s stock during the period.</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compensation expense related to the ESOP of $80 and $93 during the three months ended September 30, 2025 and 2024, respectively, and $247 and $269 during the nine months ended September 30, 2025 and 2024, respectively.</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September 30, 2025, and December 31, 2024, the Company had released and allocated 194,520 ESOP shares to participants, with a remainder of 45,480 ESOP shares in suspense at September 30, 2025, and December 31, 2024. Using the Company’s quarter-end market price of $13.57 per share, the fair value of the unearned ESOP shares was $617 at September 30, 2025.</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Line of Credit</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 Holdings has a $3,000 line of credit with Wells Fargo Bank, N.A. The terms of the line of credit include a floating interest rate of 2.50% above the daily simple secured overnight financing rate. There were no outstanding amounts during the nine months ended September 30, 2025, or the year ended December 31, 2024. This line of credit is scheduled to expire on December 13, 2025.</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Income Taxes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any change to a previously recorded valuation allowance as a result of re-measuring existing temporary differences and loss carryforwards as a component of income tax expense (benefit) from continuing operations. The valuation allowance against certain deferred income tax assets was $2,093 and $2,506 at September 30, 2025 and December 31, 2024, respectively.</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September 30, 2025, and December 31, 2024, we had no unrecognized tax benefits, no accrued interest and penalties, and no significant uncertain tax positions. No interest and penalties were recognized during the nine-month period ended September 30, 2025, or the year ended December 31, 2024.</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effective tax rate for the nine months ended September 30, 2025, was 23.1%, which was impacted by the $413 change in the recorded valuation allowance noted above. The effective tax rate for continuing operations was 12.0% for the nine months ended September 30, 2024. Federal income taxes were allocated to discontinued operations at a 21.1% effective tax rate for the nine months ended September 30, 2024.</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Leases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Primero leases a facility in Spearfish, South Dakota under a non-cancellable operating lease expiring in 2028. Direct Auto leases a facility in Chicago, Illinois under a non-cancellable operating lease expiring in 2029. Nodak Insurance leases a facility in Fargo, North Dakota under a non-cancellable operating lease expiring in 2029. In addition, Nodak Insurance leases server equipment under a non-cancellable finance lease expiring in 2026.</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whether a contract is or contains a lease at the inception of the contract. A contract will be deemed to be or contain a lease if the contract conveys the right to control and directs the use of identified property or equipment for a period of time in exchange for consideration. We generally must also have the right to obtain substantially all of the economic benefits from the use of the property and equipment. Lease assets and liabilities are recognized at the lease commencement date based on the present value of lease payments over the lease term. To determine the present value of lease payments not yet paid, we estimate incremental borrowing rates based on the floating interest rate on our Line of Credit with Wells Fargo Bank, N.A. at the lease commencement date, as rates are not implicitly stated in most leases. Lease liabilities are included in accrued expenses and other liabilities and right-of-use assets are included in other assets in the Consolidated Balance Sheets.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expenses of $114 and $121 related to these leases during the three months ended September 30, 2025 and 2024, respectively, and $344 and $365 during the nine months ended September 30, 2025 and 2024.</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Company’s leases are as follows:</w:t>
      </w:r>
    </w:p>
    <w:tbl>
      <w:tblPr>
        <w:tblW w:w="10205" w:type="dxa"/>
        <w:jc w:val="left"/>
        <w:tblInd w:w="0" w:type="dxa"/>
        <w:tblLayout w:type="fixed"/>
        <w:tblCellMar>
          <w:top w:w="0" w:type="dxa"/>
          <w:left w:w="0" w:type="dxa"/>
          <w:bottom w:w="0" w:type="dxa"/>
          <w:right w:w="0" w:type="dxa"/>
        </w:tblCellMar>
      </w:tblPr>
      <w:tblGrid>
        <w:gridCol w:w="4100"/>
        <w:gridCol w:w="90"/>
        <w:gridCol w:w="221"/>
        <w:gridCol w:w="847"/>
        <w:gridCol w:w="117"/>
        <w:gridCol w:w="117"/>
        <w:gridCol w:w="221"/>
        <w:gridCol w:w="847"/>
        <w:gridCol w:w="90"/>
        <w:gridCol w:w="90"/>
        <w:gridCol w:w="247"/>
        <w:gridCol w:w="966"/>
        <w:gridCol w:w="131"/>
        <w:gridCol w:w="131"/>
        <w:gridCol w:w="247"/>
        <w:gridCol w:w="966"/>
        <w:gridCol w:w="777"/>
      </w:tblGrid>
      <w:tr>
        <w:trPr/>
        <w:tc>
          <w:tcPr>
            <w:tcW w:w="4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and For the Three Months</w:t>
              <w:br/>
              <w:t>Ended 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and For the Nine Months Ended </w:t>
              <w:br/>
              <w:t>September 30,</w:t>
            </w:r>
          </w:p>
        </w:tc>
        <w:tc>
          <w:tcPr>
            <w:tcW w:w="777"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77"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Operating lease expense</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91</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966" w:type="dxa"/>
            <w:tcBorders/>
            <w:shd w:fill="CCEEFF" w:val="clear"/>
            <w:vAlign w:val="center"/>
          </w:tcPr>
          <w:p>
            <w:pPr>
              <w:pStyle w:val="TableContents"/>
              <w:bidi w:val="0"/>
              <w:spacing w:before="0" w:after="283"/>
              <w:jc w:val="right"/>
              <w:rPr/>
            </w:pPr>
            <w:r>
              <w:rPr/>
              <w:t>274</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966" w:type="dxa"/>
            <w:tcBorders/>
            <w:shd w:fill="CCEEFF" w:val="clear"/>
            <w:vAlign w:val="center"/>
          </w:tcPr>
          <w:p>
            <w:pPr>
              <w:pStyle w:val="TableContents"/>
              <w:bidi w:val="0"/>
              <w:spacing w:before="0" w:after="283"/>
              <w:jc w:val="right"/>
              <w:rPr/>
            </w:pPr>
            <w:r>
              <w:rPr/>
              <w:t>288</w:t>
            </w:r>
          </w:p>
        </w:tc>
        <w:tc>
          <w:tcPr>
            <w:tcW w:w="777"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Finance lease cost</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right"/>
              <w:rPr/>
            </w:pPr>
            <w:r>
              <w:rPr/>
              <w:t> </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right"/>
              <w:rPr/>
            </w:pPr>
            <w:r>
              <w:rPr/>
              <w:t> </w:t>
            </w:r>
          </w:p>
        </w:tc>
        <w:tc>
          <w:tcPr>
            <w:tcW w:w="777" w:type="dxa"/>
            <w:tcBorders/>
            <w:vAlign w:val="center"/>
          </w:tcPr>
          <w:p>
            <w:pPr>
              <w:pStyle w:val="TableContents"/>
              <w:bidi w:val="0"/>
              <w:spacing w:before="0" w:after="283"/>
              <w:ind w:left="0" w:right="0" w:firstLine="187"/>
              <w:jc w:val="left"/>
              <w:rPr/>
            </w:pPr>
            <w:r>
              <w:rPr/>
              <w:t> </w:t>
            </w:r>
          </w:p>
        </w:tc>
      </w:tr>
      <w:tr>
        <w:trPr/>
        <w:tc>
          <w:tcPr>
            <w:tcW w:w="4100" w:type="dxa"/>
            <w:tcBorders/>
            <w:shd w:fill="CCEEFF" w:val="clear"/>
            <w:vAlign w:val="center"/>
          </w:tcPr>
          <w:p>
            <w:pPr>
              <w:pStyle w:val="TableContents"/>
              <w:bidi w:val="0"/>
              <w:spacing w:before="0" w:after="283"/>
              <w:jc w:val="left"/>
              <w:rPr/>
            </w:pPr>
            <w:r>
              <w:rPr/>
              <w:t>Amortization of right-of-use assets</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20</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60</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60</w:t>
            </w:r>
          </w:p>
        </w:tc>
        <w:tc>
          <w:tcPr>
            <w:tcW w:w="777" w:type="dxa"/>
            <w:tcBorders/>
            <w:shd w:fill="CCEEFF" w:val="clear"/>
            <w:vAlign w:val="center"/>
          </w:tcPr>
          <w:p>
            <w:pPr>
              <w:pStyle w:val="TableContents"/>
              <w:bidi w:val="0"/>
              <w:spacing w:before="0" w:after="283"/>
              <w:ind w:left="0" w:right="0" w:firstLine="187"/>
              <w:jc w:val="left"/>
              <w:rPr/>
            </w:pPr>
            <w:r>
              <w:rPr/>
              <w:t> </w:t>
            </w:r>
          </w:p>
        </w:tc>
      </w:tr>
      <w:tr>
        <w:trPr/>
        <w:tc>
          <w:tcPr>
            <w:tcW w:w="4100" w:type="dxa"/>
            <w:tcBorders/>
            <w:vAlign w:val="center"/>
          </w:tcPr>
          <w:p>
            <w:pPr>
              <w:pStyle w:val="TableContents"/>
              <w:bidi w:val="0"/>
              <w:spacing w:before="0" w:after="283"/>
              <w:jc w:val="left"/>
              <w:rPr/>
            </w:pPr>
            <w:r>
              <w:rPr/>
              <w:t>Interest on lease liabilities</w:t>
            </w:r>
          </w:p>
        </w:tc>
        <w:tc>
          <w:tcPr>
            <w:tcW w:w="90" w:type="dxa"/>
            <w:tcBorders/>
            <w:vAlign w:val="center"/>
          </w:tcPr>
          <w:p>
            <w:pPr>
              <w:pStyle w:val="TableContents"/>
              <w:bidi w:val="0"/>
              <w:spacing w:before="0" w:after="283"/>
              <w:jc w:val="left"/>
              <w:rPr/>
            </w:pPr>
            <w:r>
              <w:rPr/>
              <w:t> </w:t>
            </w:r>
          </w:p>
        </w:tc>
        <w:tc>
          <w:tcPr>
            <w:tcW w:w="221" w:type="dxa"/>
            <w:tcBorders>
              <w:bottom w:val="single" w:sz="8" w:space="0" w:color="000000"/>
            </w:tcBorders>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tcMar>
              <w:bottom w:w="28" w:type="dxa"/>
            </w:tcMar>
            <w:vAlign w:val="center"/>
          </w:tcPr>
          <w:p>
            <w:pPr>
              <w:pStyle w:val="TableContents"/>
              <w:bidi w:val="0"/>
              <w:spacing w:before="0" w:after="283"/>
              <w:jc w:val="right"/>
              <w:rPr/>
            </w:pPr>
            <w:r>
              <w:rPr/>
              <w:t>3</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1" w:type="dxa"/>
            <w:tcBorders>
              <w:bottom w:val="single" w:sz="8" w:space="0" w:color="000000"/>
            </w:tcBorders>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tcMar>
              <w:bottom w:w="28" w:type="dxa"/>
            </w:tcMar>
            <w:vAlign w:val="center"/>
          </w:tcPr>
          <w:p>
            <w:pPr>
              <w:pStyle w:val="TableContents"/>
              <w:bidi w:val="0"/>
              <w:spacing w:before="0" w:after="283"/>
              <w:jc w:val="right"/>
              <w:rPr/>
            </w:pPr>
            <w:r>
              <w:rPr/>
              <w:t>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bottom w:val="single" w:sz="8" w:space="0" w:color="000000"/>
            </w:tcBorders>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tcMar>
              <w:bottom w:w="28" w:type="dxa"/>
            </w:tcMar>
            <w:vAlign w:val="center"/>
          </w:tcPr>
          <w:p>
            <w:pPr>
              <w:pStyle w:val="TableContents"/>
              <w:bidi w:val="0"/>
              <w:spacing w:before="0" w:after="283"/>
              <w:jc w:val="right"/>
              <w:rPr/>
            </w:pPr>
            <w:r>
              <w:rPr/>
              <w:t>10</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7" w:type="dxa"/>
            <w:tcBorders>
              <w:bottom w:val="single" w:sz="8" w:space="0" w:color="000000"/>
            </w:tcBorders>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tcMar>
              <w:bottom w:w="28" w:type="dxa"/>
            </w:tcMar>
            <w:vAlign w:val="center"/>
          </w:tcPr>
          <w:p>
            <w:pPr>
              <w:pStyle w:val="TableContents"/>
              <w:bidi w:val="0"/>
              <w:spacing w:before="0" w:after="283"/>
              <w:jc w:val="right"/>
              <w:rPr/>
            </w:pPr>
            <w:r>
              <w:rPr/>
              <w:t>17</w:t>
            </w:r>
          </w:p>
        </w:tc>
        <w:tc>
          <w:tcPr>
            <w:tcW w:w="777" w:type="dxa"/>
            <w:tcBorders/>
            <w:vAlign w:val="center"/>
          </w:tcPr>
          <w:p>
            <w:pPr>
              <w:pStyle w:val="TableContents"/>
              <w:bidi w:val="0"/>
              <w:spacing w:before="0" w:after="283"/>
              <w:ind w:left="0" w:right="0" w:firstLine="367"/>
              <w:jc w:val="left"/>
              <w:rPr/>
            </w:pPr>
            <w:r>
              <w:rPr/>
              <w:t> </w:t>
            </w:r>
          </w:p>
        </w:tc>
      </w:tr>
      <w:tr>
        <w:trPr/>
        <w:tc>
          <w:tcPr>
            <w:tcW w:w="4100" w:type="dxa"/>
            <w:tcBorders/>
            <w:shd w:fill="CCEEFF" w:val="clear"/>
            <w:vAlign w:val="center"/>
          </w:tcPr>
          <w:p>
            <w:pPr>
              <w:pStyle w:val="TableContents"/>
              <w:bidi w:val="0"/>
              <w:spacing w:before="0" w:after="283"/>
              <w:jc w:val="left"/>
              <w:rPr/>
            </w:pPr>
            <w:r>
              <w:rPr/>
              <w:t>Finance lease cost</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shd w:fill="CCEEFF" w:val="clear"/>
            <w:tcMar>
              <w:bottom w:w="28" w:type="dxa"/>
            </w:tcMar>
            <w:vAlign w:val="center"/>
          </w:tcPr>
          <w:p>
            <w:pPr>
              <w:pStyle w:val="TableContents"/>
              <w:bidi w:val="0"/>
              <w:spacing w:before="0" w:after="283"/>
              <w:jc w:val="right"/>
              <w:rPr/>
            </w:pPr>
            <w:r>
              <w:rPr/>
              <w:t>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pPr>
            <w:r>
              <w:rPr/>
              <w:t>70</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pPr>
            <w:r>
              <w:rPr/>
              <w:t>77</w:t>
            </w:r>
          </w:p>
        </w:tc>
        <w:tc>
          <w:tcPr>
            <w:tcW w:w="777" w:type="dxa"/>
            <w:tcBorders/>
            <w:shd w:fill="CCEEFF" w:val="clear"/>
            <w:vAlign w:val="center"/>
          </w:tcPr>
          <w:p>
            <w:pPr>
              <w:pStyle w:val="TableContents"/>
              <w:bidi w:val="0"/>
              <w:spacing w:before="0" w:after="283"/>
              <w:ind w:left="0" w:right="0" w:firstLine="637"/>
              <w:jc w:val="left"/>
              <w:rPr/>
            </w:pPr>
            <w:r>
              <w:rPr/>
              <w:t> </w:t>
            </w:r>
          </w:p>
        </w:tc>
      </w:tr>
      <w:tr>
        <w:trPr/>
        <w:tc>
          <w:tcPr>
            <w:tcW w:w="4100" w:type="dxa"/>
            <w:tcBorders/>
            <w:vAlign w:val="center"/>
          </w:tcPr>
          <w:p>
            <w:pPr>
              <w:pStyle w:val="TableContents"/>
              <w:bidi w:val="0"/>
              <w:spacing w:before="0" w:after="283"/>
              <w:jc w:val="left"/>
              <w:rPr/>
            </w:pPr>
            <w:r>
              <w:rPr/>
              <w:t>Total lease cost</w:t>
            </w:r>
          </w:p>
        </w:tc>
        <w:tc>
          <w:tcPr>
            <w:tcW w:w="90" w:type="dxa"/>
            <w:tcBorders/>
            <w:vAlign w:val="center"/>
          </w:tcPr>
          <w:p>
            <w:pPr>
              <w:pStyle w:val="TableContents"/>
              <w:bidi w:val="0"/>
              <w:spacing w:before="0" w:after="283"/>
              <w:jc w:val="left"/>
              <w:rPr/>
            </w:pPr>
            <w:r>
              <w:rPr/>
              <w:t> </w:t>
            </w:r>
          </w:p>
        </w:tc>
        <w:tc>
          <w:tcPr>
            <w:tcW w:w="221" w:type="dxa"/>
            <w:tcBorders>
              <w:bottom w:val="double" w:sz="6" w:space="0" w:color="000000"/>
            </w:tcBorders>
            <w:tcMar>
              <w:bottom w:w="28" w:type="dxa"/>
            </w:tcMar>
            <w:vAlign w:val="center"/>
          </w:tcPr>
          <w:p>
            <w:pPr>
              <w:pStyle w:val="TableContents"/>
              <w:bidi w:val="0"/>
              <w:spacing w:before="0" w:after="283"/>
              <w:jc w:val="left"/>
              <w:rPr/>
            </w:pPr>
            <w:r>
              <w:rPr/>
              <w:t>$</w:t>
            </w:r>
          </w:p>
        </w:tc>
        <w:tc>
          <w:tcPr>
            <w:tcW w:w="847" w:type="dxa"/>
            <w:tcBorders>
              <w:bottom w:val="double" w:sz="6" w:space="0" w:color="000000"/>
            </w:tcBorders>
            <w:tcMar>
              <w:bottom w:w="28" w:type="dxa"/>
            </w:tcMar>
            <w:vAlign w:val="center"/>
          </w:tcPr>
          <w:p>
            <w:pPr>
              <w:pStyle w:val="TableContents"/>
              <w:bidi w:val="0"/>
              <w:spacing w:before="0" w:after="283"/>
              <w:jc w:val="right"/>
              <w:rPr/>
            </w:pPr>
            <w:r>
              <w:rPr/>
              <w:t>114</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1" w:type="dxa"/>
            <w:tcBorders>
              <w:bottom w:val="double" w:sz="6" w:space="0" w:color="000000"/>
            </w:tcBorders>
            <w:tcMar>
              <w:bottom w:w="28" w:type="dxa"/>
            </w:tcMar>
            <w:vAlign w:val="center"/>
          </w:tcPr>
          <w:p>
            <w:pPr>
              <w:pStyle w:val="TableContents"/>
              <w:bidi w:val="0"/>
              <w:spacing w:before="0" w:after="283"/>
              <w:jc w:val="left"/>
              <w:rPr/>
            </w:pPr>
            <w:r>
              <w:rPr/>
              <w:t>$</w:t>
            </w:r>
          </w:p>
        </w:tc>
        <w:tc>
          <w:tcPr>
            <w:tcW w:w="847" w:type="dxa"/>
            <w:tcBorders>
              <w:bottom w:val="double" w:sz="6" w:space="0" w:color="000000"/>
            </w:tcBorders>
            <w:tcMar>
              <w:bottom w:w="28" w:type="dxa"/>
            </w:tcMar>
            <w:vAlign w:val="center"/>
          </w:tcPr>
          <w:p>
            <w:pPr>
              <w:pStyle w:val="TableContents"/>
              <w:bidi w:val="0"/>
              <w:spacing w:before="0" w:after="283"/>
              <w:jc w:val="right"/>
              <w:rPr/>
            </w:pPr>
            <w:r>
              <w:rPr/>
              <w:t>121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bottom w:val="double" w:sz="6" w:space="0" w:color="000000"/>
            </w:tcBorders>
            <w:tcMar>
              <w:bottom w:w="28" w:type="dxa"/>
            </w:tcMar>
            <w:vAlign w:val="center"/>
          </w:tcPr>
          <w:p>
            <w:pPr>
              <w:pStyle w:val="TableContents"/>
              <w:bidi w:val="0"/>
              <w:spacing w:before="0" w:after="283"/>
              <w:jc w:val="left"/>
              <w:rPr/>
            </w:pPr>
            <w:r>
              <w:rPr/>
              <w:t>$</w:t>
            </w:r>
          </w:p>
        </w:tc>
        <w:tc>
          <w:tcPr>
            <w:tcW w:w="966" w:type="dxa"/>
            <w:tcBorders>
              <w:bottom w:val="double" w:sz="6" w:space="0" w:color="000000"/>
            </w:tcBorders>
            <w:tcMar>
              <w:bottom w:w="28" w:type="dxa"/>
            </w:tcMar>
            <w:vAlign w:val="center"/>
          </w:tcPr>
          <w:p>
            <w:pPr>
              <w:pStyle w:val="TableContents"/>
              <w:bidi w:val="0"/>
              <w:spacing w:before="0" w:after="283"/>
              <w:jc w:val="right"/>
              <w:rPr/>
            </w:pPr>
            <w:r>
              <w:rPr/>
              <w:t>344</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7" w:type="dxa"/>
            <w:tcBorders>
              <w:bottom w:val="double" w:sz="6" w:space="0" w:color="000000"/>
            </w:tcBorders>
            <w:tcMar>
              <w:bottom w:w="28" w:type="dxa"/>
            </w:tcMar>
            <w:vAlign w:val="center"/>
          </w:tcPr>
          <w:p>
            <w:pPr>
              <w:pStyle w:val="TableContents"/>
              <w:bidi w:val="0"/>
              <w:spacing w:before="0" w:after="283"/>
              <w:jc w:val="left"/>
              <w:rPr/>
            </w:pPr>
            <w:r>
              <w:rPr/>
              <w:t>$</w:t>
            </w:r>
          </w:p>
        </w:tc>
        <w:tc>
          <w:tcPr>
            <w:tcW w:w="966" w:type="dxa"/>
            <w:tcBorders>
              <w:bottom w:val="double" w:sz="6" w:space="0" w:color="000000"/>
            </w:tcBorders>
            <w:tcMar>
              <w:bottom w:w="28" w:type="dxa"/>
            </w:tcMar>
            <w:vAlign w:val="center"/>
          </w:tcPr>
          <w:p>
            <w:pPr>
              <w:pStyle w:val="TableContents"/>
              <w:bidi w:val="0"/>
              <w:spacing w:before="0" w:after="283"/>
              <w:jc w:val="right"/>
              <w:rPr/>
            </w:pPr>
            <w:r>
              <w:rPr/>
              <w:t>365</w:t>
            </w:r>
          </w:p>
        </w:tc>
        <w:tc>
          <w:tcPr>
            <w:tcW w:w="777"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777"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Other information on leases:</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right"/>
              <w:rPr/>
            </w:pPr>
            <w:r>
              <w:rPr/>
              <w:t> </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right"/>
              <w:rPr/>
            </w:pPr>
            <w:r>
              <w:rPr/>
              <w:t> </w:t>
            </w:r>
          </w:p>
        </w:tc>
        <w:tc>
          <w:tcPr>
            <w:tcW w:w="777"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Cash payments included in operating cash flows from operating leases</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98</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102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966" w:type="dxa"/>
            <w:tcBorders/>
            <w:shd w:fill="CCEEFF" w:val="clear"/>
            <w:vAlign w:val="center"/>
          </w:tcPr>
          <w:p>
            <w:pPr>
              <w:pStyle w:val="TableContents"/>
              <w:bidi w:val="0"/>
              <w:spacing w:before="0" w:after="283"/>
              <w:jc w:val="right"/>
              <w:rPr/>
            </w:pPr>
            <w:r>
              <w:rPr/>
              <w:t>293</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966" w:type="dxa"/>
            <w:tcBorders/>
            <w:shd w:fill="CCEEFF" w:val="clear"/>
            <w:vAlign w:val="center"/>
          </w:tcPr>
          <w:p>
            <w:pPr>
              <w:pStyle w:val="TableContents"/>
              <w:bidi w:val="0"/>
              <w:spacing w:before="0" w:after="283"/>
              <w:jc w:val="right"/>
              <w:rPr/>
            </w:pPr>
            <w:r>
              <w:rPr/>
              <w:t>306</w:t>
            </w:r>
          </w:p>
        </w:tc>
        <w:tc>
          <w:tcPr>
            <w:tcW w:w="777"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Cash payments included in operating cash flows from finance leases</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3</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right"/>
              <w:rPr/>
            </w:pPr>
            <w:r>
              <w:rPr/>
              <w:t>10</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right"/>
              <w:rPr/>
            </w:pPr>
            <w:r>
              <w:rPr/>
              <w:t>17</w:t>
            </w:r>
          </w:p>
        </w:tc>
        <w:tc>
          <w:tcPr>
            <w:tcW w:w="777"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Cash payments included in financing cash flows from finance leases</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27</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80</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73</w:t>
            </w:r>
          </w:p>
        </w:tc>
        <w:tc>
          <w:tcPr>
            <w:tcW w:w="777"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Right-of-use assets obtained in exchange for new operating lease liabilities</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0"/>
              <w:jc w:val="right"/>
              <w:rPr/>
            </w:pPr>
            <w:r>
              <w:rPr/>
              <w:t>—</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0"/>
              <w:jc w:val="right"/>
              <w:rPr/>
            </w:pPr>
            <w:r>
              <w:rPr/>
              <w:t>—</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right"/>
              <w:rPr/>
            </w:pPr>
            <w:r>
              <w:rPr/>
              <w:t>185</w:t>
            </w:r>
          </w:p>
        </w:tc>
        <w:tc>
          <w:tcPr>
            <w:tcW w:w="777"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Right-of-use assets obtained in exchange for new finance lease liabilities</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0"/>
              <w:jc w:val="right"/>
              <w:rPr/>
            </w:pPr>
            <w:r>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0"/>
              <w:jc w:val="right"/>
              <w:rPr/>
            </w:pPr>
            <w:r>
              <w:rPr/>
              <w:t>—</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0"/>
              <w:jc w:val="right"/>
              <w:rPr/>
            </w:pPr>
            <w:r>
              <w:rPr/>
              <w:t>—</w:t>
            </w:r>
          </w:p>
        </w:tc>
        <w:tc>
          <w:tcPr>
            <w:tcW w:w="777"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Weighted average discount rate – operating leases</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4.45%</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4.48%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right"/>
              <w:rPr/>
            </w:pPr>
            <w:r>
              <w:rPr/>
              <w:t>4.45%</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right"/>
              <w:rPr/>
            </w:pPr>
            <w:r>
              <w:rPr/>
              <w:t>4.48%</w:t>
            </w:r>
          </w:p>
        </w:tc>
        <w:tc>
          <w:tcPr>
            <w:tcW w:w="777"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Weighted average discount rate – finance leases</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8.50%</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8.50%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8.50%</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8.50%</w:t>
            </w:r>
          </w:p>
        </w:tc>
        <w:tc>
          <w:tcPr>
            <w:tcW w:w="777"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Weighted average remaining lease term in years – operating leases</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sz w:val="20"/>
              </w:rPr>
            </w:pPr>
            <w:r>
              <w:rPr>
                <w:sz w:val="20"/>
              </w:rPr>
              <w:t>3.7 years</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sz w:val="20"/>
              </w:rPr>
            </w:pPr>
            <w:r>
              <w:rPr>
                <w:sz w:val="20"/>
              </w:rPr>
              <w:t>4.7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right"/>
              <w:rPr>
                <w:sz w:val="20"/>
              </w:rPr>
            </w:pPr>
            <w:r>
              <w:rPr>
                <w:sz w:val="20"/>
              </w:rPr>
              <w:t>3.7 years</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right"/>
              <w:rPr>
                <w:sz w:val="20"/>
              </w:rPr>
            </w:pPr>
            <w:r>
              <w:rPr>
                <w:sz w:val="20"/>
              </w:rPr>
              <w:t>4.7 years</w:t>
            </w:r>
          </w:p>
        </w:tc>
        <w:tc>
          <w:tcPr>
            <w:tcW w:w="777"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Weighted average remaining lease term in years – finance leases</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sz w:val="20"/>
              </w:rPr>
            </w:pPr>
            <w:r>
              <w:rPr>
                <w:sz w:val="20"/>
              </w:rPr>
              <w:t>1.1 years</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sz w:val="20"/>
              </w:rPr>
            </w:pPr>
            <w:r>
              <w:rPr>
                <w:sz w:val="20"/>
              </w:rPr>
              <w:t>2.1 years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sz w:val="20"/>
              </w:rPr>
            </w:pPr>
            <w:r>
              <w:rPr>
                <w:sz w:val="20"/>
              </w:rPr>
              <w:t>1.1 years</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sz w:val="20"/>
              </w:rPr>
            </w:pPr>
            <w:r>
              <w:rPr>
                <w:sz w:val="20"/>
              </w:rPr>
              <w:t>2.1 years</w:t>
            </w:r>
          </w:p>
        </w:tc>
        <w:tc>
          <w:tcPr>
            <w:tcW w:w="777"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contractual maturities of the Company’s lease liabilities for each of the five years in the period ending December 31, 2029, and thereafter, reconciled to our lease liability at September 30, 2025:</w:t>
      </w:r>
    </w:p>
    <w:p>
      <w:pPr>
        <w:pStyle w:val="TextBody"/>
        <w:bidi w:val="0"/>
        <w:jc w:val="left"/>
        <w:rPr>
          <w:caps w:val="false"/>
          <w:smallCaps w:val="false"/>
        </w:rPr>
      </w:pPr>
      <w:r>
        <w:rPr>
          <w:caps w:val="false"/>
          <w:smallCaps w:val="false"/>
        </w:rPr>
        <w:t> </w:t>
      </w:r>
    </w:p>
    <w:tbl>
      <w:tblPr>
        <w:tblW w:w="8333" w:type="dxa"/>
        <w:jc w:val="left"/>
        <w:tblInd w:w="0" w:type="dxa"/>
        <w:tblLayout w:type="fixed"/>
        <w:tblCellMar>
          <w:top w:w="0" w:type="dxa"/>
          <w:left w:w="0" w:type="dxa"/>
          <w:bottom w:w="28" w:type="dxa"/>
          <w:right w:w="0" w:type="dxa"/>
        </w:tblCellMar>
      </w:tblPr>
      <w:tblGrid>
        <w:gridCol w:w="3575"/>
        <w:gridCol w:w="90"/>
        <w:gridCol w:w="405"/>
        <w:gridCol w:w="1414"/>
        <w:gridCol w:w="90"/>
        <w:gridCol w:w="90"/>
        <w:gridCol w:w="467"/>
        <w:gridCol w:w="1127"/>
        <w:gridCol w:w="90"/>
        <w:gridCol w:w="90"/>
        <w:gridCol w:w="170"/>
        <w:gridCol w:w="590"/>
        <w:gridCol w:w="135"/>
      </w:tblGrid>
      <w:tr>
        <w:trPr/>
        <w:tc>
          <w:tcPr>
            <w:tcW w:w="3575" w:type="dxa"/>
            <w:tcBorders>
              <w:bottom w:val="single" w:sz="8" w:space="0" w:color="000000"/>
            </w:tcBorders>
            <w:vAlign w:val="center"/>
          </w:tcPr>
          <w:p>
            <w:pPr>
              <w:pStyle w:val="TableContents"/>
              <w:bidi w:val="0"/>
              <w:spacing w:before="0" w:after="283"/>
              <w:jc w:val="left"/>
              <w:rPr>
                <w:b/>
              </w:rPr>
            </w:pPr>
            <w:r>
              <w:rPr>
                <w:b/>
              </w:rPr>
              <w:t>Year ending December 31,</w:t>
            </w:r>
          </w:p>
        </w:tc>
        <w:tc>
          <w:tcPr>
            <w:tcW w:w="90" w:type="dxa"/>
            <w:tcBorders/>
            <w:tcMar>
              <w:bottom w:w="0" w:type="dxa"/>
            </w:tcMar>
            <w:vAlign w:val="center"/>
          </w:tcPr>
          <w:p>
            <w:pPr>
              <w:pStyle w:val="TableContents"/>
              <w:bidi w:val="0"/>
              <w:spacing w:before="0" w:after="283"/>
              <w:jc w:val="left"/>
              <w:rPr/>
            </w:pPr>
            <w:r>
              <w:rPr/>
              <w:t> </w:t>
            </w:r>
          </w:p>
        </w:tc>
        <w:tc>
          <w:tcPr>
            <w:tcW w:w="1819" w:type="dxa"/>
            <w:gridSpan w:val="2"/>
            <w:tcBorders>
              <w:bottom w:val="single" w:sz="8" w:space="0" w:color="000000"/>
            </w:tcBorders>
            <w:vAlign w:val="center"/>
          </w:tcPr>
          <w:p>
            <w:pPr>
              <w:pStyle w:val="TableContents"/>
              <w:bidi w:val="0"/>
              <w:spacing w:before="0" w:after="283"/>
              <w:jc w:val="center"/>
              <w:rPr>
                <w:b/>
              </w:rPr>
            </w:pPr>
            <w:r>
              <w:rPr>
                <w:b/>
              </w:rPr>
              <w:t>Operating Leases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94" w:type="dxa"/>
            <w:gridSpan w:val="2"/>
            <w:tcBorders>
              <w:bottom w:val="single" w:sz="8" w:space="0" w:color="000000"/>
            </w:tcBorders>
            <w:vAlign w:val="center"/>
          </w:tcPr>
          <w:p>
            <w:pPr>
              <w:pStyle w:val="TableContents"/>
              <w:bidi w:val="0"/>
              <w:spacing w:before="0" w:after="283"/>
              <w:jc w:val="center"/>
              <w:rPr>
                <w:b/>
              </w:rPr>
            </w:pPr>
            <w:r>
              <w:rPr>
                <w:b/>
              </w:rPr>
              <w:t>Finance Leases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0" w:type="dxa"/>
            <w:gridSpan w:val="2"/>
            <w:tcBorders>
              <w:bottom w:val="single" w:sz="8" w:space="0" w:color="000000"/>
            </w:tcBorders>
            <w:vAlign w:val="center"/>
          </w:tcPr>
          <w:p>
            <w:pPr>
              <w:pStyle w:val="TableContents"/>
              <w:bidi w:val="0"/>
              <w:spacing w:before="0" w:after="283"/>
              <w:jc w:val="center"/>
              <w:rPr>
                <w:b/>
              </w:rPr>
            </w:pPr>
            <w:r>
              <w:rPr>
                <w:b/>
              </w:rPr>
              <w:t>Total</w:t>
            </w:r>
          </w:p>
        </w:tc>
        <w:tc>
          <w:tcPr>
            <w:tcW w:w="135" w:type="dxa"/>
            <w:tcBorders/>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283"/>
              <w:jc w:val="left"/>
              <w:rPr/>
            </w:pPr>
            <w:r>
              <w:rPr/>
              <w:t>2025 (three months remaining)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left"/>
              <w:rPr/>
            </w:pPr>
            <w:r>
              <w:rPr/>
              <w:t>$</w:t>
            </w:r>
          </w:p>
        </w:tc>
        <w:tc>
          <w:tcPr>
            <w:tcW w:w="1414" w:type="dxa"/>
            <w:tcBorders/>
            <w:shd w:fill="CCEEFF" w:val="clear"/>
            <w:tcMar>
              <w:bottom w:w="0" w:type="dxa"/>
            </w:tcMar>
            <w:vAlign w:val="center"/>
          </w:tcPr>
          <w:p>
            <w:pPr>
              <w:pStyle w:val="TableContents"/>
              <w:bidi w:val="0"/>
              <w:spacing w:before="0" w:after="283"/>
              <w:jc w:val="right"/>
              <w:rPr/>
            </w:pPr>
            <w:r>
              <w:rPr/>
              <w:t>100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7" w:type="dxa"/>
            <w:tcBorders/>
            <w:shd w:fill="CCEEFF" w:val="clear"/>
            <w:tcMar>
              <w:bottom w:w="0" w:type="dxa"/>
            </w:tcMar>
            <w:vAlign w:val="center"/>
          </w:tcPr>
          <w:p>
            <w:pPr>
              <w:pStyle w:val="TableContents"/>
              <w:bidi w:val="0"/>
              <w:spacing w:before="0" w:after="283"/>
              <w:jc w:val="left"/>
              <w:rPr/>
            </w:pPr>
            <w:r>
              <w:rPr/>
              <w:t>$</w:t>
            </w:r>
          </w:p>
        </w:tc>
        <w:tc>
          <w:tcPr>
            <w:tcW w:w="1127" w:type="dxa"/>
            <w:tcBorders/>
            <w:shd w:fill="CCEEFF" w:val="clear"/>
            <w:tcMar>
              <w:bottom w:w="0" w:type="dxa"/>
            </w:tcMar>
            <w:vAlign w:val="center"/>
          </w:tcPr>
          <w:p>
            <w:pPr>
              <w:pStyle w:val="TableContents"/>
              <w:bidi w:val="0"/>
              <w:spacing w:before="0" w:after="283"/>
              <w:jc w:val="right"/>
              <w:rPr/>
            </w:pPr>
            <w:r>
              <w:rPr/>
              <w:t>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590" w:type="dxa"/>
            <w:tcBorders/>
            <w:shd w:fill="CCEEFF" w:val="clear"/>
            <w:tcMar>
              <w:bottom w:w="0" w:type="dxa"/>
            </w:tcMar>
            <w:vAlign w:val="center"/>
          </w:tcPr>
          <w:p>
            <w:pPr>
              <w:pStyle w:val="TableContents"/>
              <w:bidi w:val="0"/>
              <w:spacing w:before="0" w:after="283"/>
              <w:jc w:val="right"/>
              <w:rPr/>
            </w:pPr>
            <w:r>
              <w:rPr/>
              <w:t>130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tcMar>
              <w:bottom w:w="0" w:type="dxa"/>
            </w:tcMar>
            <w:vAlign w:val="center"/>
          </w:tcPr>
          <w:p>
            <w:pPr>
              <w:pStyle w:val="TableContents"/>
              <w:bidi w:val="0"/>
              <w:spacing w:before="0" w:after="283"/>
              <w:jc w:val="left"/>
              <w:rPr/>
            </w:pPr>
            <w:r>
              <w:rPr/>
              <w:t>2026</w:t>
            </w:r>
          </w:p>
        </w:tc>
        <w:tc>
          <w:tcPr>
            <w:tcW w:w="90"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left"/>
              <w:rPr/>
            </w:pPr>
            <w:r>
              <w:rPr/>
              <w:t> </w:t>
            </w:r>
          </w:p>
        </w:tc>
        <w:tc>
          <w:tcPr>
            <w:tcW w:w="1414" w:type="dxa"/>
            <w:tcBorders/>
            <w:tcMar>
              <w:bottom w:w="0" w:type="dxa"/>
            </w:tcMar>
            <w:vAlign w:val="center"/>
          </w:tcPr>
          <w:p>
            <w:pPr>
              <w:pStyle w:val="TableContents"/>
              <w:bidi w:val="0"/>
              <w:spacing w:before="0" w:after="283"/>
              <w:jc w:val="right"/>
              <w:rPr/>
            </w:pPr>
            <w:r>
              <w:rPr/>
              <w:t>396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67" w:type="dxa"/>
            <w:tcBorders/>
            <w:tcMar>
              <w:bottom w:w="0" w:type="dxa"/>
            </w:tcMar>
            <w:vAlign w:val="center"/>
          </w:tcPr>
          <w:p>
            <w:pPr>
              <w:pStyle w:val="TableContents"/>
              <w:bidi w:val="0"/>
              <w:spacing w:before="0" w:after="283"/>
              <w:jc w:val="left"/>
              <w:rPr/>
            </w:pPr>
            <w:r>
              <w:rPr/>
              <w:t> </w:t>
            </w:r>
          </w:p>
        </w:tc>
        <w:tc>
          <w:tcPr>
            <w:tcW w:w="1127" w:type="dxa"/>
            <w:tcBorders/>
            <w:tcMar>
              <w:bottom w:w="0" w:type="dxa"/>
            </w:tcMar>
            <w:vAlign w:val="center"/>
          </w:tcPr>
          <w:p>
            <w:pPr>
              <w:pStyle w:val="TableContents"/>
              <w:bidi w:val="0"/>
              <w:spacing w:before="0" w:after="283"/>
              <w:jc w:val="right"/>
              <w:rPr/>
            </w:pPr>
            <w:r>
              <w:rPr/>
              <w:t>100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496</w:t>
            </w:r>
          </w:p>
        </w:tc>
        <w:tc>
          <w:tcPr>
            <w:tcW w:w="135" w:type="dxa"/>
            <w:tcBorders/>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283"/>
              <w:jc w:val="left"/>
              <w:rPr/>
            </w:pPr>
            <w:r>
              <w:rPr/>
              <w:t>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left"/>
              <w:rPr/>
            </w:pPr>
            <w:r>
              <w:rPr/>
              <w:t> </w:t>
            </w:r>
          </w:p>
        </w:tc>
        <w:tc>
          <w:tcPr>
            <w:tcW w:w="1414" w:type="dxa"/>
            <w:tcBorders/>
            <w:shd w:fill="CCEEFF" w:val="clear"/>
            <w:tcMar>
              <w:bottom w:w="0" w:type="dxa"/>
            </w:tcMar>
            <w:vAlign w:val="center"/>
          </w:tcPr>
          <w:p>
            <w:pPr>
              <w:pStyle w:val="TableContents"/>
              <w:bidi w:val="0"/>
              <w:spacing w:before="0" w:after="283"/>
              <w:jc w:val="right"/>
              <w:rPr/>
            </w:pPr>
            <w:r>
              <w:rPr/>
              <w:t>401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7"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401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tcMar>
              <w:bottom w:w="0" w:type="dxa"/>
            </w:tcMar>
            <w:vAlign w:val="center"/>
          </w:tcPr>
          <w:p>
            <w:pPr>
              <w:pStyle w:val="TableContents"/>
              <w:bidi w:val="0"/>
              <w:spacing w:before="0" w:after="283"/>
              <w:jc w:val="left"/>
              <w:rPr/>
            </w:pPr>
            <w:r>
              <w:rPr/>
              <w:t>2028</w:t>
            </w:r>
          </w:p>
        </w:tc>
        <w:tc>
          <w:tcPr>
            <w:tcW w:w="90"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left"/>
              <w:rPr/>
            </w:pPr>
            <w:r>
              <w:rPr/>
              <w:t> </w:t>
            </w:r>
          </w:p>
        </w:tc>
        <w:tc>
          <w:tcPr>
            <w:tcW w:w="1414" w:type="dxa"/>
            <w:tcBorders/>
            <w:tcMar>
              <w:bottom w:w="0" w:type="dxa"/>
            </w:tcMar>
            <w:vAlign w:val="center"/>
          </w:tcPr>
          <w:p>
            <w:pPr>
              <w:pStyle w:val="TableContents"/>
              <w:bidi w:val="0"/>
              <w:spacing w:before="0" w:after="283"/>
              <w:jc w:val="right"/>
              <w:rPr/>
            </w:pPr>
            <w:r>
              <w:rPr/>
              <w:t>376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67" w:type="dxa"/>
            <w:tcBorders/>
            <w:tcMar>
              <w:bottom w:w="0" w:type="dxa"/>
            </w:tcMar>
            <w:vAlign w:val="center"/>
          </w:tcPr>
          <w:p>
            <w:pPr>
              <w:pStyle w:val="TableContents"/>
              <w:bidi w:val="0"/>
              <w:spacing w:before="0" w:after="283"/>
              <w:jc w:val="left"/>
              <w:rPr/>
            </w:pPr>
            <w:r>
              <w:rPr/>
              <w:t> </w:t>
            </w:r>
          </w:p>
        </w:tc>
        <w:tc>
          <w:tcPr>
            <w:tcW w:w="1127"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376</w:t>
            </w:r>
          </w:p>
        </w:tc>
        <w:tc>
          <w:tcPr>
            <w:tcW w:w="135" w:type="dxa"/>
            <w:tcBorders/>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283"/>
              <w:jc w:val="left"/>
              <w:rPr/>
            </w:pPr>
            <w:r>
              <w:rPr/>
              <w:t>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left"/>
              <w:rPr/>
            </w:pPr>
            <w:r>
              <w:rPr/>
              <w:t> </w:t>
            </w:r>
          </w:p>
        </w:tc>
        <w:tc>
          <w:tcPr>
            <w:tcW w:w="1414" w:type="dxa"/>
            <w:tcBorders/>
            <w:shd w:fill="CCEEFF" w:val="clear"/>
            <w:tcMar>
              <w:bottom w:w="0" w:type="dxa"/>
            </w:tcMar>
            <w:vAlign w:val="center"/>
          </w:tcPr>
          <w:p>
            <w:pPr>
              <w:pStyle w:val="TableContents"/>
              <w:bidi w:val="0"/>
              <w:spacing w:before="0" w:after="283"/>
              <w:jc w:val="right"/>
              <w:rPr/>
            </w:pPr>
            <w:r>
              <w:rPr/>
              <w:t>212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7"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212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tcMar>
              <w:bottom w:w="0" w:type="dxa"/>
            </w:tcMar>
            <w:vAlign w:val="center"/>
          </w:tcPr>
          <w:p>
            <w:pPr>
              <w:pStyle w:val="TableContents"/>
              <w:bidi w:val="0"/>
              <w:spacing w:before="0" w:after="283"/>
              <w:jc w:val="left"/>
              <w:rPr/>
            </w:pPr>
            <w:r>
              <w:rPr/>
              <w:t>Thereafter</w:t>
            </w:r>
          </w:p>
        </w:tc>
        <w:tc>
          <w:tcPr>
            <w:tcW w:w="90" w:type="dxa"/>
            <w:tcBorders/>
            <w:tcMar>
              <w:bottom w:w="0" w:type="dxa"/>
            </w:tcMar>
            <w:vAlign w:val="center"/>
          </w:tcPr>
          <w:p>
            <w:pPr>
              <w:pStyle w:val="TableContents"/>
              <w:bidi w:val="0"/>
              <w:spacing w:before="0" w:after="283"/>
              <w:jc w:val="left"/>
              <w:rPr/>
            </w:pPr>
            <w:r>
              <w:rPr/>
              <w:t> </w:t>
            </w:r>
          </w:p>
        </w:tc>
        <w:tc>
          <w:tcPr>
            <w:tcW w:w="405" w:type="dxa"/>
            <w:tcBorders>
              <w:bottom w:val="single" w:sz="8" w:space="0" w:color="000000"/>
            </w:tcBorders>
            <w:vAlign w:val="center"/>
          </w:tcPr>
          <w:p>
            <w:pPr>
              <w:pStyle w:val="TableContents"/>
              <w:bidi w:val="0"/>
              <w:spacing w:before="0" w:after="283"/>
              <w:jc w:val="left"/>
              <w:rPr/>
            </w:pPr>
            <w:r>
              <w:rPr/>
              <w:t> </w:t>
            </w:r>
          </w:p>
        </w:tc>
        <w:tc>
          <w:tcPr>
            <w:tcW w:w="1414" w:type="dxa"/>
            <w:tcBorders>
              <w:bottom w:val="single" w:sz="8"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67" w:type="dxa"/>
            <w:tcBorders>
              <w:bottom w:val="single" w:sz="8" w:space="0" w:color="000000"/>
            </w:tcBorders>
            <w:vAlign w:val="center"/>
          </w:tcPr>
          <w:p>
            <w:pPr>
              <w:pStyle w:val="TableContents"/>
              <w:bidi w:val="0"/>
              <w:spacing w:before="0" w:after="283"/>
              <w:jc w:val="left"/>
              <w:rPr/>
            </w:pPr>
            <w:r>
              <w:rPr/>
              <w:t> </w:t>
            </w:r>
          </w:p>
        </w:tc>
        <w:tc>
          <w:tcPr>
            <w:tcW w:w="1127" w:type="dxa"/>
            <w:tcBorders>
              <w:bottom w:val="single" w:sz="8"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 </w:t>
            </w:r>
          </w:p>
        </w:tc>
        <w:tc>
          <w:tcPr>
            <w:tcW w:w="590" w:type="dxa"/>
            <w:tcBorders>
              <w:bottom w:val="single" w:sz="8" w:space="0" w:color="000000"/>
            </w:tcBorders>
            <w:vAlign w:val="center"/>
          </w:tcPr>
          <w:p>
            <w:pPr>
              <w:pStyle w:val="TableContents"/>
              <w:bidi w:val="0"/>
              <w:spacing w:before="0" w:after="0"/>
              <w:jc w:val="right"/>
              <w:rPr/>
            </w:pPr>
            <w:r>
              <w:rPr/>
              <w:t>—</w:t>
            </w:r>
          </w:p>
        </w:tc>
        <w:tc>
          <w:tcPr>
            <w:tcW w:w="135" w:type="dxa"/>
            <w:tcBorders/>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283"/>
              <w:jc w:val="left"/>
              <w:rPr/>
            </w:pPr>
            <w:r>
              <w:rPr/>
              <w:t>Total undiscounted lease payments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left"/>
              <w:rPr/>
            </w:pPr>
            <w:r>
              <w:rPr/>
              <w:t> </w:t>
            </w:r>
          </w:p>
        </w:tc>
        <w:tc>
          <w:tcPr>
            <w:tcW w:w="1414" w:type="dxa"/>
            <w:tcBorders/>
            <w:shd w:fill="CCEEFF" w:val="clear"/>
            <w:tcMar>
              <w:bottom w:w="0" w:type="dxa"/>
            </w:tcMar>
            <w:vAlign w:val="center"/>
          </w:tcPr>
          <w:p>
            <w:pPr>
              <w:pStyle w:val="TableContents"/>
              <w:bidi w:val="0"/>
              <w:spacing w:before="0" w:after="283"/>
              <w:jc w:val="right"/>
              <w:rPr/>
            </w:pPr>
            <w:r>
              <w:rPr/>
              <w:t>1,485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7"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283"/>
              <w:jc w:val="right"/>
              <w:rPr/>
            </w:pPr>
            <w:r>
              <w:rPr/>
              <w:t>130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1,615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tcMar>
              <w:bottom w:w="0" w:type="dxa"/>
            </w:tcMar>
            <w:vAlign w:val="center"/>
          </w:tcPr>
          <w:p>
            <w:pPr>
              <w:pStyle w:val="TableContents"/>
              <w:bidi w:val="0"/>
              <w:spacing w:before="0" w:after="283"/>
              <w:jc w:val="left"/>
              <w:rPr/>
            </w:pPr>
            <w:r>
              <w:rPr/>
              <w:t>Less: present value adjustment</w:t>
            </w:r>
          </w:p>
        </w:tc>
        <w:tc>
          <w:tcPr>
            <w:tcW w:w="90" w:type="dxa"/>
            <w:tcBorders/>
            <w:tcMar>
              <w:bottom w:w="0" w:type="dxa"/>
            </w:tcMar>
            <w:vAlign w:val="center"/>
          </w:tcPr>
          <w:p>
            <w:pPr>
              <w:pStyle w:val="TableContents"/>
              <w:bidi w:val="0"/>
              <w:spacing w:before="0" w:after="283"/>
              <w:jc w:val="left"/>
              <w:rPr/>
            </w:pPr>
            <w:r>
              <w:rPr/>
              <w:t> </w:t>
            </w:r>
          </w:p>
        </w:tc>
        <w:tc>
          <w:tcPr>
            <w:tcW w:w="405" w:type="dxa"/>
            <w:tcBorders>
              <w:bottom w:val="single" w:sz="8" w:space="0" w:color="000000"/>
            </w:tcBorders>
            <w:vAlign w:val="center"/>
          </w:tcPr>
          <w:p>
            <w:pPr>
              <w:pStyle w:val="TableContents"/>
              <w:bidi w:val="0"/>
              <w:spacing w:before="0" w:after="283"/>
              <w:jc w:val="left"/>
              <w:rPr/>
            </w:pPr>
            <w:r>
              <w:rPr/>
              <w:t> </w:t>
            </w:r>
          </w:p>
        </w:tc>
        <w:tc>
          <w:tcPr>
            <w:tcW w:w="1414" w:type="dxa"/>
            <w:tcBorders>
              <w:bottom w:val="single" w:sz="8" w:space="0" w:color="000000"/>
            </w:tcBorders>
            <w:vAlign w:val="center"/>
          </w:tcPr>
          <w:p>
            <w:pPr>
              <w:pStyle w:val="TableContents"/>
              <w:bidi w:val="0"/>
              <w:spacing w:before="0" w:after="283"/>
              <w:jc w:val="right"/>
              <w:rPr/>
            </w:pPr>
            <w:r>
              <w:rPr/>
              <w:t>111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67" w:type="dxa"/>
            <w:tcBorders>
              <w:bottom w:val="single" w:sz="8" w:space="0" w:color="000000"/>
            </w:tcBorders>
            <w:vAlign w:val="center"/>
          </w:tcPr>
          <w:p>
            <w:pPr>
              <w:pStyle w:val="TableContents"/>
              <w:bidi w:val="0"/>
              <w:spacing w:before="0" w:after="283"/>
              <w:jc w:val="left"/>
              <w:rPr/>
            </w:pPr>
            <w:r>
              <w:rPr/>
              <w:t> </w:t>
            </w:r>
          </w:p>
        </w:tc>
        <w:tc>
          <w:tcPr>
            <w:tcW w:w="1127" w:type="dxa"/>
            <w:tcBorders>
              <w:bottom w:val="single" w:sz="8" w:space="0" w:color="000000"/>
            </w:tcBorders>
            <w:vAlign w:val="center"/>
          </w:tcPr>
          <w:p>
            <w:pPr>
              <w:pStyle w:val="TableContents"/>
              <w:bidi w:val="0"/>
              <w:spacing w:before="0" w:after="283"/>
              <w:jc w:val="right"/>
              <w:rPr/>
            </w:pPr>
            <w:r>
              <w:rPr/>
              <w:t>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 </w:t>
            </w:r>
          </w:p>
        </w:tc>
        <w:tc>
          <w:tcPr>
            <w:tcW w:w="590" w:type="dxa"/>
            <w:tcBorders>
              <w:bottom w:val="single" w:sz="8" w:space="0" w:color="000000"/>
            </w:tcBorders>
            <w:vAlign w:val="center"/>
          </w:tcPr>
          <w:p>
            <w:pPr>
              <w:pStyle w:val="TableContents"/>
              <w:bidi w:val="0"/>
              <w:spacing w:before="0" w:after="283"/>
              <w:jc w:val="right"/>
              <w:rPr/>
            </w:pPr>
            <w:r>
              <w:rPr/>
              <w:t>116</w:t>
            </w:r>
          </w:p>
        </w:tc>
        <w:tc>
          <w:tcPr>
            <w:tcW w:w="135" w:type="dxa"/>
            <w:tcBorders/>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283"/>
              <w:jc w:val="left"/>
              <w:rPr/>
            </w:pPr>
            <w:r>
              <w:rPr/>
              <w:t>Lease liability at September 30,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405" w:type="dxa"/>
            <w:tcBorders>
              <w:bottom w:val="double" w:sz="6" w:space="0" w:color="000000"/>
            </w:tcBorders>
            <w:shd w:fill="CCEEFF" w:val="clear"/>
            <w:vAlign w:val="center"/>
          </w:tcPr>
          <w:p>
            <w:pPr>
              <w:pStyle w:val="TableContents"/>
              <w:bidi w:val="0"/>
              <w:spacing w:before="0" w:after="283"/>
              <w:jc w:val="left"/>
              <w:rPr/>
            </w:pPr>
            <w:r>
              <w:rPr/>
              <w:t>$</w:t>
            </w:r>
          </w:p>
        </w:tc>
        <w:tc>
          <w:tcPr>
            <w:tcW w:w="1414" w:type="dxa"/>
            <w:tcBorders>
              <w:bottom w:val="double" w:sz="6" w:space="0" w:color="000000"/>
            </w:tcBorders>
            <w:shd w:fill="CCEEFF" w:val="clear"/>
            <w:vAlign w:val="center"/>
          </w:tcPr>
          <w:p>
            <w:pPr>
              <w:pStyle w:val="TableContents"/>
              <w:bidi w:val="0"/>
              <w:spacing w:before="0" w:after="283"/>
              <w:jc w:val="right"/>
              <w:rPr/>
            </w:pPr>
            <w:r>
              <w:rPr/>
              <w:t>1,374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7" w:type="dxa"/>
            <w:tcBorders>
              <w:bottom w:val="double" w:sz="6" w:space="0" w:color="000000"/>
            </w:tcBorders>
            <w:shd w:fill="CCEEFF" w:val="clear"/>
            <w:vAlign w:val="center"/>
          </w:tcPr>
          <w:p>
            <w:pPr>
              <w:pStyle w:val="TableContents"/>
              <w:bidi w:val="0"/>
              <w:spacing w:before="0" w:after="283"/>
              <w:jc w:val="left"/>
              <w:rPr/>
            </w:pPr>
            <w:r>
              <w:rPr/>
              <w:t>$</w:t>
            </w:r>
          </w:p>
        </w:tc>
        <w:tc>
          <w:tcPr>
            <w:tcW w:w="1127" w:type="dxa"/>
            <w:tcBorders>
              <w:bottom w:val="double" w:sz="6" w:space="0" w:color="000000"/>
            </w:tcBorders>
            <w:shd w:fill="CCEEFF" w:val="clear"/>
            <w:vAlign w:val="center"/>
          </w:tcPr>
          <w:p>
            <w:pPr>
              <w:pStyle w:val="TableContents"/>
              <w:bidi w:val="0"/>
              <w:spacing w:before="0" w:after="283"/>
              <w:jc w:val="right"/>
              <w:rPr/>
            </w:pPr>
            <w:r>
              <w:rPr/>
              <w:t>125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shd w:fill="CCEEFF" w:val="clear"/>
            <w:vAlign w:val="center"/>
          </w:tcPr>
          <w:p>
            <w:pPr>
              <w:pStyle w:val="TableContents"/>
              <w:bidi w:val="0"/>
              <w:spacing w:before="0" w:after="283"/>
              <w:jc w:val="left"/>
              <w:rPr/>
            </w:pPr>
            <w:r>
              <w:rPr/>
              <w:t>$</w:t>
            </w:r>
          </w:p>
        </w:tc>
        <w:tc>
          <w:tcPr>
            <w:tcW w:w="590" w:type="dxa"/>
            <w:tcBorders>
              <w:bottom w:val="double" w:sz="6" w:space="0" w:color="000000"/>
            </w:tcBorders>
            <w:shd w:fill="CCEEFF" w:val="clear"/>
            <w:vAlign w:val="center"/>
          </w:tcPr>
          <w:p>
            <w:pPr>
              <w:pStyle w:val="TableContents"/>
              <w:bidi w:val="0"/>
              <w:spacing w:before="0" w:after="283"/>
              <w:jc w:val="right"/>
              <w:rPr/>
            </w:pPr>
            <w:r>
              <w:rPr/>
              <w:t>1,499</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Contingencies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from time to time, party to routine litigation incidental to the normal course of our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 Contingent liabilities arising from litigation, income taxes, and other matters are not considered to be material to our financial position.</w:t>
      </w:r>
    </w:p>
    <w:tbl>
      <w:tblPr>
        <w:tblW w:w="3588" w:type="dxa"/>
        <w:jc w:val="left"/>
        <w:tblInd w:w="0" w:type="dxa"/>
        <w:tblLayout w:type="fixed"/>
        <w:tblCellMar>
          <w:top w:w="0" w:type="dxa"/>
          <w:left w:w="0" w:type="dxa"/>
          <w:bottom w:w="0" w:type="dxa"/>
          <w:right w:w="0" w:type="dxa"/>
        </w:tblCellMar>
      </w:tblPr>
      <w:tblGrid>
        <w:gridCol w:w="68"/>
        <w:gridCol w:w="350"/>
        <w:gridCol w:w="3170"/>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rPr>
            </w:pPr>
            <w:r>
              <w:rPr>
                <w:b/>
              </w:rPr>
              <w:t>16.</w:t>
            </w:r>
          </w:p>
        </w:tc>
        <w:tc>
          <w:tcPr>
            <w:tcW w:w="3170" w:type="dxa"/>
            <w:tcBorders/>
            <w:vAlign w:val="center"/>
          </w:tcPr>
          <w:p>
            <w:pPr>
              <w:pStyle w:val="TableContents"/>
              <w:bidi w:val="0"/>
              <w:spacing w:before="0" w:after="283"/>
              <w:jc w:val="left"/>
              <w:rPr>
                <w:b/>
              </w:rPr>
            </w:pPr>
            <w:r>
              <w:rPr>
                <w:b/>
              </w:rPr>
              <w:t>Common and Preferred Stock</w:t>
            </w:r>
          </w:p>
        </w:tc>
      </w:tr>
    </w:tbl>
    <w:p>
      <w:pPr>
        <w:pStyle w:val="TextBody"/>
        <w:bidi w:val="0"/>
        <w:spacing w:before="0" w:after="20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number of common stock shares outstanding were as follows:</w:t>
      </w:r>
    </w:p>
    <w:tbl>
      <w:tblPr>
        <w:tblW w:w="10205" w:type="dxa"/>
        <w:jc w:val="left"/>
        <w:tblInd w:w="0" w:type="dxa"/>
        <w:tblLayout w:type="fixed"/>
        <w:tblCellMar>
          <w:top w:w="0" w:type="dxa"/>
          <w:left w:w="0" w:type="dxa"/>
          <w:bottom w:w="0" w:type="dxa"/>
          <w:right w:w="0" w:type="dxa"/>
        </w:tblCellMar>
      </w:tblPr>
      <w:tblGrid>
        <w:gridCol w:w="6380"/>
        <w:gridCol w:w="90"/>
        <w:gridCol w:w="121"/>
        <w:gridCol w:w="1532"/>
        <w:gridCol w:w="169"/>
        <w:gridCol w:w="121"/>
        <w:gridCol w:w="121"/>
        <w:gridCol w:w="1532"/>
        <w:gridCol w:w="139"/>
      </w:tblGrid>
      <w:tr>
        <w:trPr/>
        <w:tc>
          <w:tcPr>
            <w:tcW w:w="63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9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39"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69"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6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9" w:type="dxa"/>
            <w:tcBorders/>
            <w:vAlign w:val="center"/>
          </w:tcPr>
          <w:p>
            <w:pPr>
              <w:pStyle w:val="TableContents"/>
              <w:bidi w:val="0"/>
              <w:spacing w:before="0" w:after="283"/>
              <w:ind w:left="0" w:right="0" w:hanging="216"/>
              <w:jc w:val="left"/>
              <w:rPr/>
            </w:pPr>
            <w:r>
              <w:rPr/>
              <w:t> </w:t>
            </w:r>
          </w:p>
        </w:tc>
      </w:tr>
      <w:tr>
        <w:trPr/>
        <w:tc>
          <w:tcPr>
            <w:tcW w:w="6380" w:type="dxa"/>
            <w:tcBorders/>
            <w:shd w:fill="CCEEFF" w:val="clear"/>
            <w:vAlign w:val="center"/>
          </w:tcPr>
          <w:p>
            <w:pPr>
              <w:pStyle w:val="TableContents"/>
              <w:bidi w:val="0"/>
              <w:spacing w:before="0" w:after="283"/>
              <w:jc w:val="left"/>
              <w:rPr/>
            </w:pPr>
            <w:r>
              <w:rPr/>
              <w:t>Shares outstanding, beginning of period</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20,673,268</w:t>
            </w:r>
          </w:p>
        </w:tc>
        <w:tc>
          <w:tcPr>
            <w:tcW w:w="169"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20,599,908</w:t>
            </w:r>
          </w:p>
        </w:tc>
        <w:tc>
          <w:tcPr>
            <w:tcW w:w="139" w:type="dxa"/>
            <w:tcBorders/>
            <w:shd w:fill="CCEEFF" w:val="clear"/>
            <w:vAlign w:val="center"/>
          </w:tcPr>
          <w:p>
            <w:pPr>
              <w:pStyle w:val="TableContents"/>
              <w:bidi w:val="0"/>
              <w:spacing w:before="0" w:after="283"/>
              <w:ind w:left="0" w:right="0" w:hanging="216"/>
              <w:jc w:val="left"/>
              <w:rPr/>
            </w:pPr>
            <w:r>
              <w:rPr/>
              <w:t> </w:t>
            </w:r>
          </w:p>
        </w:tc>
      </w:tr>
      <w:tr>
        <w:trPr/>
        <w:tc>
          <w:tcPr>
            <w:tcW w:w="6380" w:type="dxa"/>
            <w:tcBorders/>
            <w:vAlign w:val="center"/>
          </w:tcPr>
          <w:p>
            <w:pPr>
              <w:pStyle w:val="TableContents"/>
              <w:bidi w:val="0"/>
              <w:spacing w:before="0" w:after="283"/>
              <w:jc w:val="left"/>
              <w:rPr/>
            </w:pPr>
            <w:r>
              <w:rPr/>
              <w:t>Treasury shares repurchased through stock repurchase authorization</w:t>
            </w:r>
          </w:p>
        </w:tc>
        <w:tc>
          <w:tcPr>
            <w:tcW w:w="9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(87,199</w:t>
            </w:r>
          </w:p>
        </w:tc>
        <w:tc>
          <w:tcPr>
            <w:tcW w:w="169"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0"/>
              <w:jc w:val="right"/>
              <w:rPr/>
            </w:pPr>
            <w:r>
              <w:rPr/>
              <w:t>—</w:t>
            </w:r>
          </w:p>
        </w:tc>
        <w:tc>
          <w:tcPr>
            <w:tcW w:w="139" w:type="dxa"/>
            <w:tcBorders/>
            <w:vAlign w:val="center"/>
          </w:tcPr>
          <w:p>
            <w:pPr>
              <w:pStyle w:val="TableContents"/>
              <w:bidi w:val="0"/>
              <w:spacing w:before="0" w:after="283"/>
              <w:ind w:left="0" w:right="0" w:hanging="216"/>
              <w:jc w:val="left"/>
              <w:rPr/>
            </w:pPr>
            <w:r>
              <w:rPr/>
              <w:t> </w:t>
            </w:r>
          </w:p>
        </w:tc>
      </w:tr>
      <w:tr>
        <w:trPr/>
        <w:tc>
          <w:tcPr>
            <w:tcW w:w="6380" w:type="dxa"/>
            <w:tcBorders/>
            <w:shd w:fill="CCEEFF" w:val="clear"/>
            <w:vAlign w:val="center"/>
          </w:tcPr>
          <w:p>
            <w:pPr>
              <w:pStyle w:val="TableContents"/>
              <w:bidi w:val="0"/>
              <w:spacing w:before="0" w:after="283"/>
              <w:jc w:val="left"/>
              <w:rPr/>
            </w:pPr>
            <w:r>
              <w:rPr/>
              <w:t>Issuance of treasury shares for vesting of restricted stock units</w:t>
            </w:r>
          </w:p>
        </w:tc>
        <w:tc>
          <w:tcPr>
            <w:tcW w:w="9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pPr>
            <w:r>
              <w:rPr/>
              <w:t>43,668</w:t>
            </w:r>
          </w:p>
        </w:tc>
        <w:tc>
          <w:tcPr>
            <w:tcW w:w="169"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pPr>
            <w:r>
              <w:rPr/>
              <w:t>48,734</w:t>
            </w:r>
          </w:p>
        </w:tc>
        <w:tc>
          <w:tcPr>
            <w:tcW w:w="139" w:type="dxa"/>
            <w:tcBorders/>
            <w:shd w:fill="CCEEFF" w:val="clear"/>
            <w:vAlign w:val="center"/>
          </w:tcPr>
          <w:p>
            <w:pPr>
              <w:pStyle w:val="TableContents"/>
              <w:bidi w:val="0"/>
              <w:spacing w:before="0" w:after="283"/>
              <w:ind w:left="0" w:right="0" w:hanging="216"/>
              <w:jc w:val="left"/>
              <w:rPr/>
            </w:pPr>
            <w:r>
              <w:rPr/>
              <w:t> </w:t>
            </w:r>
          </w:p>
        </w:tc>
      </w:tr>
      <w:tr>
        <w:trPr/>
        <w:tc>
          <w:tcPr>
            <w:tcW w:w="6380" w:type="dxa"/>
            <w:tcBorders/>
            <w:vAlign w:val="center"/>
          </w:tcPr>
          <w:p>
            <w:pPr>
              <w:pStyle w:val="TableContents"/>
              <w:bidi w:val="0"/>
              <w:spacing w:before="0" w:after="283"/>
              <w:jc w:val="left"/>
              <w:rPr/>
            </w:pPr>
            <w:r>
              <w:rPr/>
              <w:t>Shares outstanding, end of period</w:t>
            </w:r>
          </w:p>
        </w:tc>
        <w:tc>
          <w:tcPr>
            <w:tcW w:w="90" w:type="dxa"/>
            <w:tcBorders/>
            <w:vAlign w:val="center"/>
          </w:tcPr>
          <w:p>
            <w:pPr>
              <w:pStyle w:val="TableContents"/>
              <w:bidi w:val="0"/>
              <w:spacing w:before="0" w:after="283"/>
              <w:jc w:val="left"/>
              <w:rPr/>
            </w:pPr>
            <w:r>
              <w:rPr/>
              <w:t> </w:t>
            </w:r>
          </w:p>
        </w:tc>
        <w:tc>
          <w:tcPr>
            <w:tcW w:w="121" w:type="dxa"/>
            <w:tcBorders>
              <w:bottom w:val="double" w:sz="6" w:space="0" w:color="000000"/>
            </w:tcBorders>
            <w:tcMar>
              <w:bottom w:w="28" w:type="dxa"/>
            </w:tcMar>
            <w:vAlign w:val="center"/>
          </w:tcPr>
          <w:p>
            <w:pPr>
              <w:pStyle w:val="TableContents"/>
              <w:bidi w:val="0"/>
              <w:spacing w:before="0" w:after="283"/>
              <w:jc w:val="left"/>
              <w:rPr/>
            </w:pPr>
            <w:r>
              <w:rPr/>
              <w:t> </w:t>
            </w:r>
          </w:p>
        </w:tc>
        <w:tc>
          <w:tcPr>
            <w:tcW w:w="1532" w:type="dxa"/>
            <w:tcBorders>
              <w:bottom w:val="double" w:sz="6" w:space="0" w:color="000000"/>
            </w:tcBorders>
            <w:tcMar>
              <w:bottom w:w="28" w:type="dxa"/>
            </w:tcMar>
            <w:vAlign w:val="center"/>
          </w:tcPr>
          <w:p>
            <w:pPr>
              <w:pStyle w:val="TableContents"/>
              <w:bidi w:val="0"/>
              <w:spacing w:before="0" w:after="283"/>
              <w:jc w:val="right"/>
              <w:rPr/>
            </w:pPr>
            <w:r>
              <w:rPr/>
              <w:t>20,629,737</w:t>
            </w:r>
          </w:p>
        </w:tc>
        <w:tc>
          <w:tcPr>
            <w:tcW w:w="169"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bottom w:val="double" w:sz="6" w:space="0" w:color="000000"/>
            </w:tcBorders>
            <w:tcMar>
              <w:bottom w:w="28" w:type="dxa"/>
            </w:tcMar>
            <w:vAlign w:val="center"/>
          </w:tcPr>
          <w:p>
            <w:pPr>
              <w:pStyle w:val="TableContents"/>
              <w:bidi w:val="0"/>
              <w:spacing w:before="0" w:after="283"/>
              <w:jc w:val="left"/>
              <w:rPr/>
            </w:pPr>
            <w:r>
              <w:rPr/>
              <w:t> </w:t>
            </w:r>
          </w:p>
        </w:tc>
        <w:tc>
          <w:tcPr>
            <w:tcW w:w="1532" w:type="dxa"/>
            <w:tcBorders>
              <w:bottom w:val="double" w:sz="6" w:space="0" w:color="000000"/>
            </w:tcBorders>
            <w:tcMar>
              <w:bottom w:w="28" w:type="dxa"/>
            </w:tcMar>
            <w:vAlign w:val="center"/>
          </w:tcPr>
          <w:p>
            <w:pPr>
              <w:pStyle w:val="TableContents"/>
              <w:bidi w:val="0"/>
              <w:spacing w:before="0" w:after="283"/>
              <w:jc w:val="right"/>
              <w:rPr/>
            </w:pPr>
            <w:r>
              <w:rPr/>
              <w:t>20,648,642</w:t>
            </w:r>
          </w:p>
        </w:tc>
        <w:tc>
          <w:tcPr>
            <w:tcW w:w="139" w:type="dxa"/>
            <w:tcBorders/>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the number of common shares outstanding excludes certain non-forfeitable stock award shares that are included in the weighted average common shares outstanding used in basic earnings per common share calculations. The net loss per diluted common share for the three- and nine-month periods ended September 30, 2025, excluded the weighted average effects of 58,312 and 64,731 shares, respectively, of stock awards since the impacts of these potential shares of common stock were anti-dilutive. The net loss per diluted common share for the three- and nine-month period ended September 30, 2024, excluded the weighted average effects of 134,644 and 125,054 shares of stock awards since the impacts of these potential shares of common stock were anti-dilutive.</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2022, our Board of Directors approved an authorization for the repurchase of up to approximately $10,000 of the Company’s outstanding common stock. During the nine months ended September 30, 2025, we completed the repurchase of 87,199 shares of our common stock for $1,156 under this authorization, including the applicable excise tax. At September 30, 2025, $900 remains available under this authorization. During the nine months ended September 30, 2024, we did not repurchase any shares of our common stock.</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2025, our Board of Directors approved an authorization for the repurchase of up to approximately $5,000 of the Company’s outstanding common stock in addition to the $900 remaining from the May 9, 2022, repurchase authorization as of September 30, 2025. No shares were repurchased as part of the August 25, 2025, authorization during the nine months ended September 30, 2025.</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this treasury stock is a reduction of shareholders’ equity within our Consolidated Balance Sheets.</w:t>
      </w:r>
    </w:p>
    <w:p>
      <w:pPr>
        <w:pStyle w:val="TextBody"/>
        <w:bidi w:val="0"/>
        <w:spacing w:before="0" w:after="20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Articles of Incorporation provide authority to issue up to five million shares of preferred stock. No preferred shares are issued or outstanding.</w:t>
      </w:r>
    </w:p>
    <w:tbl>
      <w:tblPr>
        <w:tblW w:w="3288" w:type="dxa"/>
        <w:jc w:val="left"/>
        <w:tblInd w:w="0" w:type="dxa"/>
        <w:tblLayout w:type="fixed"/>
        <w:tblCellMar>
          <w:top w:w="0" w:type="dxa"/>
          <w:left w:w="0" w:type="dxa"/>
          <w:bottom w:w="0" w:type="dxa"/>
          <w:right w:w="0" w:type="dxa"/>
        </w:tblCellMar>
      </w:tblPr>
      <w:tblGrid>
        <w:gridCol w:w="68"/>
        <w:gridCol w:w="305"/>
        <w:gridCol w:w="291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b/>
                <w:sz w:val="20"/>
              </w:rPr>
            </w:pPr>
            <w:r>
              <w:rPr>
                <w:b/>
                <w:sz w:val="20"/>
              </w:rPr>
              <w:t>17.</w:t>
            </w:r>
          </w:p>
        </w:tc>
        <w:tc>
          <w:tcPr>
            <w:tcW w:w="2915" w:type="dxa"/>
            <w:tcBorders/>
            <w:vAlign w:val="center"/>
          </w:tcPr>
          <w:p>
            <w:pPr>
              <w:pStyle w:val="TableContents"/>
              <w:bidi w:val="0"/>
              <w:spacing w:before="0" w:after="283"/>
              <w:jc w:val="left"/>
              <w:rPr>
                <w:b/>
              </w:rPr>
            </w:pPr>
            <w:r>
              <w:rPr>
                <w:b/>
              </w:rPr>
              <w:t>Share-Based Compensation</w:t>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NI Holdings, Inc. 2020 Stock and Incentive Plan (the “Plan”) is designed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aggregate number of shares of common stock that may be issued under the Plan shall not exceed 1,000,000 shares,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w:t>
      </w:r>
    </w:p>
    <w:p>
      <w:pPr>
        <w:pStyle w:val="TextBody"/>
        <w:bidi w:val="0"/>
        <w:spacing w:before="0" w:after="20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awarded RSUs to non-employee directors and select executives. RSUs are promises to issue actual shares of common stock at the end of a vesting period. The RSUs granted to executives under the Plan are based on salary. RSUs granted prior to 2024 vest equally over a five-year period. Effective for executive grants beginning in 2024, the RSUs vest equally over a three-year period. As approved by the Compensation Committee, all executive share-based compensation granted in 2025 was awarded as RSUs. The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stock-based compensation costs for RSUs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outstanding and unearned RSUs is presented below:</w:t>
      </w:r>
    </w:p>
    <w:tbl>
      <w:tblPr>
        <w:tblW w:w="8570" w:type="dxa"/>
        <w:jc w:val="left"/>
        <w:tblInd w:w="0" w:type="dxa"/>
        <w:tblLayout w:type="fixed"/>
        <w:tblCellMar>
          <w:top w:w="0" w:type="dxa"/>
          <w:left w:w="0" w:type="dxa"/>
          <w:bottom w:w="0" w:type="dxa"/>
          <w:right w:w="0" w:type="dxa"/>
        </w:tblCellMar>
      </w:tblPr>
      <w:tblGrid>
        <w:gridCol w:w="5255"/>
        <w:gridCol w:w="90"/>
        <w:gridCol w:w="90"/>
        <w:gridCol w:w="830"/>
        <w:gridCol w:w="125"/>
        <w:gridCol w:w="90"/>
        <w:gridCol w:w="437"/>
        <w:gridCol w:w="1518"/>
        <w:gridCol w:w="135"/>
      </w:tblGrid>
      <w:tr>
        <w:trPr/>
        <w:tc>
          <w:tcPr>
            <w:tcW w:w="52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RSUs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Grant-Date</w:t>
              <w:br/>
              <w:t>Fair Value</w:t>
              <w:br/>
              <w:t>Per Share</w:t>
            </w:r>
          </w:p>
        </w:tc>
        <w:tc>
          <w:tcPr>
            <w:tcW w:w="135" w:type="dxa"/>
            <w:tcBorders/>
            <w:vAlign w:val="center"/>
          </w:tcPr>
          <w:p>
            <w:pPr>
              <w:pStyle w:val="TableContents"/>
              <w:bidi w:val="0"/>
              <w:spacing w:before="0" w:after="283"/>
              <w:ind w:left="0" w:right="0" w:hanging="216"/>
              <w:jc w:val="left"/>
              <w:rPr/>
            </w:pPr>
            <w:r>
              <w:rPr/>
              <w:t> </w:t>
            </w:r>
          </w:p>
        </w:tc>
      </w:tr>
      <w:tr>
        <w:trPr/>
        <w:tc>
          <w:tcPr>
            <w:tcW w:w="5255" w:type="dxa"/>
            <w:tcBorders/>
            <w:shd w:fill="CCEEFF" w:val="clear"/>
            <w:vAlign w:val="center"/>
          </w:tcPr>
          <w:p>
            <w:pPr>
              <w:pStyle w:val="TableContents"/>
              <w:bidi w:val="0"/>
              <w:spacing w:before="0" w:after="283"/>
              <w:jc w:val="left"/>
              <w:rPr/>
            </w:pPr>
            <w:r>
              <w:rPr/>
              <w:t>Units outstanding and unearned at January 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146,580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w:t>
            </w:r>
          </w:p>
        </w:tc>
        <w:tc>
          <w:tcPr>
            <w:tcW w:w="1518" w:type="dxa"/>
            <w:tcBorders/>
            <w:shd w:fill="CCEEFF" w:val="clear"/>
            <w:vAlign w:val="center"/>
          </w:tcPr>
          <w:p>
            <w:pPr>
              <w:pStyle w:val="TableContents"/>
              <w:bidi w:val="0"/>
              <w:spacing w:before="0" w:after="283"/>
              <w:jc w:val="right"/>
              <w:rPr/>
            </w:pPr>
            <w:r>
              <w:rPr/>
              <w:t>15.37</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5255" w:type="dxa"/>
            <w:tcBorders/>
            <w:vAlign w:val="center"/>
          </w:tcPr>
          <w:p>
            <w:pPr>
              <w:pStyle w:val="TableContents"/>
              <w:bidi w:val="0"/>
              <w:spacing w:before="0" w:after="283"/>
              <w:jc w:val="left"/>
              <w:rPr/>
            </w:pPr>
            <w:r>
              <w:rPr/>
              <w:t>RSUs granted during 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119,398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14.67</w:t>
            </w:r>
          </w:p>
        </w:tc>
        <w:tc>
          <w:tcPr>
            <w:tcW w:w="135"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pPr>
            <w:r>
              <w:rPr/>
              <w:t>RSUs earned during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(69,420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14.82</w:t>
            </w:r>
          </w:p>
        </w:tc>
        <w:tc>
          <w:tcPr>
            <w:tcW w:w="135" w:type="dxa"/>
            <w:tcBorders/>
            <w:shd w:fill="CCEEFF" w:val="cle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sz w:val="20"/>
              </w:rPr>
            </w:pPr>
            <w:r>
              <w:rPr>
                <w:sz w:val="20"/>
              </w:rPr>
              <w:t xml:space="preserve">Forfeitures </w:t>
            </w:r>
            <w:r>
              <w:rPr>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(92,160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15.18</w:t>
            </w:r>
          </w:p>
        </w:tc>
        <w:tc>
          <w:tcPr>
            <w:tcW w:w="135" w:type="dxa"/>
            <w:tcBorders/>
            <w:vAlign w:val="center"/>
          </w:tcPr>
          <w:p>
            <w:pPr>
              <w:pStyle w:val="TableContents"/>
              <w:bidi w:val="0"/>
              <w:spacing w:before="0" w:after="283"/>
              <w:ind w:left="0" w:right="0" w:hanging="216"/>
              <w:jc w:val="left"/>
              <w:rPr/>
            </w:pPr>
            <w:r>
              <w:rPr/>
              <w:t> </w:t>
            </w:r>
          </w:p>
        </w:tc>
      </w:tr>
      <w:tr>
        <w:trPr/>
        <w:tc>
          <w:tcPr>
            <w:tcW w:w="5255" w:type="dxa"/>
            <w:tcBorders/>
            <w:shd w:fill="CCEEFF" w:val="clear"/>
            <w:vAlign w:val="center"/>
          </w:tcPr>
          <w:p>
            <w:pPr>
              <w:pStyle w:val="TableContents"/>
              <w:bidi w:val="0"/>
              <w:spacing w:before="0" w:after="283"/>
              <w:jc w:val="left"/>
              <w:rPr/>
            </w:pPr>
            <w:r>
              <w:rPr/>
              <w:t>Units outstanding and unearned at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104,398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15.11</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52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216"/>
              <w:jc w:val="left"/>
              <w:rPr/>
            </w:pPr>
            <w:r>
              <w:rPr/>
              <w:t> </w:t>
            </w:r>
          </w:p>
        </w:tc>
      </w:tr>
      <w:tr>
        <w:trPr/>
        <w:tc>
          <w:tcPr>
            <w:tcW w:w="5255" w:type="dxa"/>
            <w:tcBorders/>
            <w:shd w:fill="CCEEFF" w:val="clear"/>
            <w:vAlign w:val="center"/>
          </w:tcPr>
          <w:p>
            <w:pPr>
              <w:pStyle w:val="TableContents"/>
              <w:bidi w:val="0"/>
              <w:spacing w:before="0" w:after="283"/>
              <w:jc w:val="left"/>
              <w:rPr/>
            </w:pPr>
            <w:r>
              <w:rPr/>
              <w:t>RSUs granted during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154,722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14.06</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5255" w:type="dxa"/>
            <w:tcBorders/>
            <w:vAlign w:val="center"/>
          </w:tcPr>
          <w:p>
            <w:pPr>
              <w:pStyle w:val="TableContents"/>
              <w:bidi w:val="0"/>
              <w:spacing w:before="0" w:after="283"/>
              <w:jc w:val="left"/>
              <w:rPr/>
            </w:pPr>
            <w:r>
              <w:rPr/>
              <w:t>RSUs earned during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(51,313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15.01</w:t>
            </w:r>
          </w:p>
        </w:tc>
        <w:tc>
          <w:tcPr>
            <w:tcW w:w="135" w:type="dxa"/>
            <w:tcBorders/>
            <w:vAlign w:val="center"/>
          </w:tcPr>
          <w:p>
            <w:pPr>
              <w:pStyle w:val="TableContents"/>
              <w:bidi w:val="0"/>
              <w:spacing w:before="0" w:after="283"/>
              <w:ind w:left="0" w:right="0" w:hanging="216"/>
              <w:jc w:val="left"/>
              <w:rPr/>
            </w:pPr>
            <w:r>
              <w:rPr/>
              <w:t> </w:t>
            </w:r>
          </w:p>
        </w:tc>
      </w:tr>
      <w:tr>
        <w:trPr/>
        <w:tc>
          <w:tcPr>
            <w:tcW w:w="5255" w:type="dxa"/>
            <w:tcBorders/>
            <w:shd w:fill="CCEEFF" w:val="clear"/>
            <w:vAlign w:val="center"/>
          </w:tcPr>
          <w:p>
            <w:pPr>
              <w:pStyle w:val="TableContents"/>
              <w:bidi w:val="0"/>
              <w:spacing w:before="0" w:after="283"/>
              <w:jc w:val="left"/>
              <w:rPr/>
            </w:pPr>
            <w:r>
              <w:rPr/>
              <w:t>Forfeitures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(12,294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14.43</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5255" w:type="dxa"/>
            <w:tcBorders/>
            <w:vAlign w:val="center"/>
          </w:tcPr>
          <w:p>
            <w:pPr>
              <w:pStyle w:val="TableContents"/>
              <w:bidi w:val="0"/>
              <w:spacing w:before="0" w:after="283"/>
              <w:jc w:val="left"/>
              <w:rPr/>
            </w:pPr>
            <w:r>
              <w:rPr/>
              <w:t>Units outstanding and unearned at September 30, 2025</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tcMar>
              <w:bottom w:w="28" w:type="dxa"/>
            </w:tcMar>
            <w:vAlign w:val="center"/>
          </w:tcPr>
          <w:p>
            <w:pPr>
              <w:pStyle w:val="TableContents"/>
              <w:bidi w:val="0"/>
              <w:spacing w:before="0" w:after="283"/>
              <w:jc w:val="right"/>
              <w:rPr/>
            </w:pPr>
            <w:r>
              <w:rPr/>
              <w:t>195,513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14.35</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Represents RSU forfeitures primarily related to the execution of the separation agreement with the former Chief Executive Officer and former Senior Vice President of Operations. </w:t>
      </w:r>
    </w:p>
    <w:p>
      <w:pPr>
        <w:pStyle w:val="TextBody"/>
        <w:bidi w:val="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impact of RSU activity to the Company’s financial results:</w:t>
      </w:r>
    </w:p>
    <w:tbl>
      <w:tblPr>
        <w:tblW w:w="10205" w:type="dxa"/>
        <w:jc w:val="left"/>
        <w:tblInd w:w="0" w:type="dxa"/>
        <w:tblLayout w:type="fixed"/>
        <w:tblCellMar>
          <w:top w:w="0" w:type="dxa"/>
          <w:left w:w="0" w:type="dxa"/>
          <w:bottom w:w="0" w:type="dxa"/>
          <w:right w:w="0" w:type="dxa"/>
        </w:tblCellMar>
      </w:tblPr>
      <w:tblGrid>
        <w:gridCol w:w="3699"/>
        <w:gridCol w:w="90"/>
        <w:gridCol w:w="359"/>
        <w:gridCol w:w="867"/>
        <w:gridCol w:w="264"/>
        <w:gridCol w:w="190"/>
        <w:gridCol w:w="359"/>
        <w:gridCol w:w="1026"/>
        <w:gridCol w:w="125"/>
        <w:gridCol w:w="90"/>
        <w:gridCol w:w="348"/>
        <w:gridCol w:w="994"/>
        <w:gridCol w:w="256"/>
        <w:gridCol w:w="184"/>
        <w:gridCol w:w="348"/>
        <w:gridCol w:w="840"/>
        <w:gridCol w:w="166"/>
      </w:tblGrid>
      <w:tr>
        <w:trPr/>
        <w:tc>
          <w:tcPr>
            <w:tcW w:w="36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66" w:type="dxa"/>
            <w:tcBorders/>
            <w:vAlign w:val="center"/>
          </w:tcPr>
          <w:p>
            <w:pPr>
              <w:pStyle w:val="TableContents"/>
              <w:bidi w:val="0"/>
              <w:spacing w:before="0" w:after="283"/>
              <w:jc w:val="left"/>
              <w:rPr/>
            </w:pPr>
            <w:r>
              <w:rPr/>
              <w:t> </w:t>
            </w:r>
          </w:p>
        </w:tc>
      </w:tr>
      <w:tr>
        <w:trPr/>
        <w:tc>
          <w:tcPr>
            <w:tcW w:w="36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64"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56"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66" w:type="dxa"/>
            <w:tcBorders/>
            <w:vAlign w:val="center"/>
          </w:tcPr>
          <w:p>
            <w:pPr>
              <w:pStyle w:val="TableContents"/>
              <w:bidi w:val="0"/>
              <w:spacing w:before="0" w:after="283"/>
              <w:jc w:val="left"/>
              <w:rPr/>
            </w:pPr>
            <w:r>
              <w:rPr/>
              <w:t> </w:t>
            </w:r>
          </w:p>
        </w:tc>
      </w:tr>
      <w:tr>
        <w:trPr/>
        <w:tc>
          <w:tcPr>
            <w:tcW w:w="3699" w:type="dxa"/>
            <w:tcBorders/>
            <w:shd w:fill="CCEEFF" w:val="clear"/>
            <w:vAlign w:val="center"/>
          </w:tcPr>
          <w:p>
            <w:pPr>
              <w:pStyle w:val="TableContents"/>
              <w:bidi w:val="0"/>
              <w:spacing w:before="0" w:after="283"/>
              <w:jc w:val="left"/>
              <w:rPr/>
            </w:pPr>
            <w:r>
              <w:rPr/>
              <w:t>RSU compensation expense</w:t>
            </w:r>
          </w:p>
        </w:tc>
        <w:tc>
          <w:tcPr>
            <w:tcW w:w="9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w:t>
            </w:r>
          </w:p>
        </w:tc>
        <w:tc>
          <w:tcPr>
            <w:tcW w:w="867" w:type="dxa"/>
            <w:tcBorders/>
            <w:shd w:fill="CCEEFF" w:val="clear"/>
            <w:vAlign w:val="center"/>
          </w:tcPr>
          <w:p>
            <w:pPr>
              <w:pStyle w:val="TableContents"/>
              <w:bidi w:val="0"/>
              <w:spacing w:before="0" w:after="283"/>
              <w:jc w:val="right"/>
              <w:rPr/>
            </w:pPr>
            <w:r>
              <w:rPr/>
              <w:t>280</w:t>
            </w:r>
          </w:p>
        </w:tc>
        <w:tc>
          <w:tcPr>
            <w:tcW w:w="264"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w:t>
            </w:r>
          </w:p>
        </w:tc>
        <w:tc>
          <w:tcPr>
            <w:tcW w:w="1026" w:type="dxa"/>
            <w:tcBorders/>
            <w:shd w:fill="CCEEFF" w:val="clear"/>
            <w:vAlign w:val="center"/>
          </w:tcPr>
          <w:p>
            <w:pPr>
              <w:pStyle w:val="TableContents"/>
              <w:bidi w:val="0"/>
              <w:spacing w:before="0" w:after="283"/>
              <w:jc w:val="right"/>
              <w:rPr/>
            </w:pPr>
            <w:r>
              <w:rPr/>
              <w:t>(384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w:t>
            </w:r>
          </w:p>
        </w:tc>
        <w:tc>
          <w:tcPr>
            <w:tcW w:w="994" w:type="dxa"/>
            <w:tcBorders/>
            <w:shd w:fill="CCEEFF" w:val="clear"/>
            <w:vAlign w:val="center"/>
          </w:tcPr>
          <w:p>
            <w:pPr>
              <w:pStyle w:val="TableContents"/>
              <w:bidi w:val="0"/>
              <w:spacing w:before="0" w:after="283"/>
              <w:jc w:val="right"/>
              <w:rPr/>
            </w:pPr>
            <w:r>
              <w:rPr/>
              <w:t>976</w:t>
            </w:r>
          </w:p>
        </w:tc>
        <w:tc>
          <w:tcPr>
            <w:tcW w:w="256"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383</w:t>
            </w:r>
          </w:p>
        </w:tc>
        <w:tc>
          <w:tcPr>
            <w:tcW w:w="166" w:type="dxa"/>
            <w:tcBorders/>
            <w:shd w:fill="CCEEFF" w:val="clear"/>
            <w:vAlign w:val="center"/>
          </w:tcPr>
          <w:p>
            <w:pPr>
              <w:pStyle w:val="TableContents"/>
              <w:bidi w:val="0"/>
              <w:spacing w:before="0" w:after="283"/>
              <w:ind w:left="0" w:right="0" w:hanging="216"/>
              <w:jc w:val="left"/>
              <w:rPr/>
            </w:pPr>
            <w:r>
              <w:rPr/>
              <w:t> </w:t>
            </w:r>
          </w:p>
        </w:tc>
      </w:tr>
      <w:tr>
        <w:trPr/>
        <w:tc>
          <w:tcPr>
            <w:tcW w:w="3699" w:type="dxa"/>
            <w:tcBorders/>
            <w:vAlign w:val="center"/>
          </w:tcPr>
          <w:p>
            <w:pPr>
              <w:pStyle w:val="TableContents"/>
              <w:bidi w:val="0"/>
              <w:spacing w:before="0" w:after="283"/>
              <w:jc w:val="left"/>
              <w:rPr/>
            </w:pPr>
            <w:r>
              <w:rPr/>
              <w:t>Income tax benefit</w:t>
            </w:r>
          </w:p>
        </w:tc>
        <w:tc>
          <w:tcPr>
            <w:tcW w:w="90" w:type="dxa"/>
            <w:tcBorders/>
            <w:vAlign w:val="center"/>
          </w:tcPr>
          <w:p>
            <w:pPr>
              <w:pStyle w:val="TableContents"/>
              <w:bidi w:val="0"/>
              <w:spacing w:before="0" w:after="283"/>
              <w:jc w:val="left"/>
              <w:rPr/>
            </w:pPr>
            <w:r>
              <w:rPr/>
              <w:t> </w:t>
            </w:r>
          </w:p>
        </w:tc>
        <w:tc>
          <w:tcPr>
            <w:tcW w:w="359" w:type="dxa"/>
            <w:tcBorders>
              <w:bottom w:val="single" w:sz="8" w:space="0" w:color="000000"/>
            </w:tcBorders>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tcMar>
              <w:bottom w:w="28" w:type="dxa"/>
            </w:tcMar>
            <w:vAlign w:val="center"/>
          </w:tcPr>
          <w:p>
            <w:pPr>
              <w:pStyle w:val="TableContents"/>
              <w:bidi w:val="0"/>
              <w:spacing w:before="0" w:after="283"/>
              <w:jc w:val="right"/>
              <w:rPr/>
            </w:pPr>
            <w:r>
              <w:rPr/>
              <w:t>(64</w:t>
            </w:r>
          </w:p>
        </w:tc>
        <w:tc>
          <w:tcPr>
            <w:tcW w:w="264" w:type="dxa"/>
            <w:tcBorders/>
            <w:vAlign w:val="center"/>
          </w:tcPr>
          <w:p>
            <w:pPr>
              <w:pStyle w:val="TableContents"/>
              <w:bidi w:val="0"/>
              <w:spacing w:before="0" w:after="283"/>
              <w:jc w:val="left"/>
              <w:rPr/>
            </w:pPr>
            <w:r>
              <w:rPr/>
              <w:t>)</w:t>
            </w:r>
          </w:p>
        </w:tc>
        <w:tc>
          <w:tcPr>
            <w:tcW w:w="190" w:type="dxa"/>
            <w:tcBorders/>
            <w:vAlign w:val="center"/>
          </w:tcPr>
          <w:p>
            <w:pPr>
              <w:pStyle w:val="TableContents"/>
              <w:bidi w:val="0"/>
              <w:spacing w:before="0" w:after="283"/>
              <w:jc w:val="left"/>
              <w:rPr/>
            </w:pPr>
            <w:r>
              <w:rPr/>
              <w:t> </w:t>
            </w:r>
          </w:p>
        </w:tc>
        <w:tc>
          <w:tcPr>
            <w:tcW w:w="359" w:type="dxa"/>
            <w:tcBorders>
              <w:bottom w:val="single" w:sz="8" w:space="0" w:color="000000"/>
            </w:tcBorders>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tcMar>
              <w:bottom w:w="28" w:type="dxa"/>
            </w:tcMar>
            <w:vAlign w:val="center"/>
          </w:tcPr>
          <w:p>
            <w:pPr>
              <w:pStyle w:val="TableContents"/>
              <w:bidi w:val="0"/>
              <w:spacing w:before="0" w:after="283"/>
              <w:jc w:val="right"/>
              <w:rPr/>
            </w:pPr>
            <w:r>
              <w:rPr/>
              <w:t>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8" w:type="dxa"/>
            <w:tcBorders>
              <w:bottom w:val="single" w:sz="8" w:space="0" w:color="000000"/>
            </w:tcBorders>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tcMar>
              <w:bottom w:w="28" w:type="dxa"/>
            </w:tcMar>
            <w:vAlign w:val="center"/>
          </w:tcPr>
          <w:p>
            <w:pPr>
              <w:pStyle w:val="TableContents"/>
              <w:bidi w:val="0"/>
              <w:spacing w:before="0" w:after="283"/>
              <w:jc w:val="right"/>
              <w:rPr/>
            </w:pPr>
            <w:r>
              <w:rPr/>
              <w:t>(222</w:t>
            </w:r>
          </w:p>
        </w:tc>
        <w:tc>
          <w:tcPr>
            <w:tcW w:w="256" w:type="dxa"/>
            <w:tcBorders/>
            <w:vAlign w:val="center"/>
          </w:tcPr>
          <w:p>
            <w:pPr>
              <w:pStyle w:val="TableContents"/>
              <w:bidi w:val="0"/>
              <w:spacing w:before="0" w:after="283"/>
              <w:jc w:val="left"/>
              <w:rPr/>
            </w:pPr>
            <w:r>
              <w:rPr/>
              <w:t>)</w:t>
            </w:r>
          </w:p>
        </w:tc>
        <w:tc>
          <w:tcPr>
            <w:tcW w:w="184" w:type="dxa"/>
            <w:tcBorders/>
            <w:vAlign w:val="center"/>
          </w:tcPr>
          <w:p>
            <w:pPr>
              <w:pStyle w:val="TableContents"/>
              <w:bidi w:val="0"/>
              <w:spacing w:before="0" w:after="283"/>
              <w:jc w:val="left"/>
              <w:rPr/>
            </w:pPr>
            <w:r>
              <w:rPr/>
              <w:t> </w:t>
            </w:r>
          </w:p>
        </w:tc>
        <w:tc>
          <w:tcPr>
            <w:tcW w:w="348" w:type="dxa"/>
            <w:tcBorders>
              <w:bottom w:val="single" w:sz="8" w:space="0" w:color="000000"/>
            </w:tcBorders>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tcMar>
              <w:bottom w:w="28" w:type="dxa"/>
            </w:tcMar>
            <w:vAlign w:val="center"/>
          </w:tcPr>
          <w:p>
            <w:pPr>
              <w:pStyle w:val="TableContents"/>
              <w:bidi w:val="0"/>
              <w:spacing w:before="0" w:after="283"/>
              <w:jc w:val="right"/>
              <w:rPr/>
            </w:pPr>
            <w:r>
              <w:rPr/>
              <w:t>(87</w:t>
            </w:r>
          </w:p>
        </w:tc>
        <w:tc>
          <w:tcPr>
            <w:tcW w:w="166" w:type="dxa"/>
            <w:tcBorders/>
            <w:vAlign w:val="center"/>
          </w:tcPr>
          <w:p>
            <w:pPr>
              <w:pStyle w:val="TableContents"/>
              <w:bidi w:val="0"/>
              <w:spacing w:before="0" w:after="283"/>
              <w:ind w:left="0" w:right="0" w:hanging="216"/>
              <w:jc w:val="left"/>
              <w:rPr/>
            </w:pPr>
            <w:r>
              <w:rPr/>
              <w:t>)</w:t>
            </w:r>
          </w:p>
        </w:tc>
      </w:tr>
      <w:tr>
        <w:trPr/>
        <w:tc>
          <w:tcPr>
            <w:tcW w:w="3699" w:type="dxa"/>
            <w:tcBorders/>
            <w:shd w:fill="CCEEFF" w:val="clear"/>
            <w:vAlign w:val="center"/>
          </w:tcPr>
          <w:p>
            <w:pPr>
              <w:pStyle w:val="TableContents"/>
              <w:bidi w:val="0"/>
              <w:spacing w:before="0" w:after="283"/>
              <w:jc w:val="left"/>
              <w:rPr/>
            </w:pPr>
            <w:r>
              <w:rPr/>
              <w:t>RSU compensation expense, net of income taxes</w:t>
            </w:r>
          </w:p>
        </w:tc>
        <w:tc>
          <w:tcPr>
            <w:tcW w:w="90" w:type="dxa"/>
            <w:tcBorders/>
            <w:shd w:fill="CCEEFF" w:val="clear"/>
            <w:vAlign w:val="center"/>
          </w:tcPr>
          <w:p>
            <w:pPr>
              <w:pStyle w:val="TableContents"/>
              <w:bidi w:val="0"/>
              <w:spacing w:before="0" w:after="283"/>
              <w:jc w:val="left"/>
              <w:rPr/>
            </w:pPr>
            <w:r>
              <w:rPr/>
              <w:t> </w:t>
            </w:r>
          </w:p>
        </w:tc>
        <w:tc>
          <w:tcPr>
            <w:tcW w:w="3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7" w:type="dxa"/>
            <w:tcBorders>
              <w:bottom w:val="double" w:sz="6" w:space="0" w:color="000000"/>
            </w:tcBorders>
            <w:shd w:fill="CCEEFF" w:val="clear"/>
            <w:tcMar>
              <w:bottom w:w="28" w:type="dxa"/>
            </w:tcMar>
            <w:vAlign w:val="center"/>
          </w:tcPr>
          <w:p>
            <w:pPr>
              <w:pStyle w:val="TableContents"/>
              <w:bidi w:val="0"/>
              <w:spacing w:before="0" w:after="283"/>
              <w:jc w:val="right"/>
              <w:rPr/>
            </w:pPr>
            <w:r>
              <w:rPr/>
              <w:t>216</w:t>
            </w:r>
          </w:p>
        </w:tc>
        <w:tc>
          <w:tcPr>
            <w:tcW w:w="264"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3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6" w:type="dxa"/>
            <w:tcBorders>
              <w:bottom w:val="double" w:sz="6" w:space="0" w:color="000000"/>
            </w:tcBorders>
            <w:shd w:fill="CCEEFF" w:val="clear"/>
            <w:tcMar>
              <w:bottom w:w="28" w:type="dxa"/>
            </w:tcMar>
            <w:vAlign w:val="center"/>
          </w:tcPr>
          <w:p>
            <w:pPr>
              <w:pStyle w:val="TableContents"/>
              <w:bidi w:val="0"/>
              <w:spacing w:before="0" w:after="283"/>
              <w:jc w:val="right"/>
              <w:rPr/>
            </w:pPr>
            <w:r>
              <w:rPr/>
              <w:t>(297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4" w:type="dxa"/>
            <w:tcBorders>
              <w:bottom w:val="double" w:sz="6" w:space="0" w:color="000000"/>
            </w:tcBorders>
            <w:shd w:fill="CCEEFF" w:val="clear"/>
            <w:tcMar>
              <w:bottom w:w="28" w:type="dxa"/>
            </w:tcMar>
            <w:vAlign w:val="center"/>
          </w:tcPr>
          <w:p>
            <w:pPr>
              <w:pStyle w:val="TableContents"/>
              <w:bidi w:val="0"/>
              <w:spacing w:before="0" w:after="283"/>
              <w:jc w:val="right"/>
              <w:rPr/>
            </w:pPr>
            <w:r>
              <w:rPr/>
              <w:t>754</w:t>
            </w:r>
          </w:p>
        </w:tc>
        <w:tc>
          <w:tcPr>
            <w:tcW w:w="256"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3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0" w:type="dxa"/>
            <w:tcBorders>
              <w:bottom w:val="double" w:sz="6" w:space="0" w:color="000000"/>
            </w:tcBorders>
            <w:shd w:fill="CCEEFF" w:val="clear"/>
            <w:tcMar>
              <w:bottom w:w="28" w:type="dxa"/>
            </w:tcMar>
            <w:vAlign w:val="center"/>
          </w:tcPr>
          <w:p>
            <w:pPr>
              <w:pStyle w:val="TableContents"/>
              <w:bidi w:val="0"/>
              <w:spacing w:before="0" w:after="283"/>
              <w:jc w:val="right"/>
              <w:rPr/>
            </w:pPr>
            <w:r>
              <w:rPr/>
              <w:t>296</w:t>
            </w:r>
          </w:p>
        </w:tc>
        <w:tc>
          <w:tcPr>
            <w:tcW w:w="166" w:type="dxa"/>
            <w:tcBorders/>
            <w:shd w:fill="CCEEFF" w:val="clear"/>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September 30, 2025, there was $1,764 of unrecognized compensation cost related to outstanding RSUs. That cost is expected to be recognized over a weighted-average period of 2.06 years.</w:t>
      </w:r>
    </w:p>
    <w:p>
      <w:pPr>
        <w:pStyle w:val="TextBody"/>
        <w:bidi w:val="0"/>
        <w:spacing w:before="0" w:after="20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Performance Share Units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awarded PSUs to select executives. PSUs are promises to issue actual shares of common stock at the end of a vesting period, if certain performance conditions are met. The PSUs granted to employees under the Plan are based on salary and, prior to 2024, include a three-year adjusted book value cumulative growth target with threshold and stretch goals. For grants made in 2024, the performance metric is calculated based on an adjusted return on equity over a three-year period, with annual resets. There were no PSUs granted in 2025.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stock-based compensation costs for PSUs based on the grant date fair value over the performance period of the awards. Estimated forfeitures are included in the determination of compensation costs. The current cost estimates represent the Company’s forecasted performance against cumulative growth targets.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outstanding PSUs is presented below:</w:t>
      </w:r>
    </w:p>
    <w:tbl>
      <w:tblPr>
        <w:tblW w:w="7310" w:type="dxa"/>
        <w:jc w:val="left"/>
        <w:tblInd w:w="0" w:type="dxa"/>
        <w:tblLayout w:type="fixed"/>
        <w:tblCellMar>
          <w:top w:w="0" w:type="dxa"/>
          <w:left w:w="0" w:type="dxa"/>
          <w:bottom w:w="0" w:type="dxa"/>
          <w:right w:w="0" w:type="dxa"/>
        </w:tblCellMar>
      </w:tblPr>
      <w:tblGrid>
        <w:gridCol w:w="3920"/>
        <w:gridCol w:w="90"/>
        <w:gridCol w:w="90"/>
        <w:gridCol w:w="905"/>
        <w:gridCol w:w="125"/>
        <w:gridCol w:w="90"/>
        <w:gridCol w:w="437"/>
        <w:gridCol w:w="1518"/>
        <w:gridCol w:w="135"/>
      </w:tblGrid>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PSUs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Grant-Date</w:t>
              <w:br/>
              <w:t>Fair Value</w:t>
              <w:br/>
              <w:t>Per Share</w:t>
            </w:r>
          </w:p>
        </w:tc>
        <w:tc>
          <w:tcPr>
            <w:tcW w:w="135" w:type="dxa"/>
            <w:tcBorders/>
            <w:vAlign w:val="center"/>
          </w:tcPr>
          <w:p>
            <w:pPr>
              <w:pStyle w:val="TableContents"/>
              <w:bidi w:val="0"/>
              <w:spacing w:before="0" w:after="283"/>
              <w:ind w:left="0" w:right="0" w:hanging="216"/>
              <w:jc w:val="left"/>
              <w:rPr/>
            </w:pPr>
            <w:r>
              <w:rPr/>
              <w:t> </w:t>
            </w:r>
          </w:p>
        </w:tc>
      </w:tr>
      <w:tr>
        <w:trPr/>
        <w:tc>
          <w:tcPr>
            <w:tcW w:w="3920" w:type="dxa"/>
            <w:tcBorders/>
            <w:shd w:fill="CCEEFF" w:val="clear"/>
            <w:vAlign w:val="center"/>
          </w:tcPr>
          <w:p>
            <w:pPr>
              <w:pStyle w:val="TableContents"/>
              <w:bidi w:val="0"/>
              <w:spacing w:before="0" w:after="283"/>
              <w:jc w:val="left"/>
              <w:rPr/>
            </w:pPr>
            <w:r>
              <w:rPr/>
              <w:t>Units outstanding at January 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213,800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w:t>
            </w:r>
          </w:p>
        </w:tc>
        <w:tc>
          <w:tcPr>
            <w:tcW w:w="1518" w:type="dxa"/>
            <w:tcBorders/>
            <w:shd w:fill="CCEEFF" w:val="clear"/>
            <w:vAlign w:val="center"/>
          </w:tcPr>
          <w:p>
            <w:pPr>
              <w:pStyle w:val="TableContents"/>
              <w:bidi w:val="0"/>
              <w:spacing w:before="0" w:after="283"/>
              <w:jc w:val="right"/>
              <w:rPr/>
            </w:pPr>
            <w:r>
              <w:rPr/>
              <w:t>16.53</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3920" w:type="dxa"/>
            <w:tcBorders/>
            <w:vAlign w:val="center"/>
          </w:tcPr>
          <w:p>
            <w:pPr>
              <w:pStyle w:val="TableContents"/>
              <w:bidi w:val="0"/>
              <w:spacing w:before="0" w:after="283"/>
              <w:jc w:val="left"/>
              <w:rPr/>
            </w:pPr>
            <w:r>
              <w:rPr/>
              <w:t>PSUs granted during 2024 (at target)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79,800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14.19</w:t>
            </w:r>
          </w:p>
        </w:tc>
        <w:tc>
          <w:tcPr>
            <w:tcW w:w="135" w:type="dxa"/>
            <w:tcBorders/>
            <w:vAlign w:val="center"/>
          </w:tcPr>
          <w:p>
            <w:pPr>
              <w:pStyle w:val="TableContents"/>
              <w:bidi w:val="0"/>
              <w:spacing w:before="0" w:after="283"/>
              <w:ind w:left="0" w:right="0" w:hanging="216"/>
              <w:jc w:val="left"/>
              <w:rPr/>
            </w:pPr>
            <w:r>
              <w:rPr/>
              <w:t> </w:t>
            </w:r>
          </w:p>
        </w:tc>
      </w:tr>
      <w:tr>
        <w:trPr/>
        <w:tc>
          <w:tcPr>
            <w:tcW w:w="3920" w:type="dxa"/>
            <w:tcBorders/>
            <w:shd w:fill="CCEEFF" w:val="clear"/>
            <w:vAlign w:val="center"/>
          </w:tcPr>
          <w:p>
            <w:pPr>
              <w:pStyle w:val="TableContents"/>
              <w:bidi w:val="0"/>
              <w:spacing w:before="0" w:after="283"/>
              <w:jc w:val="left"/>
              <w:rPr/>
            </w:pPr>
            <w:r>
              <w:rPr/>
              <w:t>PSUs earned during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3920" w:type="dxa"/>
            <w:tcBorders/>
            <w:vAlign w:val="center"/>
          </w:tcPr>
          <w:p>
            <w:pPr>
              <w:pStyle w:val="TableContents"/>
              <w:bidi w:val="0"/>
              <w:spacing w:before="0" w:after="283"/>
              <w:jc w:val="left"/>
              <w:rPr>
                <w:sz w:val="20"/>
              </w:rPr>
            </w:pPr>
            <w:r>
              <w:rPr>
                <w:sz w:val="20"/>
              </w:rPr>
              <w:t xml:space="preserve">Performance adjustment </w:t>
            </w:r>
            <w:r>
              <w:rPr>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(147,173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16.14</w:t>
            </w:r>
          </w:p>
        </w:tc>
        <w:tc>
          <w:tcPr>
            <w:tcW w:w="135" w:type="dxa"/>
            <w:tcBorders/>
            <w:vAlign w:val="center"/>
          </w:tcPr>
          <w:p>
            <w:pPr>
              <w:pStyle w:val="TableContents"/>
              <w:bidi w:val="0"/>
              <w:spacing w:before="0" w:after="283"/>
              <w:ind w:left="0" w:right="0" w:hanging="216"/>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 xml:space="preserve">Forfeitures </w:t>
            </w:r>
            <w:r>
              <w:rPr>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pPr>
            <w:r>
              <w:rPr/>
              <w:t>(120,100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15.23</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3920" w:type="dxa"/>
            <w:tcBorders/>
            <w:vAlign w:val="center"/>
          </w:tcPr>
          <w:p>
            <w:pPr>
              <w:pStyle w:val="TableContents"/>
              <w:bidi w:val="0"/>
              <w:spacing w:before="0" w:after="283"/>
              <w:jc w:val="left"/>
              <w:rPr/>
            </w:pPr>
            <w:r>
              <w:rPr/>
              <w:t>Units outstanding at December 31, 2024</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pPr>
            <w:r>
              <w:rPr/>
              <w:t>26,327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17.50</w:t>
            </w:r>
          </w:p>
        </w:tc>
        <w:tc>
          <w:tcPr>
            <w:tcW w:w="135" w:type="dxa"/>
            <w:tcBorders/>
            <w:vAlign w:val="center"/>
          </w:tcPr>
          <w:p>
            <w:pPr>
              <w:pStyle w:val="TableContents"/>
              <w:bidi w:val="0"/>
              <w:spacing w:before="0" w:after="283"/>
              <w:ind w:left="0" w:right="0" w:hanging="216"/>
              <w:jc w:val="left"/>
              <w:rPr/>
            </w:pPr>
            <w:r>
              <w:rPr/>
              <w:t> </w:t>
            </w:r>
          </w:p>
        </w:tc>
      </w:tr>
      <w:tr>
        <w:trPr/>
        <w:tc>
          <w:tcPr>
            <w:tcW w:w="39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3920" w:type="dxa"/>
            <w:tcBorders/>
            <w:vAlign w:val="center"/>
          </w:tcPr>
          <w:p>
            <w:pPr>
              <w:pStyle w:val="TableContents"/>
              <w:bidi w:val="0"/>
              <w:spacing w:before="0" w:after="283"/>
              <w:jc w:val="left"/>
              <w:rPr/>
            </w:pPr>
            <w:r>
              <w:rPr/>
              <w:t>PSUs granted during 2025 (at target)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216"/>
              <w:jc w:val="left"/>
              <w:rPr/>
            </w:pPr>
            <w:r>
              <w:rPr/>
              <w:t> </w:t>
            </w:r>
          </w:p>
        </w:tc>
      </w:tr>
      <w:tr>
        <w:trPr/>
        <w:tc>
          <w:tcPr>
            <w:tcW w:w="3920" w:type="dxa"/>
            <w:tcBorders/>
            <w:shd w:fill="CCEEFF" w:val="clear"/>
            <w:vAlign w:val="center"/>
          </w:tcPr>
          <w:p>
            <w:pPr>
              <w:pStyle w:val="TableContents"/>
              <w:bidi w:val="0"/>
              <w:spacing w:before="0" w:after="283"/>
              <w:jc w:val="left"/>
              <w:rPr/>
            </w:pPr>
            <w:r>
              <w:rPr/>
              <w:t>PSUs earned during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3920" w:type="dxa"/>
            <w:tcBorders/>
            <w:vAlign w:val="center"/>
          </w:tcPr>
          <w:p>
            <w:pPr>
              <w:pStyle w:val="TableContents"/>
              <w:bidi w:val="0"/>
              <w:spacing w:before="0" w:after="283"/>
              <w:jc w:val="left"/>
              <w:rPr>
                <w:sz w:val="20"/>
              </w:rPr>
            </w:pPr>
            <w:r>
              <w:rPr>
                <w:sz w:val="20"/>
              </w:rPr>
              <w:t xml:space="preserve">Performance adjustment </w:t>
            </w:r>
            <w:r>
              <w:rPr>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216"/>
              <w:jc w:val="left"/>
              <w:rPr/>
            </w:pPr>
            <w:r>
              <w:rPr/>
              <w:t> </w:t>
            </w:r>
          </w:p>
        </w:tc>
      </w:tr>
      <w:tr>
        <w:trPr/>
        <w:tc>
          <w:tcPr>
            <w:tcW w:w="3920" w:type="dxa"/>
            <w:tcBorders/>
            <w:shd w:fill="CCEEFF" w:val="clear"/>
            <w:vAlign w:val="center"/>
          </w:tcPr>
          <w:p>
            <w:pPr>
              <w:pStyle w:val="TableContents"/>
              <w:bidi w:val="0"/>
              <w:spacing w:before="0" w:after="283"/>
              <w:jc w:val="left"/>
              <w:rPr/>
            </w:pPr>
            <w:r>
              <w:rPr/>
              <w:t>Forfeitures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pPr>
            <w:r>
              <w:rPr/>
              <w:t>(4,601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14.19</w:t>
            </w:r>
          </w:p>
        </w:tc>
        <w:tc>
          <w:tcPr>
            <w:tcW w:w="135" w:type="dxa"/>
            <w:tcBorders/>
            <w:shd w:fill="CCEEFF" w:val="clear"/>
            <w:vAlign w:val="center"/>
          </w:tcPr>
          <w:p>
            <w:pPr>
              <w:pStyle w:val="TableContents"/>
              <w:bidi w:val="0"/>
              <w:spacing w:before="0" w:after="283"/>
              <w:ind w:left="0" w:right="0" w:hanging="216"/>
              <w:jc w:val="left"/>
              <w:rPr/>
            </w:pPr>
            <w:r>
              <w:rPr/>
              <w:t> </w:t>
            </w:r>
          </w:p>
        </w:tc>
      </w:tr>
      <w:tr>
        <w:trPr/>
        <w:tc>
          <w:tcPr>
            <w:tcW w:w="3920" w:type="dxa"/>
            <w:tcBorders/>
            <w:vAlign w:val="center"/>
          </w:tcPr>
          <w:p>
            <w:pPr>
              <w:pStyle w:val="TableContents"/>
              <w:bidi w:val="0"/>
              <w:spacing w:before="0" w:after="283"/>
              <w:jc w:val="left"/>
              <w:rPr/>
            </w:pPr>
            <w:r>
              <w:rPr/>
              <w:t>Units outstanding at September 30, 2025</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tcMar>
              <w:bottom w:w="28" w:type="dxa"/>
            </w:tcMar>
            <w:vAlign w:val="center"/>
          </w:tcPr>
          <w:p>
            <w:pPr>
              <w:pStyle w:val="TableContents"/>
              <w:bidi w:val="0"/>
              <w:spacing w:before="0" w:after="283"/>
              <w:jc w:val="right"/>
              <w:rPr/>
            </w:pPr>
            <w:r>
              <w:rPr/>
              <w:t>21,726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18.20</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  </w:t>
      </w:r>
      <w:r>
        <w:rPr>
          <w:rFonts w:ascii="Times New Roman;Times;Serif" w:hAnsi="Times New Roman;Times;Serif"/>
          <w:b w:val="false"/>
          <w:i w:val="false"/>
          <w:caps w:val="false"/>
          <w:smallCaps w:val="false"/>
          <w:sz w:val="20"/>
        </w:rPr>
        <w:t>Represents the change in PSUs issued based upon the attainment of performance goals established by the Company.</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(2) </w:t>
      </w:r>
      <w:r>
        <w:rPr>
          <w:rFonts w:ascii="Times New Roman;Times;Serif" w:hAnsi="Times New Roman;Times;Serif"/>
          <w:b w:val="false"/>
          <w:i w:val="false"/>
          <w:caps w:val="false"/>
          <w:smallCaps w:val="false"/>
          <w:sz w:val="20"/>
        </w:rPr>
        <w:t xml:space="preserve">Represents PSU forfeitures primarily related to the execution of the separation agreements with the former Chief Executive Officer and former Senior Vice President of Operations. </w:t>
      </w:r>
      <w:r>
        <w:rPr>
          <w:rFonts w:ascii="Times New Roman;Times;Serif" w:hAnsi="Times New Roman;Times;Serif"/>
          <w:b w:val="false"/>
          <w:i w:val="false"/>
          <w:caps w:val="false"/>
          <w:smallCaps w:val="false"/>
          <w:position w:val="7"/>
          <w:sz w:val="16"/>
          <w:sz w:val="20"/>
        </w:rPr>
        <w:t> </w:t>
      </w:r>
    </w:p>
    <w:p>
      <w:pPr>
        <w:pStyle w:val="TextBody"/>
        <w:bidi w:val="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impact of PSU activity to the Company’s financial results:</w:t>
      </w:r>
    </w:p>
    <w:tbl>
      <w:tblPr>
        <w:tblW w:w="10205" w:type="dxa"/>
        <w:jc w:val="left"/>
        <w:tblInd w:w="0" w:type="dxa"/>
        <w:tblLayout w:type="fixed"/>
        <w:tblCellMar>
          <w:top w:w="0" w:type="dxa"/>
          <w:left w:w="0" w:type="dxa"/>
          <w:bottom w:w="0" w:type="dxa"/>
          <w:right w:w="0" w:type="dxa"/>
        </w:tblCellMar>
      </w:tblPr>
      <w:tblGrid>
        <w:gridCol w:w="3708"/>
        <w:gridCol w:w="90"/>
        <w:gridCol w:w="410"/>
        <w:gridCol w:w="665"/>
        <w:gridCol w:w="286"/>
        <w:gridCol w:w="206"/>
        <w:gridCol w:w="389"/>
        <w:gridCol w:w="1114"/>
        <w:gridCol w:w="125"/>
        <w:gridCol w:w="90"/>
        <w:gridCol w:w="377"/>
        <w:gridCol w:w="812"/>
        <w:gridCol w:w="278"/>
        <w:gridCol w:w="199"/>
        <w:gridCol w:w="377"/>
        <w:gridCol w:w="911"/>
        <w:gridCol w:w="168"/>
      </w:tblGrid>
      <w:tr>
        <w:trPr/>
        <w:tc>
          <w:tcPr>
            <w:tcW w:w="37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68" w:type="dxa"/>
            <w:tcBorders/>
            <w:vAlign w:val="center"/>
          </w:tcPr>
          <w:p>
            <w:pPr>
              <w:pStyle w:val="TableContents"/>
              <w:bidi w:val="0"/>
              <w:spacing w:before="0" w:after="283"/>
              <w:jc w:val="left"/>
              <w:rPr/>
            </w:pPr>
            <w:r>
              <w:rPr/>
              <w:t> </w:t>
            </w:r>
          </w:p>
        </w:tc>
      </w:tr>
      <w:tr>
        <w:trPr/>
        <w:tc>
          <w:tcPr>
            <w:tcW w:w="37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8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5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78"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2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68" w:type="dxa"/>
            <w:tcBorders/>
            <w:vAlign w:val="center"/>
          </w:tcPr>
          <w:p>
            <w:pPr>
              <w:pStyle w:val="TableContents"/>
              <w:bidi w:val="0"/>
              <w:spacing w:before="0" w:after="283"/>
              <w:jc w:val="left"/>
              <w:rPr/>
            </w:pPr>
            <w:r>
              <w:rPr/>
              <w:t> </w:t>
            </w:r>
          </w:p>
        </w:tc>
      </w:tr>
      <w:tr>
        <w:trPr/>
        <w:tc>
          <w:tcPr>
            <w:tcW w:w="3708" w:type="dxa"/>
            <w:tcBorders/>
            <w:shd w:fill="CCEEFF" w:val="clear"/>
            <w:vAlign w:val="center"/>
          </w:tcPr>
          <w:p>
            <w:pPr>
              <w:pStyle w:val="TableContents"/>
              <w:bidi w:val="0"/>
              <w:spacing w:before="0" w:after="283"/>
              <w:jc w:val="left"/>
              <w:rPr/>
            </w:pPr>
            <w:r>
              <w:rPr/>
              <w:t>PSU compensation expense</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24</w:t>
            </w:r>
          </w:p>
        </w:tc>
        <w:tc>
          <w:tcPr>
            <w:tcW w:w="28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w:t>
            </w:r>
          </w:p>
        </w:tc>
        <w:tc>
          <w:tcPr>
            <w:tcW w:w="1114" w:type="dxa"/>
            <w:tcBorders/>
            <w:shd w:fill="CCEEFF" w:val="clear"/>
            <w:vAlign w:val="center"/>
          </w:tcPr>
          <w:p>
            <w:pPr>
              <w:pStyle w:val="TableContents"/>
              <w:bidi w:val="0"/>
              <w:spacing w:before="0" w:after="283"/>
              <w:jc w:val="right"/>
              <w:rPr/>
            </w:pPr>
            <w:r>
              <w:rPr/>
              <w:t>(230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52</w:t>
            </w:r>
          </w:p>
        </w:tc>
        <w:tc>
          <w:tcPr>
            <w:tcW w:w="278"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p>
        </w:tc>
        <w:tc>
          <w:tcPr>
            <w:tcW w:w="911" w:type="dxa"/>
            <w:tcBorders/>
            <w:shd w:fill="CCEEFF" w:val="clear"/>
            <w:vAlign w:val="center"/>
          </w:tcPr>
          <w:p>
            <w:pPr>
              <w:pStyle w:val="TableContents"/>
              <w:bidi w:val="0"/>
              <w:spacing w:before="0" w:after="283"/>
              <w:jc w:val="right"/>
              <w:rPr/>
            </w:pPr>
            <w:r>
              <w:rPr/>
              <w:t>139</w:t>
            </w:r>
          </w:p>
        </w:tc>
        <w:tc>
          <w:tcPr>
            <w:tcW w:w="168" w:type="dxa"/>
            <w:tcBorders/>
            <w:shd w:fill="CCEEFF" w:val="clear"/>
            <w:vAlign w:val="center"/>
          </w:tcPr>
          <w:p>
            <w:pPr>
              <w:pStyle w:val="TableContents"/>
              <w:bidi w:val="0"/>
              <w:spacing w:before="0" w:after="283"/>
              <w:ind w:left="0" w:right="0" w:hanging="216"/>
              <w:jc w:val="left"/>
              <w:rPr/>
            </w:pPr>
            <w:r>
              <w:rPr/>
              <w:t> </w:t>
            </w:r>
          </w:p>
        </w:tc>
      </w:tr>
      <w:tr>
        <w:trPr/>
        <w:tc>
          <w:tcPr>
            <w:tcW w:w="3708" w:type="dxa"/>
            <w:tcBorders/>
            <w:vAlign w:val="center"/>
          </w:tcPr>
          <w:p>
            <w:pPr>
              <w:pStyle w:val="TableContents"/>
              <w:bidi w:val="0"/>
              <w:spacing w:before="0" w:after="283"/>
              <w:jc w:val="left"/>
              <w:rPr/>
            </w:pPr>
            <w:r>
              <w:rPr/>
              <w:t>Income tax benefit</w:t>
            </w:r>
          </w:p>
        </w:tc>
        <w:tc>
          <w:tcPr>
            <w:tcW w:w="90" w:type="dxa"/>
            <w:tcBorders/>
            <w:vAlign w:val="center"/>
          </w:tcPr>
          <w:p>
            <w:pPr>
              <w:pStyle w:val="TableContents"/>
              <w:bidi w:val="0"/>
              <w:spacing w:before="0" w:after="283"/>
              <w:jc w:val="left"/>
              <w:rPr/>
            </w:pPr>
            <w:r>
              <w:rPr/>
              <w:t> </w:t>
            </w:r>
          </w:p>
        </w:tc>
        <w:tc>
          <w:tcPr>
            <w:tcW w:w="41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w:t>
            </w:r>
          </w:p>
        </w:tc>
        <w:tc>
          <w:tcPr>
            <w:tcW w:w="206" w:type="dxa"/>
            <w:tcBorders/>
            <w:vAlign w:val="center"/>
          </w:tcPr>
          <w:p>
            <w:pPr>
              <w:pStyle w:val="TableContents"/>
              <w:bidi w:val="0"/>
              <w:spacing w:before="0" w:after="283"/>
              <w:jc w:val="left"/>
              <w:rPr/>
            </w:pPr>
            <w:r>
              <w:rPr/>
              <w:t> </w:t>
            </w:r>
          </w:p>
        </w:tc>
        <w:tc>
          <w:tcPr>
            <w:tcW w:w="389" w:type="dxa"/>
            <w:tcBorders>
              <w:bottom w:val="single" w:sz="8" w:space="0" w:color="000000"/>
            </w:tcBorders>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tcMar>
              <w:bottom w:w="28" w:type="dxa"/>
            </w:tcMar>
            <w:vAlign w:val="center"/>
          </w:tcPr>
          <w:p>
            <w:pPr>
              <w:pStyle w:val="TableContents"/>
              <w:bidi w:val="0"/>
              <w:spacing w:before="0" w:after="283"/>
              <w:jc w:val="right"/>
              <w:rPr/>
            </w:pPr>
            <w:r>
              <w:rPr/>
              <w:t>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7" w:type="dxa"/>
            <w:tcBorders>
              <w:bottom w:val="single" w:sz="8" w:space="0" w:color="000000"/>
            </w:tcBorders>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tcMar>
              <w:bottom w:w="28" w:type="dxa"/>
            </w:tcMar>
            <w:vAlign w:val="center"/>
          </w:tcPr>
          <w:p>
            <w:pPr>
              <w:pStyle w:val="TableContents"/>
              <w:bidi w:val="0"/>
              <w:spacing w:before="0" w:after="283"/>
              <w:jc w:val="right"/>
              <w:rPr/>
            </w:pPr>
            <w:r>
              <w:rPr/>
              <w:t>(12</w:t>
            </w:r>
          </w:p>
        </w:tc>
        <w:tc>
          <w:tcPr>
            <w:tcW w:w="278" w:type="dxa"/>
            <w:tcBorders/>
            <w:vAlign w:val="center"/>
          </w:tcPr>
          <w:p>
            <w:pPr>
              <w:pStyle w:val="TableContents"/>
              <w:bidi w:val="0"/>
              <w:spacing w:before="0" w:after="283"/>
              <w:jc w:val="left"/>
              <w:rPr/>
            </w:pPr>
            <w:r>
              <w:rPr/>
              <w:t>)</w:t>
            </w:r>
          </w:p>
        </w:tc>
        <w:tc>
          <w:tcPr>
            <w:tcW w:w="199" w:type="dxa"/>
            <w:tcBorders/>
            <w:vAlign w:val="center"/>
          </w:tcPr>
          <w:p>
            <w:pPr>
              <w:pStyle w:val="TableContents"/>
              <w:bidi w:val="0"/>
              <w:spacing w:before="0" w:after="283"/>
              <w:jc w:val="left"/>
              <w:rPr/>
            </w:pPr>
            <w:r>
              <w:rPr/>
              <w:t> </w:t>
            </w:r>
          </w:p>
        </w:tc>
        <w:tc>
          <w:tcPr>
            <w:tcW w:w="377" w:type="dxa"/>
            <w:tcBorders>
              <w:bottom w:val="single" w:sz="8" w:space="0" w:color="000000"/>
            </w:tcBorders>
            <w:tcMar>
              <w:bottom w:w="28" w:type="dxa"/>
            </w:tcMar>
            <w:vAlign w:val="center"/>
          </w:tcPr>
          <w:p>
            <w:pPr>
              <w:pStyle w:val="TableContents"/>
              <w:bidi w:val="0"/>
              <w:spacing w:before="0" w:after="283"/>
              <w:jc w:val="left"/>
              <w:rPr/>
            </w:pPr>
            <w:r>
              <w:rPr/>
              <w:t> </w:t>
            </w:r>
          </w:p>
        </w:tc>
        <w:tc>
          <w:tcPr>
            <w:tcW w:w="911" w:type="dxa"/>
            <w:tcBorders>
              <w:bottom w:val="single" w:sz="8" w:space="0" w:color="000000"/>
            </w:tcBorders>
            <w:tcMar>
              <w:bottom w:w="28" w:type="dxa"/>
            </w:tcMar>
            <w:vAlign w:val="center"/>
          </w:tcPr>
          <w:p>
            <w:pPr>
              <w:pStyle w:val="TableContents"/>
              <w:bidi w:val="0"/>
              <w:spacing w:before="0" w:after="283"/>
              <w:jc w:val="right"/>
              <w:rPr/>
            </w:pPr>
            <w:r>
              <w:rPr/>
              <w:t>(32</w:t>
            </w:r>
          </w:p>
        </w:tc>
        <w:tc>
          <w:tcPr>
            <w:tcW w:w="168" w:type="dxa"/>
            <w:tcBorders/>
            <w:vAlign w:val="center"/>
          </w:tcPr>
          <w:p>
            <w:pPr>
              <w:pStyle w:val="TableContents"/>
              <w:bidi w:val="0"/>
              <w:spacing w:before="0" w:after="283"/>
              <w:ind w:left="0" w:right="0" w:hanging="216"/>
              <w:jc w:val="left"/>
              <w:rPr/>
            </w:pPr>
            <w:r>
              <w:rPr/>
              <w:t>)</w:t>
            </w:r>
          </w:p>
        </w:tc>
      </w:tr>
      <w:tr>
        <w:trPr/>
        <w:tc>
          <w:tcPr>
            <w:tcW w:w="3708" w:type="dxa"/>
            <w:tcBorders/>
            <w:shd w:fill="CCEEFF" w:val="clear"/>
            <w:vAlign w:val="center"/>
          </w:tcPr>
          <w:p>
            <w:pPr>
              <w:pStyle w:val="TableContents"/>
              <w:bidi w:val="0"/>
              <w:spacing w:before="0" w:after="283"/>
              <w:jc w:val="left"/>
              <w:rPr/>
            </w:pPr>
            <w:r>
              <w:rPr/>
              <w:t>PSU compensation expense, net of income taxes</w:t>
            </w:r>
          </w:p>
        </w:tc>
        <w:tc>
          <w:tcPr>
            <w:tcW w:w="90" w:type="dxa"/>
            <w:tcBorders/>
            <w:shd w:fill="CCEEFF" w:val="clear"/>
            <w:vAlign w:val="center"/>
          </w:tcPr>
          <w:p>
            <w:pPr>
              <w:pStyle w:val="TableContents"/>
              <w:bidi w:val="0"/>
              <w:spacing w:before="0" w:after="283"/>
              <w:jc w:val="left"/>
              <w:rPr/>
            </w:pPr>
            <w:r>
              <w:rPr/>
              <w:t> </w:t>
            </w:r>
          </w:p>
        </w:tc>
        <w:tc>
          <w:tcPr>
            <w:tcW w:w="4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18</w:t>
            </w:r>
          </w:p>
        </w:tc>
        <w:tc>
          <w:tcPr>
            <w:tcW w:w="28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3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pPr>
            <w:r>
              <w:rPr/>
              <w:t>(178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2" w:type="dxa"/>
            <w:tcBorders>
              <w:bottom w:val="double" w:sz="6" w:space="0" w:color="000000"/>
            </w:tcBorders>
            <w:shd w:fill="CCEEFF" w:val="clear"/>
            <w:tcMar>
              <w:bottom w:w="28" w:type="dxa"/>
            </w:tcMar>
            <w:vAlign w:val="center"/>
          </w:tcPr>
          <w:p>
            <w:pPr>
              <w:pStyle w:val="TableContents"/>
              <w:bidi w:val="0"/>
              <w:spacing w:before="0" w:after="283"/>
              <w:jc w:val="right"/>
              <w:rPr/>
            </w:pPr>
            <w:r>
              <w:rPr/>
              <w:t>40</w:t>
            </w:r>
          </w:p>
        </w:tc>
        <w:tc>
          <w:tcPr>
            <w:tcW w:w="278"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3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1" w:type="dxa"/>
            <w:tcBorders>
              <w:bottom w:val="double" w:sz="6" w:space="0" w:color="000000"/>
            </w:tcBorders>
            <w:shd w:fill="CCEEFF" w:val="clear"/>
            <w:tcMar>
              <w:bottom w:w="28" w:type="dxa"/>
            </w:tcMar>
            <w:vAlign w:val="center"/>
          </w:tcPr>
          <w:p>
            <w:pPr>
              <w:pStyle w:val="TableContents"/>
              <w:bidi w:val="0"/>
              <w:spacing w:before="0" w:after="283"/>
              <w:jc w:val="right"/>
              <w:rPr/>
            </w:pPr>
            <w:r>
              <w:rPr/>
              <w:t>107</w:t>
            </w:r>
          </w:p>
        </w:tc>
        <w:tc>
          <w:tcPr>
            <w:tcW w:w="168" w:type="dxa"/>
            <w:tcBorders/>
            <w:shd w:fill="CCEEFF" w:val="clear"/>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estimates for PSU grants represent initial target awards until we can reasonably forecast the financial performance of each PSU award grant. At the end of the performance period, we will reflect a performance adjustment, which may be either an increase or decrease from the initial target awards. The actual number of shares to be issued at the end of the performance period will range from 0% to 200% of the initial target awards. During the year ended December 31, 2024, the previously recognized compensation expense related to the PSU awards granted during 2024 was reduced as a result of a performance adjustment, and the compensation expense related to the PSU awards granted during 2023 was eliminated due to the Company's expectation that the threshold performance goal will not be met.</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September 30, 2025, there was $138 of unrecognized compensation cost related to outstanding PSUs. That cost is expected to be recognized over a weighted-average period of 1.41 years.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Allowance for Expected Credit Losses</w:t>
      </w:r>
    </w:p>
    <w:p>
      <w:pPr>
        <w:pStyle w:val="TextBody"/>
        <w:bidi w:val="0"/>
        <w:spacing w:before="0" w:after="20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Premiums Receivable</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balances of premiums and agents’ balances receivable, net of the allowance for expected credit losses as of September 30, 2025 and 2024, and the changes in the allowance for expected credit losses for the three and nine months ended September 30, 2025 and 2024, for continuing and discontinued operations.</w:t>
      </w:r>
    </w:p>
    <w:tbl>
      <w:tblPr>
        <w:tblW w:w="10205" w:type="dxa"/>
        <w:jc w:val="left"/>
        <w:tblInd w:w="0" w:type="dxa"/>
        <w:tblLayout w:type="fixed"/>
        <w:tblCellMar>
          <w:top w:w="0" w:type="dxa"/>
          <w:left w:w="0" w:type="dxa"/>
          <w:bottom w:w="0" w:type="dxa"/>
          <w:right w:w="0" w:type="dxa"/>
        </w:tblCellMar>
      </w:tblPr>
      <w:tblGrid>
        <w:gridCol w:w="2937"/>
        <w:gridCol w:w="90"/>
        <w:gridCol w:w="363"/>
        <w:gridCol w:w="1213"/>
        <w:gridCol w:w="139"/>
        <w:gridCol w:w="139"/>
        <w:gridCol w:w="437"/>
        <w:gridCol w:w="1011"/>
        <w:gridCol w:w="125"/>
        <w:gridCol w:w="90"/>
        <w:gridCol w:w="429"/>
        <w:gridCol w:w="1291"/>
        <w:gridCol w:w="159"/>
        <w:gridCol w:w="159"/>
        <w:gridCol w:w="474"/>
        <w:gridCol w:w="974"/>
        <w:gridCol w:w="175"/>
      </w:tblGrid>
      <w:tr>
        <w:trPr/>
        <w:tc>
          <w:tcPr>
            <w:tcW w:w="29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0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and For the Three Months </w:t>
              <w:br/>
              <w:t>Ended September 30,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8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and For the Three Months Ended </w:t>
              <w:br/>
              <w:t>September 30, 2024</w:t>
            </w:r>
          </w:p>
        </w:tc>
        <w:tc>
          <w:tcPr>
            <w:tcW w:w="175" w:type="dxa"/>
            <w:tcBorders/>
            <w:vAlign w:val="center"/>
          </w:tcPr>
          <w:p>
            <w:pPr>
              <w:pStyle w:val="TableContents"/>
              <w:bidi w:val="0"/>
              <w:spacing w:before="0" w:after="283"/>
              <w:jc w:val="left"/>
              <w:rPr/>
            </w:pPr>
            <w:r>
              <w:rPr/>
              <w:t> </w:t>
            </w:r>
          </w:p>
        </w:tc>
      </w:tr>
      <w:tr>
        <w:trPr/>
        <w:tc>
          <w:tcPr>
            <w:tcW w:w="29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and </w:t>
              <w:br/>
              <w:t xml:space="preserve">Agents’ Balances </w:t>
              <w:br/>
              <w:t xml:space="preserve">Receivable, Net of </w:t>
              <w:br/>
              <w:t xml:space="preserve">Allowance for </w:t>
              <w:br/>
              <w:t>Expected Credit</w:t>
              <w:br/>
              <w:t>Losses</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Credit </w:t>
              <w:br/>
              <w:t>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and </w:t>
              <w:br/>
              <w:t xml:space="preserve">Agents’ Balances </w:t>
              <w:br/>
              <w:t xml:space="preserve">Receivable, Net of </w:t>
              <w:br/>
              <w:t xml:space="preserve">Allowance for </w:t>
              <w:br/>
              <w:t>Expected Credit</w:t>
              <w:br/>
              <w:t>Losses</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4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Credit </w:t>
              <w:br/>
              <w:t>Losses</w:t>
            </w:r>
          </w:p>
        </w:tc>
        <w:tc>
          <w:tcPr>
            <w:tcW w:w="175" w:type="dxa"/>
            <w:tcBorders/>
            <w:vAlign w:val="center"/>
          </w:tcPr>
          <w:p>
            <w:pPr>
              <w:pStyle w:val="TableContents"/>
              <w:bidi w:val="0"/>
              <w:spacing w:before="0" w:after="283"/>
              <w:jc w:val="left"/>
              <w:rPr/>
            </w:pPr>
            <w:r>
              <w:rPr/>
              <w:t> </w:t>
            </w:r>
          </w:p>
        </w:tc>
      </w:tr>
      <w:tr>
        <w:trPr/>
        <w:tc>
          <w:tcPr>
            <w:tcW w:w="2937"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2937" w:type="dxa"/>
            <w:tcBorders/>
            <w:vAlign w:val="center"/>
          </w:tcPr>
          <w:p>
            <w:pPr>
              <w:pStyle w:val="TableContents"/>
              <w:bidi w:val="0"/>
              <w:spacing w:before="0" w:after="283"/>
              <w:jc w:val="left"/>
              <w:rPr/>
            </w:pPr>
            <w:r>
              <w:rPr/>
              <w:t>Balance, beginning of period</w:t>
            </w:r>
          </w:p>
        </w:tc>
        <w:tc>
          <w:tcPr>
            <w:tcW w:w="90" w:type="dxa"/>
            <w:tcBorders/>
            <w:vAlign w:val="center"/>
          </w:tcPr>
          <w:p>
            <w:pPr>
              <w:pStyle w:val="TableContents"/>
              <w:bidi w:val="0"/>
              <w:spacing w:before="0" w:after="283"/>
              <w:jc w:val="left"/>
              <w:rPr/>
            </w:pPr>
            <w:r>
              <w:rPr/>
              <w:t> </w:t>
            </w:r>
          </w:p>
        </w:tc>
        <w:tc>
          <w:tcPr>
            <w:tcW w:w="363" w:type="dxa"/>
            <w:tcBorders>
              <w:bottom w:val="double" w:sz="6" w:space="0" w:color="000000"/>
            </w:tcBorders>
            <w:tcMar>
              <w:bottom w:w="28" w:type="dxa"/>
            </w:tcMar>
            <w:vAlign w:val="center"/>
          </w:tcPr>
          <w:p>
            <w:pPr>
              <w:pStyle w:val="TableContents"/>
              <w:bidi w:val="0"/>
              <w:spacing w:before="0" w:after="283"/>
              <w:jc w:val="left"/>
              <w:rPr/>
            </w:pPr>
            <w:r>
              <w:rPr/>
              <w:t>$</w:t>
            </w:r>
          </w:p>
        </w:tc>
        <w:tc>
          <w:tcPr>
            <w:tcW w:w="1213" w:type="dxa"/>
            <w:tcBorders>
              <w:bottom w:val="double" w:sz="6" w:space="0" w:color="000000"/>
            </w:tcBorders>
            <w:tcMar>
              <w:bottom w:w="28" w:type="dxa"/>
            </w:tcMar>
            <w:vAlign w:val="center"/>
          </w:tcPr>
          <w:p>
            <w:pPr>
              <w:pStyle w:val="TableContents"/>
              <w:bidi w:val="0"/>
              <w:spacing w:before="0" w:after="283"/>
              <w:jc w:val="right"/>
              <w:rPr/>
            </w:pPr>
            <w:r>
              <w:rPr/>
              <w:t>85,604</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w:t>
            </w:r>
          </w:p>
        </w:tc>
        <w:tc>
          <w:tcPr>
            <w:tcW w:w="1011" w:type="dxa"/>
            <w:tcBorders/>
            <w:vAlign w:val="center"/>
          </w:tcPr>
          <w:p>
            <w:pPr>
              <w:pStyle w:val="TableContents"/>
              <w:bidi w:val="0"/>
              <w:spacing w:before="0" w:after="283"/>
              <w:jc w:val="right"/>
              <w:rPr/>
            </w:pPr>
            <w:r>
              <w:rPr/>
              <w:t>313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bottom w:val="double" w:sz="6" w:space="0" w:color="000000"/>
            </w:tcBorders>
            <w:tcMar>
              <w:bottom w:w="28" w:type="dxa"/>
            </w:tcMar>
            <w:vAlign w:val="center"/>
          </w:tcPr>
          <w:p>
            <w:pPr>
              <w:pStyle w:val="TableContents"/>
              <w:bidi w:val="0"/>
              <w:spacing w:before="0" w:after="283"/>
              <w:jc w:val="left"/>
              <w:rPr/>
            </w:pPr>
            <w:r>
              <w:rPr/>
              <w:t>$</w:t>
            </w:r>
          </w:p>
        </w:tc>
        <w:tc>
          <w:tcPr>
            <w:tcW w:w="1291" w:type="dxa"/>
            <w:tcBorders>
              <w:bottom w:val="double" w:sz="6" w:space="0" w:color="000000"/>
            </w:tcBorders>
            <w:tcMar>
              <w:bottom w:w="28" w:type="dxa"/>
            </w:tcMar>
            <w:vAlign w:val="center"/>
          </w:tcPr>
          <w:p>
            <w:pPr>
              <w:pStyle w:val="TableContents"/>
              <w:bidi w:val="0"/>
              <w:spacing w:before="0" w:after="283"/>
              <w:jc w:val="right"/>
              <w:rPr/>
            </w:pPr>
            <w:r>
              <w:rPr/>
              <w:t>92,831</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w:t>
            </w:r>
          </w:p>
        </w:tc>
        <w:tc>
          <w:tcPr>
            <w:tcW w:w="974" w:type="dxa"/>
            <w:tcBorders/>
            <w:vAlign w:val="center"/>
          </w:tcPr>
          <w:p>
            <w:pPr>
              <w:pStyle w:val="TableContents"/>
              <w:bidi w:val="0"/>
              <w:spacing w:before="0" w:after="283"/>
              <w:jc w:val="right"/>
              <w:rPr/>
            </w:pPr>
            <w:r>
              <w:rPr/>
              <w:t>348</w:t>
            </w:r>
          </w:p>
        </w:tc>
        <w:tc>
          <w:tcPr>
            <w:tcW w:w="175" w:type="dxa"/>
            <w:tcBorders/>
            <w:vAlign w:val="center"/>
          </w:tcPr>
          <w:p>
            <w:pPr>
              <w:pStyle w:val="TableContents"/>
              <w:bidi w:val="0"/>
              <w:spacing w:before="0" w:after="283"/>
              <w:jc w:val="left"/>
              <w:rPr/>
            </w:pPr>
            <w:r>
              <w:rPr/>
              <w:t> </w:t>
            </w:r>
          </w:p>
        </w:tc>
      </w:tr>
      <w:tr>
        <w:trPr/>
        <w:tc>
          <w:tcPr>
            <w:tcW w:w="293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2937" w:type="dxa"/>
            <w:tcBorders/>
            <w:vAlign w:val="center"/>
          </w:tcPr>
          <w:p>
            <w:pPr>
              <w:pStyle w:val="TableContents"/>
              <w:bidi w:val="0"/>
              <w:spacing w:before="0" w:after="283"/>
              <w:jc w:val="left"/>
              <w:rPr/>
            </w:pPr>
            <w:r>
              <w:rPr/>
              <w:t>Current period charge for expected credit losses</w:t>
            </w:r>
          </w:p>
        </w:tc>
        <w:tc>
          <w:tcPr>
            <w:tcW w:w="9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102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62</w:t>
            </w:r>
          </w:p>
        </w:tc>
        <w:tc>
          <w:tcPr>
            <w:tcW w:w="175" w:type="dxa"/>
            <w:tcBorders/>
            <w:vAlign w:val="center"/>
          </w:tcPr>
          <w:p>
            <w:pPr>
              <w:pStyle w:val="TableContents"/>
              <w:bidi w:val="0"/>
              <w:spacing w:before="0" w:after="283"/>
              <w:jc w:val="left"/>
              <w:rPr/>
            </w:pPr>
            <w:r>
              <w:rPr/>
              <w:t> </w:t>
            </w:r>
          </w:p>
        </w:tc>
      </w:tr>
      <w:tr>
        <w:trPr/>
        <w:tc>
          <w:tcPr>
            <w:tcW w:w="2937" w:type="dxa"/>
            <w:tcBorders/>
            <w:shd w:fill="CCEEFF" w:val="clear"/>
            <w:vAlign w:val="center"/>
          </w:tcPr>
          <w:p>
            <w:pPr>
              <w:pStyle w:val="TableContents"/>
              <w:bidi w:val="0"/>
              <w:spacing w:before="0" w:after="283"/>
              <w:jc w:val="left"/>
              <w:rPr/>
            </w:pPr>
            <w:r>
              <w:rPr/>
              <w:t>Write-offs of uncollectible premiums receivable</w:t>
            </w:r>
          </w:p>
        </w:tc>
        <w:tc>
          <w:tcPr>
            <w:tcW w:w="9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4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8" w:space="0" w:color="000000"/>
            </w:tcBorders>
            <w:shd w:fill="CCEEFF" w:val="clear"/>
            <w:tcMar>
              <w:bottom w:w="28" w:type="dxa"/>
            </w:tcMar>
            <w:vAlign w:val="center"/>
          </w:tcPr>
          <w:p>
            <w:pPr>
              <w:pStyle w:val="TableContents"/>
              <w:bidi w:val="0"/>
              <w:spacing w:before="0" w:after="283"/>
              <w:jc w:val="right"/>
              <w:rPr/>
            </w:pPr>
            <w:r>
              <w:rPr/>
              <w:t>(96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4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pPr>
            <w:r>
              <w:rPr/>
              <w:t>(60</w:t>
            </w:r>
          </w:p>
        </w:tc>
        <w:tc>
          <w:tcPr>
            <w:tcW w:w="175" w:type="dxa"/>
            <w:tcBorders/>
            <w:shd w:fill="CCEEFF" w:val="clear"/>
            <w:vAlign w:val="center"/>
          </w:tcPr>
          <w:p>
            <w:pPr>
              <w:pStyle w:val="TableContents"/>
              <w:bidi w:val="0"/>
              <w:spacing w:before="0" w:after="283"/>
              <w:jc w:val="left"/>
              <w:rPr/>
            </w:pPr>
            <w:r>
              <w:rPr/>
              <w:t>)</w:t>
            </w:r>
          </w:p>
        </w:tc>
      </w:tr>
      <w:tr>
        <w:trPr/>
        <w:tc>
          <w:tcPr>
            <w:tcW w:w="29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2937" w:type="dxa"/>
            <w:tcBorders/>
            <w:shd w:fill="CCEEFF" w:val="clear"/>
            <w:vAlign w:val="center"/>
          </w:tcPr>
          <w:p>
            <w:pPr>
              <w:pStyle w:val="TableContents"/>
              <w:bidi w:val="0"/>
              <w:spacing w:before="0" w:after="283"/>
              <w:jc w:val="left"/>
              <w:rPr/>
            </w:pPr>
            <w:r>
              <w:rPr/>
              <w:t>Balance, end of period</w:t>
            </w:r>
          </w:p>
        </w:tc>
        <w:tc>
          <w:tcPr>
            <w:tcW w:w="90" w:type="dxa"/>
            <w:tcBorders/>
            <w:shd w:fill="CCEEFF" w:val="clear"/>
            <w:vAlign w:val="center"/>
          </w:tcPr>
          <w:p>
            <w:pPr>
              <w:pStyle w:val="TableContents"/>
              <w:bidi w:val="0"/>
              <w:spacing w:before="0" w:after="283"/>
              <w:jc w:val="left"/>
              <w:rPr/>
            </w:pPr>
            <w:r>
              <w:rPr/>
              <w:t> </w:t>
            </w:r>
          </w:p>
        </w:tc>
        <w:tc>
          <w:tcPr>
            <w:tcW w:w="3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3" w:type="dxa"/>
            <w:tcBorders>
              <w:bottom w:val="double" w:sz="6" w:space="0" w:color="000000"/>
            </w:tcBorders>
            <w:shd w:fill="CCEEFF" w:val="clear"/>
            <w:tcMar>
              <w:bottom w:w="28" w:type="dxa"/>
            </w:tcMar>
            <w:vAlign w:val="center"/>
          </w:tcPr>
          <w:p>
            <w:pPr>
              <w:pStyle w:val="TableContents"/>
              <w:bidi w:val="0"/>
              <w:spacing w:before="0" w:after="283"/>
              <w:jc w:val="right"/>
              <w:rPr/>
            </w:pPr>
            <w:r>
              <w:rPr/>
              <w:t>76,073</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4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1" w:type="dxa"/>
            <w:tcBorders>
              <w:bottom w:val="double" w:sz="6" w:space="0" w:color="000000"/>
            </w:tcBorders>
            <w:shd w:fill="CCEEFF" w:val="clear"/>
            <w:tcMar>
              <w:bottom w:w="28" w:type="dxa"/>
            </w:tcMar>
            <w:vAlign w:val="center"/>
          </w:tcPr>
          <w:p>
            <w:pPr>
              <w:pStyle w:val="TableContents"/>
              <w:bidi w:val="0"/>
              <w:spacing w:before="0" w:after="283"/>
              <w:jc w:val="right"/>
              <w:rPr/>
            </w:pPr>
            <w:r>
              <w:rPr/>
              <w:t>319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1" w:type="dxa"/>
            <w:tcBorders>
              <w:bottom w:val="double" w:sz="6" w:space="0" w:color="000000"/>
            </w:tcBorders>
            <w:shd w:fill="CCEEFF" w:val="clear"/>
            <w:tcMar>
              <w:bottom w:w="28" w:type="dxa"/>
            </w:tcMar>
            <w:vAlign w:val="center"/>
          </w:tcPr>
          <w:p>
            <w:pPr>
              <w:pStyle w:val="TableContents"/>
              <w:bidi w:val="0"/>
              <w:spacing w:before="0" w:after="283"/>
              <w:jc w:val="right"/>
              <w:rPr/>
            </w:pPr>
            <w:r>
              <w:rPr/>
              <w:t>85,315</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4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4" w:type="dxa"/>
            <w:tcBorders>
              <w:bottom w:val="double" w:sz="6" w:space="0" w:color="000000"/>
            </w:tcBorders>
            <w:shd w:fill="CCEEFF" w:val="clear"/>
            <w:tcMar>
              <w:bottom w:w="28" w:type="dxa"/>
            </w:tcMar>
            <w:vAlign w:val="center"/>
          </w:tcPr>
          <w:p>
            <w:pPr>
              <w:pStyle w:val="TableContents"/>
              <w:bidi w:val="0"/>
              <w:spacing w:before="0" w:after="283"/>
              <w:jc w:val="right"/>
              <w:rPr/>
            </w:pPr>
            <w:r>
              <w:rPr/>
              <w:t>350</w:t>
            </w:r>
          </w:p>
        </w:tc>
        <w:tc>
          <w:tcPr>
            <w:tcW w:w="1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46"/>
        <w:gridCol w:w="90"/>
        <w:gridCol w:w="397"/>
        <w:gridCol w:w="1242"/>
        <w:gridCol w:w="151"/>
        <w:gridCol w:w="151"/>
        <w:gridCol w:w="429"/>
        <w:gridCol w:w="1021"/>
        <w:gridCol w:w="125"/>
        <w:gridCol w:w="90"/>
        <w:gridCol w:w="397"/>
        <w:gridCol w:w="1242"/>
        <w:gridCol w:w="151"/>
        <w:gridCol w:w="151"/>
        <w:gridCol w:w="429"/>
        <w:gridCol w:w="1021"/>
        <w:gridCol w:w="172"/>
      </w:tblGrid>
      <w:tr>
        <w:trPr/>
        <w:tc>
          <w:tcPr>
            <w:tcW w:w="29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9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and For the Nine Months Ended </w:t>
              <w:br/>
              <w:t>September 30,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9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and For the Nine Months Ended </w:t>
              <w:br/>
              <w:t>September 30, 2024</w:t>
            </w:r>
          </w:p>
        </w:tc>
        <w:tc>
          <w:tcPr>
            <w:tcW w:w="172" w:type="dxa"/>
            <w:tcBorders/>
            <w:vAlign w:val="center"/>
          </w:tcPr>
          <w:p>
            <w:pPr>
              <w:pStyle w:val="TableContents"/>
              <w:bidi w:val="0"/>
              <w:spacing w:before="0" w:after="283"/>
              <w:jc w:val="left"/>
              <w:rPr/>
            </w:pPr>
            <w:r>
              <w:rPr/>
              <w:t> </w:t>
            </w:r>
          </w:p>
        </w:tc>
      </w:tr>
      <w:tr>
        <w:trPr/>
        <w:tc>
          <w:tcPr>
            <w:tcW w:w="29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and </w:t>
              <w:br/>
              <w:t>Agents’ Balances</w:t>
              <w:br/>
              <w:t xml:space="preserve">Receivable, Net of </w:t>
              <w:br/>
              <w:t xml:space="preserve">Allowance for </w:t>
              <w:br/>
              <w:t xml:space="preserve">Expected Credit </w:t>
              <w:br/>
              <w:t>Losses</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Allowance for</w:t>
              <w:br/>
              <w:t xml:space="preserve">Expected Credit </w:t>
              <w:br/>
              <w:t>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and</w:t>
              <w:br/>
              <w:t>Agents’ Balances</w:t>
              <w:br/>
              <w:t>Receivable, Net of</w:t>
              <w:br/>
              <w:t xml:space="preserve">Allowance for </w:t>
              <w:br/>
              <w:t xml:space="preserve">Expected Credit </w:t>
              <w:br/>
              <w:t>Losses</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Credit </w:t>
              <w:br/>
              <w:t>Losses</w:t>
            </w:r>
          </w:p>
        </w:tc>
        <w:tc>
          <w:tcPr>
            <w:tcW w:w="172" w:type="dxa"/>
            <w:tcBorders/>
            <w:vAlign w:val="center"/>
          </w:tcPr>
          <w:p>
            <w:pPr>
              <w:pStyle w:val="TableContents"/>
              <w:bidi w:val="0"/>
              <w:spacing w:before="0" w:after="283"/>
              <w:jc w:val="left"/>
              <w:rPr/>
            </w:pPr>
            <w:r>
              <w:rPr/>
              <w:t> </w:t>
            </w:r>
          </w:p>
        </w:tc>
      </w:tr>
      <w:tr>
        <w:trPr/>
        <w:tc>
          <w:tcPr>
            <w:tcW w:w="2946"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2946" w:type="dxa"/>
            <w:tcBorders/>
            <w:vAlign w:val="center"/>
          </w:tcPr>
          <w:p>
            <w:pPr>
              <w:pStyle w:val="TableContents"/>
              <w:bidi w:val="0"/>
              <w:spacing w:before="0" w:after="283"/>
              <w:jc w:val="left"/>
              <w:rPr/>
            </w:pPr>
            <w:r>
              <w:rPr/>
              <w:t>Balance, beginning of period</w:t>
            </w:r>
          </w:p>
        </w:tc>
        <w:tc>
          <w:tcPr>
            <w:tcW w:w="90" w:type="dxa"/>
            <w:tcBorders/>
            <w:vAlign w:val="center"/>
          </w:tcPr>
          <w:p>
            <w:pPr>
              <w:pStyle w:val="TableContents"/>
              <w:bidi w:val="0"/>
              <w:spacing w:before="0" w:after="283"/>
              <w:jc w:val="left"/>
              <w:rPr/>
            </w:pPr>
            <w:r>
              <w:rPr/>
              <w:t> </w:t>
            </w:r>
          </w:p>
        </w:tc>
        <w:tc>
          <w:tcPr>
            <w:tcW w:w="397" w:type="dxa"/>
            <w:tcBorders>
              <w:bottom w:val="double" w:sz="6" w:space="0" w:color="000000"/>
            </w:tcBorders>
            <w:tcMar>
              <w:bottom w:w="28" w:type="dxa"/>
            </w:tcMar>
            <w:vAlign w:val="center"/>
          </w:tcPr>
          <w:p>
            <w:pPr>
              <w:pStyle w:val="TableContents"/>
              <w:bidi w:val="0"/>
              <w:spacing w:before="0" w:after="283"/>
              <w:jc w:val="left"/>
              <w:rPr/>
            </w:pPr>
            <w:r>
              <w:rPr/>
              <w:t>$</w:t>
            </w:r>
          </w:p>
        </w:tc>
        <w:tc>
          <w:tcPr>
            <w:tcW w:w="1242" w:type="dxa"/>
            <w:tcBorders>
              <w:bottom w:val="double" w:sz="6" w:space="0" w:color="000000"/>
            </w:tcBorders>
            <w:tcMar>
              <w:bottom w:w="28" w:type="dxa"/>
            </w:tcMar>
            <w:vAlign w:val="center"/>
          </w:tcPr>
          <w:p>
            <w:pPr>
              <w:pStyle w:val="TableContents"/>
              <w:bidi w:val="0"/>
              <w:spacing w:before="0" w:after="283"/>
              <w:jc w:val="right"/>
              <w:rPr/>
            </w:pPr>
            <w:r>
              <w:rPr/>
              <w:t>52,907</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w:t>
            </w:r>
          </w:p>
        </w:tc>
        <w:tc>
          <w:tcPr>
            <w:tcW w:w="1021" w:type="dxa"/>
            <w:tcBorders/>
            <w:vAlign w:val="center"/>
          </w:tcPr>
          <w:p>
            <w:pPr>
              <w:pStyle w:val="TableContents"/>
              <w:bidi w:val="0"/>
              <w:spacing w:before="0" w:after="283"/>
              <w:jc w:val="right"/>
              <w:rPr/>
            </w:pPr>
            <w:r>
              <w:rPr/>
              <w:t>337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7" w:type="dxa"/>
            <w:tcBorders>
              <w:bottom w:val="double" w:sz="6" w:space="0" w:color="000000"/>
            </w:tcBorders>
            <w:tcMar>
              <w:bottom w:w="28" w:type="dxa"/>
            </w:tcMar>
            <w:vAlign w:val="center"/>
          </w:tcPr>
          <w:p>
            <w:pPr>
              <w:pStyle w:val="TableContents"/>
              <w:bidi w:val="0"/>
              <w:spacing w:before="0" w:after="283"/>
              <w:jc w:val="left"/>
              <w:rPr/>
            </w:pPr>
            <w:r>
              <w:rPr/>
              <w:t>$</w:t>
            </w:r>
          </w:p>
        </w:tc>
        <w:tc>
          <w:tcPr>
            <w:tcW w:w="1242" w:type="dxa"/>
            <w:tcBorders>
              <w:bottom w:val="double" w:sz="6" w:space="0" w:color="000000"/>
            </w:tcBorders>
            <w:tcMar>
              <w:bottom w:w="28" w:type="dxa"/>
            </w:tcMar>
            <w:vAlign w:val="center"/>
          </w:tcPr>
          <w:p>
            <w:pPr>
              <w:pStyle w:val="TableContents"/>
              <w:bidi w:val="0"/>
              <w:spacing w:before="0" w:after="283"/>
              <w:jc w:val="right"/>
              <w:rPr/>
            </w:pPr>
            <w:r>
              <w:rPr/>
              <w:t>56,154</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w:t>
            </w:r>
          </w:p>
        </w:tc>
        <w:tc>
          <w:tcPr>
            <w:tcW w:w="1021" w:type="dxa"/>
            <w:tcBorders/>
            <w:vAlign w:val="center"/>
          </w:tcPr>
          <w:p>
            <w:pPr>
              <w:pStyle w:val="TableContents"/>
              <w:bidi w:val="0"/>
              <w:spacing w:before="0" w:after="283"/>
              <w:jc w:val="right"/>
              <w:rPr/>
            </w:pPr>
            <w:r>
              <w:rPr/>
              <w:t>394</w:t>
            </w:r>
          </w:p>
        </w:tc>
        <w:tc>
          <w:tcPr>
            <w:tcW w:w="172" w:type="dxa"/>
            <w:tcBorders/>
            <w:vAlign w:val="center"/>
          </w:tcPr>
          <w:p>
            <w:pPr>
              <w:pStyle w:val="TableContents"/>
              <w:bidi w:val="0"/>
              <w:spacing w:before="0" w:after="283"/>
              <w:jc w:val="left"/>
              <w:rPr/>
            </w:pPr>
            <w:r>
              <w:rPr/>
              <w:t> </w:t>
            </w:r>
          </w:p>
        </w:tc>
      </w:tr>
      <w:tr>
        <w:trPr/>
        <w:tc>
          <w:tcPr>
            <w:tcW w:w="294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2946" w:type="dxa"/>
            <w:tcBorders/>
            <w:vAlign w:val="center"/>
          </w:tcPr>
          <w:p>
            <w:pPr>
              <w:pStyle w:val="TableContents"/>
              <w:bidi w:val="0"/>
              <w:spacing w:before="0" w:after="283"/>
              <w:jc w:val="left"/>
              <w:rPr/>
            </w:pPr>
            <w:r>
              <w:rPr/>
              <w:t>Current period charge for expected credit losses</w:t>
            </w:r>
          </w:p>
        </w:tc>
        <w:tc>
          <w:tcPr>
            <w:tcW w:w="9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434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194</w:t>
            </w:r>
          </w:p>
        </w:tc>
        <w:tc>
          <w:tcPr>
            <w:tcW w:w="172" w:type="dxa"/>
            <w:tcBorders/>
            <w:vAlign w:val="center"/>
          </w:tcPr>
          <w:p>
            <w:pPr>
              <w:pStyle w:val="TableContents"/>
              <w:bidi w:val="0"/>
              <w:spacing w:before="0" w:after="283"/>
              <w:jc w:val="left"/>
              <w:rPr/>
            </w:pPr>
            <w:r>
              <w:rPr/>
              <w:t> </w:t>
            </w:r>
          </w:p>
        </w:tc>
      </w:tr>
      <w:tr>
        <w:trPr/>
        <w:tc>
          <w:tcPr>
            <w:tcW w:w="2946" w:type="dxa"/>
            <w:tcBorders/>
            <w:shd w:fill="CCEEFF" w:val="clear"/>
            <w:vAlign w:val="center"/>
          </w:tcPr>
          <w:p>
            <w:pPr>
              <w:pStyle w:val="TableContents"/>
              <w:bidi w:val="0"/>
              <w:spacing w:before="0" w:after="283"/>
              <w:jc w:val="left"/>
              <w:rPr/>
            </w:pPr>
            <w:r>
              <w:rPr/>
              <w:t>Write-offs of uncollectible premiums receivable</w:t>
            </w:r>
          </w:p>
        </w:tc>
        <w:tc>
          <w:tcPr>
            <w:tcW w:w="9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4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(452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4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(238</w:t>
            </w:r>
          </w:p>
        </w:tc>
        <w:tc>
          <w:tcPr>
            <w:tcW w:w="172" w:type="dxa"/>
            <w:tcBorders/>
            <w:shd w:fill="CCEEFF" w:val="clear"/>
            <w:vAlign w:val="center"/>
          </w:tcPr>
          <w:p>
            <w:pPr>
              <w:pStyle w:val="TableContents"/>
              <w:bidi w:val="0"/>
              <w:spacing w:before="0" w:after="283"/>
              <w:jc w:val="left"/>
              <w:rPr/>
            </w:pPr>
            <w:r>
              <w:rPr/>
              <w:t>)</w:t>
            </w:r>
          </w:p>
        </w:tc>
      </w:tr>
      <w:tr>
        <w:trPr/>
        <w:tc>
          <w:tcPr>
            <w:tcW w:w="294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2946" w:type="dxa"/>
            <w:tcBorders/>
            <w:shd w:fill="CCEEFF" w:val="clear"/>
            <w:vAlign w:val="center"/>
          </w:tcPr>
          <w:p>
            <w:pPr>
              <w:pStyle w:val="TableContents"/>
              <w:bidi w:val="0"/>
              <w:spacing w:before="0" w:after="283"/>
              <w:jc w:val="left"/>
              <w:rPr/>
            </w:pPr>
            <w:r>
              <w:rPr/>
              <w:t>Balance, end of period</w:t>
            </w:r>
          </w:p>
        </w:tc>
        <w:tc>
          <w:tcPr>
            <w:tcW w:w="90" w:type="dxa"/>
            <w:tcBorders/>
            <w:shd w:fill="CCEEFF" w:val="clear"/>
            <w:vAlign w:val="center"/>
          </w:tcPr>
          <w:p>
            <w:pPr>
              <w:pStyle w:val="TableContents"/>
              <w:bidi w:val="0"/>
              <w:spacing w:before="0" w:after="283"/>
              <w:jc w:val="left"/>
              <w:rPr/>
            </w:pPr>
            <w:r>
              <w:rPr/>
              <w:t> </w:t>
            </w:r>
          </w:p>
        </w:tc>
        <w:tc>
          <w:tcPr>
            <w:tcW w:w="3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2" w:type="dxa"/>
            <w:tcBorders>
              <w:bottom w:val="double" w:sz="6" w:space="0" w:color="000000"/>
            </w:tcBorders>
            <w:shd w:fill="CCEEFF" w:val="clear"/>
            <w:tcMar>
              <w:bottom w:w="28" w:type="dxa"/>
            </w:tcMar>
            <w:vAlign w:val="center"/>
          </w:tcPr>
          <w:p>
            <w:pPr>
              <w:pStyle w:val="TableContents"/>
              <w:bidi w:val="0"/>
              <w:spacing w:before="0" w:after="283"/>
              <w:jc w:val="right"/>
              <w:rPr/>
            </w:pPr>
            <w:r>
              <w:rPr/>
              <w:t>76,073</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4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jc w:val="right"/>
              <w:rPr/>
            </w:pPr>
            <w:r>
              <w:rPr/>
              <w:t>319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2" w:type="dxa"/>
            <w:tcBorders>
              <w:bottom w:val="double" w:sz="6" w:space="0" w:color="000000"/>
            </w:tcBorders>
            <w:shd w:fill="CCEEFF" w:val="clear"/>
            <w:tcMar>
              <w:bottom w:w="28" w:type="dxa"/>
            </w:tcMar>
            <w:vAlign w:val="center"/>
          </w:tcPr>
          <w:p>
            <w:pPr>
              <w:pStyle w:val="TableContents"/>
              <w:bidi w:val="0"/>
              <w:spacing w:before="0" w:after="283"/>
              <w:jc w:val="right"/>
              <w:rPr/>
            </w:pPr>
            <w:r>
              <w:rPr/>
              <w:t>85,315</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4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jc w:val="right"/>
              <w:rPr/>
            </w:pPr>
            <w:r>
              <w:rPr/>
              <w:t>350</w:t>
            </w:r>
          </w:p>
        </w:tc>
        <w:tc>
          <w:tcPr>
            <w:tcW w:w="17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65"/>
        <w:gridCol w:w="90"/>
        <w:gridCol w:w="615"/>
        <w:gridCol w:w="960"/>
        <w:gridCol w:w="183"/>
        <w:gridCol w:w="183"/>
        <w:gridCol w:w="581"/>
        <w:gridCol w:w="867"/>
        <w:gridCol w:w="90"/>
        <w:gridCol w:w="90"/>
        <w:gridCol w:w="676"/>
        <w:gridCol w:w="900"/>
        <w:gridCol w:w="216"/>
        <w:gridCol w:w="216"/>
        <w:gridCol w:w="637"/>
        <w:gridCol w:w="796"/>
        <w:gridCol w:w="140"/>
      </w:tblGrid>
      <w:tr>
        <w:trPr/>
        <w:tc>
          <w:tcPr>
            <w:tcW w:w="2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8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and For the Three Months</w:t>
              <w:br/>
              <w:t>Ended September 30,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4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and For the Three Months Ended </w:t>
              <w:br/>
              <w:t>September 30, 2024</w:t>
            </w:r>
          </w:p>
        </w:tc>
        <w:tc>
          <w:tcPr>
            <w:tcW w:w="140" w:type="dxa"/>
            <w:tcBorders/>
            <w:vAlign w:val="center"/>
          </w:tcPr>
          <w:p>
            <w:pPr>
              <w:pStyle w:val="TableContents"/>
              <w:bidi w:val="0"/>
              <w:spacing w:before="0" w:after="283"/>
              <w:jc w:val="left"/>
              <w:rPr/>
            </w:pPr>
            <w:r>
              <w:rPr/>
              <w:t> </w:t>
            </w:r>
          </w:p>
        </w:tc>
      </w:tr>
      <w:tr>
        <w:trPr/>
        <w:tc>
          <w:tcPr>
            <w:tcW w:w="2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and</w:t>
              <w:br/>
              <w:t>Agents’ Balances</w:t>
              <w:br/>
              <w:t xml:space="preserve">Receivable, Net of </w:t>
              <w:br/>
              <w:t xml:space="preserve">Allowance for </w:t>
              <w:br/>
              <w:t>Expected Credit</w:t>
              <w:br/>
              <w:t>Losses</w:t>
            </w:r>
          </w:p>
        </w:tc>
        <w:tc>
          <w:tcPr>
            <w:tcW w:w="183"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Credit </w:t>
              <w:br/>
              <w:t>Losses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and</w:t>
              <w:br/>
              <w:t xml:space="preserve">Agents’ Balances </w:t>
              <w:br/>
              <w:t xml:space="preserve">Receivable, Net of </w:t>
              <w:br/>
              <w:t xml:space="preserve">Allowance for </w:t>
              <w:br/>
              <w:t>Expected Credit</w:t>
              <w:br/>
              <w:t>Losses</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Allowance for</w:t>
              <w:br/>
              <w:t>Expected Credit</w:t>
              <w:br/>
              <w:t>Losses</w:t>
            </w:r>
          </w:p>
        </w:tc>
        <w:tc>
          <w:tcPr>
            <w:tcW w:w="140" w:type="dxa"/>
            <w:tcBorders/>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283"/>
              <w:jc w:val="left"/>
              <w:rPr/>
            </w:pPr>
            <w:r>
              <w:rPr/>
              <w:t>Discontinued operations:</w:t>
            </w:r>
          </w:p>
        </w:tc>
        <w:tc>
          <w:tcPr>
            <w:tcW w:w="9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183"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216"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2965" w:type="dxa"/>
            <w:tcBorders/>
            <w:vAlign w:val="center"/>
          </w:tcPr>
          <w:p>
            <w:pPr>
              <w:pStyle w:val="TableContents"/>
              <w:bidi w:val="0"/>
              <w:spacing w:before="0" w:after="283"/>
              <w:jc w:val="left"/>
              <w:rPr/>
            </w:pPr>
            <w:r>
              <w:rPr/>
              <w:t>Balance, beginning of period</w:t>
            </w:r>
          </w:p>
        </w:tc>
        <w:tc>
          <w:tcPr>
            <w:tcW w:w="90" w:type="dxa"/>
            <w:tcBorders/>
            <w:vAlign w:val="center"/>
          </w:tcPr>
          <w:p>
            <w:pPr>
              <w:pStyle w:val="TableContents"/>
              <w:bidi w:val="0"/>
              <w:spacing w:before="0" w:after="283"/>
              <w:jc w:val="left"/>
              <w:rPr/>
            </w:pPr>
            <w:r>
              <w:rPr/>
              <w:t> </w:t>
            </w:r>
          </w:p>
        </w:tc>
        <w:tc>
          <w:tcPr>
            <w:tcW w:w="615" w:type="dxa"/>
            <w:tcBorders>
              <w:bottom w:val="double" w:sz="6" w:space="0" w:color="000000"/>
            </w:tcBorders>
            <w:tcMar>
              <w:bottom w:w="28" w:type="dxa"/>
            </w:tcMar>
            <w:vAlign w:val="center"/>
          </w:tcPr>
          <w:p>
            <w:pPr>
              <w:pStyle w:val="TableContents"/>
              <w:bidi w:val="0"/>
              <w:spacing w:before="0" w:after="283"/>
              <w:jc w:val="left"/>
              <w:rPr/>
            </w:pPr>
            <w:r>
              <w:rPr/>
              <w:t>$</w:t>
            </w:r>
          </w:p>
        </w:tc>
        <w:tc>
          <w:tcPr>
            <w:tcW w:w="960" w:type="dxa"/>
            <w:tcBorders>
              <w:bottom w:val="double" w:sz="6" w:space="0" w:color="000000"/>
            </w:tcBorders>
            <w:tcMar>
              <w:bottom w:w="28" w:type="dxa"/>
            </w:tcMar>
            <w:vAlign w:val="center"/>
          </w:tcPr>
          <w:p>
            <w:pPr>
              <w:pStyle w:val="TableContents"/>
              <w:bidi w:val="0"/>
              <w:spacing w:before="0" w:after="0"/>
              <w:jc w:val="right"/>
              <w:rPr/>
            </w:pPr>
            <w:r>
              <w:rPr/>
              <w:t>—</w:t>
            </w:r>
          </w:p>
        </w:tc>
        <w:tc>
          <w:tcPr>
            <w:tcW w:w="183"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t>$</w:t>
            </w:r>
          </w:p>
        </w:tc>
        <w:tc>
          <w:tcPr>
            <w:tcW w:w="867"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6" w:type="dxa"/>
            <w:tcBorders>
              <w:bottom w:val="double" w:sz="6" w:space="0" w:color="000000"/>
            </w:tcBorders>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tcMar>
              <w:bottom w:w="28" w:type="dxa"/>
            </w:tcMar>
            <w:vAlign w:val="center"/>
          </w:tcPr>
          <w:p>
            <w:pPr>
              <w:pStyle w:val="TableContents"/>
              <w:bidi w:val="0"/>
              <w:spacing w:before="0" w:after="0"/>
              <w:jc w:val="right"/>
              <w:rPr/>
            </w:pPr>
            <w:r>
              <w:rPr/>
              <w:t>—</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183"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216"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2965" w:type="dxa"/>
            <w:tcBorders/>
            <w:vAlign w:val="center"/>
          </w:tcPr>
          <w:p>
            <w:pPr>
              <w:pStyle w:val="TableContents"/>
              <w:bidi w:val="0"/>
              <w:spacing w:before="0" w:after="283"/>
              <w:jc w:val="left"/>
              <w:rPr/>
            </w:pPr>
            <w:r>
              <w:rPr/>
              <w:t>Current period charge for expected credit losses</w:t>
            </w:r>
          </w:p>
        </w:tc>
        <w:tc>
          <w:tcPr>
            <w:tcW w:w="9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 </w:t>
            </w:r>
          </w:p>
        </w:tc>
        <w:tc>
          <w:tcPr>
            <w:tcW w:w="183"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283"/>
              <w:jc w:val="left"/>
              <w:rPr/>
            </w:pPr>
            <w:r>
              <w:rPr/>
              <w:t>Write-offs of uncollectible premiums receivable</w:t>
            </w:r>
          </w:p>
        </w:tc>
        <w:tc>
          <w:tcPr>
            <w:tcW w:w="9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183"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216"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0"/>
              <w:jc w:val="right"/>
              <w:rPr/>
            </w:pPr>
            <w:r>
              <w:rPr/>
              <w:t>—</w:t>
            </w:r>
          </w:p>
        </w:tc>
        <w:tc>
          <w:tcPr>
            <w:tcW w:w="140" w:type="dxa"/>
            <w:tcBorders/>
            <w:shd w:fill="CCEEFF" w:val="clear"/>
            <w:vAlign w:val="center"/>
          </w:tcPr>
          <w:p>
            <w:pPr>
              <w:pStyle w:val="TableContents"/>
              <w:bidi w:val="0"/>
              <w:spacing w:before="0" w:after="283"/>
              <w:jc w:val="left"/>
              <w:rPr/>
            </w:pPr>
            <w:r>
              <w:rPr/>
              <w:t> </w:t>
            </w:r>
          </w:p>
        </w:tc>
      </w:tr>
      <w:tr>
        <w:trPr/>
        <w:tc>
          <w:tcPr>
            <w:tcW w:w="2965" w:type="dxa"/>
            <w:tcBorders/>
            <w:vAlign w:val="center"/>
          </w:tcPr>
          <w:p>
            <w:pPr>
              <w:pStyle w:val="TableContents"/>
              <w:bidi w:val="0"/>
              <w:spacing w:before="0" w:after="283"/>
              <w:jc w:val="left"/>
              <w:rPr/>
            </w:pPr>
            <w:r>
              <w:rPr/>
              <w:t>Westminster balances disposed in sale</w:t>
            </w:r>
          </w:p>
        </w:tc>
        <w:tc>
          <w:tcPr>
            <w:tcW w:w="90" w:type="dxa"/>
            <w:tcBorders/>
            <w:vAlign w:val="center"/>
          </w:tcPr>
          <w:p>
            <w:pPr>
              <w:pStyle w:val="TableContents"/>
              <w:bidi w:val="0"/>
              <w:spacing w:before="0" w:after="283"/>
              <w:jc w:val="left"/>
              <w:rPr/>
            </w:pPr>
            <w:r>
              <w:rPr/>
              <w:t> </w:t>
            </w:r>
          </w:p>
        </w:tc>
        <w:tc>
          <w:tcPr>
            <w:tcW w:w="615" w:type="dxa"/>
            <w:tcBorders>
              <w:bottom w:val="double" w:sz="6" w:space="0" w:color="000000"/>
            </w:tcBorders>
            <w:tcMar>
              <w:bottom w:w="28" w:type="dxa"/>
            </w:tcMar>
            <w:vAlign w:val="center"/>
          </w:tcPr>
          <w:p>
            <w:pPr>
              <w:pStyle w:val="TableContents"/>
              <w:bidi w:val="0"/>
              <w:spacing w:before="0" w:after="283"/>
              <w:jc w:val="left"/>
              <w:rPr/>
            </w:pPr>
            <w:r>
              <w:rPr/>
              <w:t>$</w:t>
            </w:r>
          </w:p>
        </w:tc>
        <w:tc>
          <w:tcPr>
            <w:tcW w:w="960" w:type="dxa"/>
            <w:tcBorders>
              <w:bottom w:val="double" w:sz="6" w:space="0" w:color="000000"/>
            </w:tcBorders>
            <w:tcMar>
              <w:bottom w:w="28" w:type="dxa"/>
            </w:tcMar>
            <w:vAlign w:val="center"/>
          </w:tcPr>
          <w:p>
            <w:pPr>
              <w:pStyle w:val="TableContents"/>
              <w:bidi w:val="0"/>
              <w:spacing w:before="0" w:after="0"/>
              <w:jc w:val="right"/>
              <w:rPr/>
            </w:pPr>
            <w:r>
              <w:rPr/>
              <w:t>—</w:t>
            </w:r>
          </w:p>
        </w:tc>
        <w:tc>
          <w:tcPr>
            <w:tcW w:w="183"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581" w:type="dxa"/>
            <w:tcBorders>
              <w:bottom w:val="double" w:sz="6" w:space="0" w:color="000000"/>
            </w:tcBorders>
            <w:tcMar>
              <w:bottom w:w="28" w:type="dxa"/>
            </w:tcMar>
            <w:vAlign w:val="center"/>
          </w:tcPr>
          <w:p>
            <w:pPr>
              <w:pStyle w:val="TableContents"/>
              <w:bidi w:val="0"/>
              <w:spacing w:before="0" w:after="283"/>
              <w:jc w:val="left"/>
              <w:rPr/>
            </w:pPr>
            <w:r>
              <w:rPr/>
              <w:t>$</w:t>
            </w:r>
          </w:p>
        </w:tc>
        <w:tc>
          <w:tcPr>
            <w:tcW w:w="867" w:type="dxa"/>
            <w:tcBorders>
              <w:bottom w:val="double" w:sz="6"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6" w:type="dxa"/>
            <w:tcBorders>
              <w:bottom w:val="double" w:sz="6" w:space="0" w:color="000000"/>
            </w:tcBorders>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tcMar>
              <w:bottom w:w="28" w:type="dxa"/>
            </w:tcMar>
            <w:vAlign w:val="center"/>
          </w:tcPr>
          <w:p>
            <w:pPr>
              <w:pStyle w:val="TableContents"/>
              <w:bidi w:val="0"/>
              <w:spacing w:before="0" w:after="0"/>
              <w:jc w:val="right"/>
              <w:rPr/>
            </w:pPr>
            <w:r>
              <w:rPr/>
              <w:t>—</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637" w:type="dxa"/>
            <w:tcBorders>
              <w:bottom w:val="double" w:sz="6" w:space="0" w:color="000000"/>
            </w:tcBorders>
            <w:tcMar>
              <w:bottom w:w="28" w:type="dxa"/>
            </w:tcMar>
            <w:vAlign w:val="center"/>
          </w:tcPr>
          <w:p>
            <w:pPr>
              <w:pStyle w:val="TableContents"/>
              <w:bidi w:val="0"/>
              <w:spacing w:before="0" w:after="283"/>
              <w:jc w:val="left"/>
              <w:rPr/>
            </w:pPr>
            <w:r>
              <w:rPr/>
              <w:t>$</w:t>
            </w:r>
          </w:p>
        </w:tc>
        <w:tc>
          <w:tcPr>
            <w:tcW w:w="796" w:type="dxa"/>
            <w:tcBorders>
              <w:bottom w:val="double" w:sz="6" w:space="0" w:color="000000"/>
            </w:tcBorders>
            <w:tcMar>
              <w:bottom w:w="28" w:type="dxa"/>
            </w:tcMar>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183"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216"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2965" w:type="dxa"/>
            <w:tcBorders/>
            <w:vAlign w:val="center"/>
          </w:tcPr>
          <w:p>
            <w:pPr>
              <w:pStyle w:val="TableContents"/>
              <w:bidi w:val="0"/>
              <w:spacing w:before="0" w:after="283"/>
              <w:jc w:val="left"/>
              <w:rPr/>
            </w:pPr>
            <w:r>
              <w:rPr/>
              <w:t>Balance, end of period</w:t>
            </w:r>
          </w:p>
        </w:tc>
        <w:tc>
          <w:tcPr>
            <w:tcW w:w="90" w:type="dxa"/>
            <w:tcBorders/>
            <w:vAlign w:val="center"/>
          </w:tcPr>
          <w:p>
            <w:pPr>
              <w:pStyle w:val="TableContents"/>
              <w:bidi w:val="0"/>
              <w:spacing w:before="0" w:after="283"/>
              <w:jc w:val="left"/>
              <w:rPr/>
            </w:pPr>
            <w:r>
              <w:rPr/>
              <w:t> </w:t>
            </w:r>
          </w:p>
        </w:tc>
        <w:tc>
          <w:tcPr>
            <w:tcW w:w="615" w:type="dxa"/>
            <w:tcBorders>
              <w:bottom w:val="double" w:sz="6" w:space="0" w:color="000000"/>
            </w:tcBorders>
            <w:tcMar>
              <w:bottom w:w="28" w:type="dxa"/>
            </w:tcMar>
            <w:vAlign w:val="center"/>
          </w:tcPr>
          <w:p>
            <w:pPr>
              <w:pStyle w:val="TableContents"/>
              <w:bidi w:val="0"/>
              <w:spacing w:before="0" w:after="283"/>
              <w:jc w:val="left"/>
              <w:rPr/>
            </w:pPr>
            <w:r>
              <w:rPr/>
              <w:t>$</w:t>
            </w:r>
          </w:p>
        </w:tc>
        <w:tc>
          <w:tcPr>
            <w:tcW w:w="960" w:type="dxa"/>
            <w:tcBorders>
              <w:bottom w:val="double" w:sz="6" w:space="0" w:color="000000"/>
            </w:tcBorders>
            <w:tcMar>
              <w:bottom w:w="28" w:type="dxa"/>
            </w:tcMar>
            <w:vAlign w:val="center"/>
          </w:tcPr>
          <w:p>
            <w:pPr>
              <w:pStyle w:val="TableContents"/>
              <w:bidi w:val="0"/>
              <w:spacing w:before="0" w:after="0"/>
              <w:jc w:val="right"/>
              <w:rPr/>
            </w:pPr>
            <w:r>
              <w:rPr/>
              <w:t>—</w:t>
            </w:r>
          </w:p>
        </w:tc>
        <w:tc>
          <w:tcPr>
            <w:tcW w:w="183"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581" w:type="dxa"/>
            <w:tcBorders>
              <w:bottom w:val="double" w:sz="6" w:space="0" w:color="000000"/>
            </w:tcBorders>
            <w:tcMar>
              <w:bottom w:w="28" w:type="dxa"/>
            </w:tcMar>
            <w:vAlign w:val="center"/>
          </w:tcPr>
          <w:p>
            <w:pPr>
              <w:pStyle w:val="TableContents"/>
              <w:bidi w:val="0"/>
              <w:spacing w:before="0" w:after="283"/>
              <w:jc w:val="left"/>
              <w:rPr/>
            </w:pPr>
            <w:r>
              <w:rPr/>
              <w:t>$</w:t>
            </w:r>
          </w:p>
        </w:tc>
        <w:tc>
          <w:tcPr>
            <w:tcW w:w="867" w:type="dxa"/>
            <w:tcBorders>
              <w:bottom w:val="double" w:sz="6"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6" w:type="dxa"/>
            <w:tcBorders>
              <w:bottom w:val="double" w:sz="6" w:space="0" w:color="000000"/>
            </w:tcBorders>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tcMar>
              <w:bottom w:w="28" w:type="dxa"/>
            </w:tcMar>
            <w:vAlign w:val="center"/>
          </w:tcPr>
          <w:p>
            <w:pPr>
              <w:pStyle w:val="TableContents"/>
              <w:bidi w:val="0"/>
              <w:spacing w:before="0" w:after="0"/>
              <w:jc w:val="right"/>
              <w:rPr/>
            </w:pPr>
            <w:r>
              <w:rPr/>
              <w:t>—</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637" w:type="dxa"/>
            <w:tcBorders>
              <w:bottom w:val="double" w:sz="6" w:space="0" w:color="000000"/>
            </w:tcBorders>
            <w:tcMar>
              <w:bottom w:w="28" w:type="dxa"/>
            </w:tcMar>
            <w:vAlign w:val="center"/>
          </w:tcPr>
          <w:p>
            <w:pPr>
              <w:pStyle w:val="TableContents"/>
              <w:bidi w:val="0"/>
              <w:spacing w:before="0" w:after="283"/>
              <w:jc w:val="left"/>
              <w:rPr/>
            </w:pPr>
            <w:r>
              <w:rPr/>
              <w:t>$</w:t>
            </w:r>
          </w:p>
        </w:tc>
        <w:tc>
          <w:tcPr>
            <w:tcW w:w="796" w:type="dxa"/>
            <w:tcBorders>
              <w:bottom w:val="double" w:sz="6" w:space="0" w:color="000000"/>
            </w:tcBorders>
            <w:tcMar>
              <w:bottom w:w="28" w:type="dxa"/>
            </w:tcMar>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0"/>
        <w:gridCol w:w="90"/>
        <w:gridCol w:w="653"/>
        <w:gridCol w:w="877"/>
        <w:gridCol w:w="205"/>
        <w:gridCol w:w="205"/>
        <w:gridCol w:w="631"/>
        <w:gridCol w:w="802"/>
        <w:gridCol w:w="90"/>
        <w:gridCol w:w="90"/>
        <w:gridCol w:w="448"/>
        <w:gridCol w:w="1296"/>
        <w:gridCol w:w="161"/>
        <w:gridCol w:w="161"/>
        <w:gridCol w:w="548"/>
        <w:gridCol w:w="885"/>
        <w:gridCol w:w="173"/>
      </w:tblGrid>
      <w:tr>
        <w:trPr/>
        <w:tc>
          <w:tcPr>
            <w:tcW w:w="2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7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and For the Nine Months Ended </w:t>
              <w:br/>
              <w:t>September 30,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9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and For the Nine Months Ended </w:t>
              <w:br/>
              <w:t>September 30, 2024</w:t>
            </w:r>
          </w:p>
        </w:tc>
        <w:tc>
          <w:tcPr>
            <w:tcW w:w="173" w:type="dxa"/>
            <w:tcBorders/>
            <w:vAlign w:val="center"/>
          </w:tcPr>
          <w:p>
            <w:pPr>
              <w:pStyle w:val="TableContents"/>
              <w:bidi w:val="0"/>
              <w:spacing w:before="0" w:after="283"/>
              <w:jc w:val="left"/>
              <w:rPr/>
            </w:pPr>
            <w:r>
              <w:rPr/>
              <w:t> </w:t>
            </w:r>
          </w:p>
        </w:tc>
      </w:tr>
      <w:tr>
        <w:trPr/>
        <w:tc>
          <w:tcPr>
            <w:tcW w:w="2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and </w:t>
              <w:br/>
              <w:t>Agents’ Balances</w:t>
              <w:br/>
              <w:t>Receivable, Net of</w:t>
              <w:br/>
              <w:t xml:space="preserve">Allowance for </w:t>
              <w:br/>
              <w:t xml:space="preserve">Expected Credit </w:t>
              <w:br/>
              <w:t>Losses</w:t>
            </w:r>
          </w:p>
        </w:tc>
        <w:tc>
          <w:tcPr>
            <w:tcW w:w="20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Credit </w:t>
              <w:br/>
              <w:t>Losses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and </w:t>
              <w:br/>
              <w:t xml:space="preserve">Agents’ Balances </w:t>
              <w:br/>
              <w:t>Receivable, Net of</w:t>
              <w:br/>
              <w:t xml:space="preserve">Allowance for </w:t>
              <w:br/>
              <w:t xml:space="preserve">Expected Credit </w:t>
              <w:br/>
              <w:t>Losses</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Allowance for</w:t>
              <w:br/>
              <w:t xml:space="preserve">Expected Credit </w:t>
              <w:br/>
              <w:t>Losses</w:t>
            </w:r>
          </w:p>
        </w:tc>
        <w:tc>
          <w:tcPr>
            <w:tcW w:w="173" w:type="dxa"/>
            <w:tcBorders/>
            <w:vAlign w:val="center"/>
          </w:tcPr>
          <w:p>
            <w:pPr>
              <w:pStyle w:val="TableContents"/>
              <w:bidi w:val="0"/>
              <w:spacing w:before="0" w:after="283"/>
              <w:jc w:val="left"/>
              <w:rPr/>
            </w:pPr>
            <w:r>
              <w:rPr/>
              <w:t> </w:t>
            </w:r>
          </w:p>
        </w:tc>
      </w:tr>
      <w:tr>
        <w:trPr/>
        <w:tc>
          <w:tcPr>
            <w:tcW w:w="2890" w:type="dxa"/>
            <w:tcBorders/>
            <w:shd w:fill="CCEEFF" w:val="clear"/>
            <w:vAlign w:val="center"/>
          </w:tcPr>
          <w:p>
            <w:pPr>
              <w:pStyle w:val="TableContents"/>
              <w:bidi w:val="0"/>
              <w:spacing w:before="0" w:after="283"/>
              <w:jc w:val="left"/>
              <w:rPr/>
            </w:pPr>
            <w:r>
              <w:rPr/>
              <w:t>Discontinued operations:</w:t>
            </w:r>
          </w:p>
        </w:tc>
        <w:tc>
          <w:tcPr>
            <w:tcW w:w="90"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548"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2890" w:type="dxa"/>
            <w:tcBorders/>
            <w:vAlign w:val="center"/>
          </w:tcPr>
          <w:p>
            <w:pPr>
              <w:pStyle w:val="TableContents"/>
              <w:bidi w:val="0"/>
              <w:spacing w:before="0" w:after="283"/>
              <w:jc w:val="left"/>
              <w:rPr/>
            </w:pPr>
            <w:r>
              <w:rPr/>
              <w:t>Balance, beginning of period</w:t>
            </w:r>
          </w:p>
        </w:tc>
        <w:tc>
          <w:tcPr>
            <w:tcW w:w="90" w:type="dxa"/>
            <w:tcBorders/>
            <w:vAlign w:val="center"/>
          </w:tcPr>
          <w:p>
            <w:pPr>
              <w:pStyle w:val="TableContents"/>
              <w:bidi w:val="0"/>
              <w:spacing w:before="0" w:after="283"/>
              <w:jc w:val="left"/>
              <w:rPr/>
            </w:pPr>
            <w:r>
              <w:rPr/>
              <w:t> </w:t>
            </w:r>
          </w:p>
        </w:tc>
        <w:tc>
          <w:tcPr>
            <w:tcW w:w="653" w:type="dxa"/>
            <w:tcBorders>
              <w:bottom w:val="double" w:sz="6" w:space="0" w:color="000000"/>
            </w:tcBorders>
            <w:tcMar>
              <w:bottom w:w="28" w:type="dxa"/>
            </w:tcMar>
            <w:vAlign w:val="center"/>
          </w:tcPr>
          <w:p>
            <w:pPr>
              <w:pStyle w:val="TableContents"/>
              <w:bidi w:val="0"/>
              <w:spacing w:before="0" w:after="283"/>
              <w:jc w:val="left"/>
              <w:rPr/>
            </w:pPr>
            <w:r>
              <w:rPr/>
              <w:t>$</w:t>
            </w:r>
          </w:p>
        </w:tc>
        <w:tc>
          <w:tcPr>
            <w:tcW w:w="877" w:type="dxa"/>
            <w:tcBorders>
              <w:bottom w:val="double" w:sz="6" w:space="0" w:color="000000"/>
            </w:tcBorders>
            <w:tcMar>
              <w:bottom w:w="28" w:type="dxa"/>
            </w:tcMar>
            <w:vAlign w:val="center"/>
          </w:tcPr>
          <w:p>
            <w:pPr>
              <w:pStyle w:val="TableContents"/>
              <w:bidi w:val="0"/>
              <w:spacing w:before="0" w:after="0"/>
              <w:jc w:val="right"/>
              <w:rPr/>
            </w:pPr>
            <w:r>
              <w:rPr/>
              <w:t>—</w:t>
            </w:r>
          </w:p>
        </w:tc>
        <w:tc>
          <w:tcPr>
            <w:tcW w:w="20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w:t>
            </w:r>
          </w:p>
        </w:tc>
        <w:tc>
          <w:tcPr>
            <w:tcW w:w="80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8" w:type="dxa"/>
            <w:tcBorders>
              <w:bottom w:val="double" w:sz="6" w:space="0" w:color="000000"/>
            </w:tcBorders>
            <w:tcMar>
              <w:bottom w:w="28" w:type="dxa"/>
            </w:tcMar>
            <w:vAlign w:val="center"/>
          </w:tcPr>
          <w:p>
            <w:pPr>
              <w:pStyle w:val="TableContents"/>
              <w:bidi w:val="0"/>
              <w:spacing w:before="0" w:after="283"/>
              <w:jc w:val="left"/>
              <w:rPr/>
            </w:pPr>
            <w:r>
              <w:rPr/>
              <w:t>$</w:t>
            </w:r>
          </w:p>
        </w:tc>
        <w:tc>
          <w:tcPr>
            <w:tcW w:w="1296" w:type="dxa"/>
            <w:tcBorders>
              <w:bottom w:val="double" w:sz="6" w:space="0" w:color="000000"/>
            </w:tcBorders>
            <w:tcMar>
              <w:bottom w:w="28" w:type="dxa"/>
            </w:tcMar>
            <w:vAlign w:val="center"/>
          </w:tcPr>
          <w:p>
            <w:pPr>
              <w:pStyle w:val="TableContents"/>
              <w:bidi w:val="0"/>
              <w:spacing w:before="0" w:after="283"/>
              <w:jc w:val="right"/>
              <w:rPr/>
            </w:pPr>
            <w:r>
              <w:rPr/>
              <w:t>17,904</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548" w:type="dxa"/>
            <w:tcBorders/>
            <w:vAlign w:val="center"/>
          </w:tcPr>
          <w:p>
            <w:pPr>
              <w:pStyle w:val="TableContents"/>
              <w:bidi w:val="0"/>
              <w:spacing w:before="0" w:after="283"/>
              <w:jc w:val="left"/>
              <w:rPr/>
            </w:pPr>
            <w:r>
              <w:rPr/>
              <w:t>$</w:t>
            </w:r>
          </w:p>
        </w:tc>
        <w:tc>
          <w:tcPr>
            <w:tcW w:w="885" w:type="dxa"/>
            <w:tcBorders/>
            <w:vAlign w:val="center"/>
          </w:tcPr>
          <w:p>
            <w:pPr>
              <w:pStyle w:val="TableContents"/>
              <w:bidi w:val="0"/>
              <w:spacing w:before="0" w:after="283"/>
              <w:jc w:val="right"/>
              <w:rPr/>
            </w:pPr>
            <w:r>
              <w:rPr/>
              <w:t>8</w:t>
            </w:r>
          </w:p>
        </w:tc>
        <w:tc>
          <w:tcPr>
            <w:tcW w:w="173" w:type="dxa"/>
            <w:tcBorders/>
            <w:vAlign w:val="center"/>
          </w:tcPr>
          <w:p>
            <w:pPr>
              <w:pStyle w:val="TableContents"/>
              <w:bidi w:val="0"/>
              <w:spacing w:before="0" w:after="283"/>
              <w:jc w:val="left"/>
              <w:rPr/>
            </w:pPr>
            <w:r>
              <w:rPr/>
              <w:t> </w:t>
            </w:r>
          </w:p>
        </w:tc>
      </w:tr>
      <w:tr>
        <w:trPr/>
        <w:tc>
          <w:tcPr>
            <w:tcW w:w="28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548"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2890" w:type="dxa"/>
            <w:tcBorders/>
            <w:vAlign w:val="center"/>
          </w:tcPr>
          <w:p>
            <w:pPr>
              <w:pStyle w:val="TableContents"/>
              <w:bidi w:val="0"/>
              <w:spacing w:before="0" w:after="283"/>
              <w:jc w:val="left"/>
              <w:rPr/>
            </w:pPr>
            <w:r>
              <w:rPr/>
              <w:t>Current period charge for expected credit losses</w:t>
            </w:r>
          </w:p>
        </w:tc>
        <w:tc>
          <w:tcPr>
            <w:tcW w:w="90"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pPr>
            <w:r>
              <w:rPr/>
              <w:t> </w:t>
            </w:r>
          </w:p>
        </w:tc>
        <w:tc>
          <w:tcPr>
            <w:tcW w:w="20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548"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4</w:t>
            </w:r>
          </w:p>
        </w:tc>
        <w:tc>
          <w:tcPr>
            <w:tcW w:w="173" w:type="dxa"/>
            <w:tcBorders/>
            <w:vAlign w:val="center"/>
          </w:tcPr>
          <w:p>
            <w:pPr>
              <w:pStyle w:val="TableContents"/>
              <w:bidi w:val="0"/>
              <w:spacing w:before="0" w:after="283"/>
              <w:jc w:val="left"/>
              <w:rPr/>
            </w:pPr>
            <w:r>
              <w:rPr/>
              <w:t> </w:t>
            </w:r>
          </w:p>
        </w:tc>
      </w:tr>
      <w:tr>
        <w:trPr/>
        <w:tc>
          <w:tcPr>
            <w:tcW w:w="2890" w:type="dxa"/>
            <w:tcBorders/>
            <w:shd w:fill="CCEEFF" w:val="clear"/>
            <w:vAlign w:val="center"/>
          </w:tcPr>
          <w:p>
            <w:pPr>
              <w:pStyle w:val="TableContents"/>
              <w:bidi w:val="0"/>
              <w:spacing w:before="0" w:after="283"/>
              <w:jc w:val="left"/>
              <w:rPr/>
            </w:pPr>
            <w:r>
              <w:rPr/>
              <w:t>Write-offs of uncollectible premiums receivable</w:t>
            </w:r>
          </w:p>
        </w:tc>
        <w:tc>
          <w:tcPr>
            <w:tcW w:w="90"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548"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(4</w:t>
            </w:r>
          </w:p>
        </w:tc>
        <w:tc>
          <w:tcPr>
            <w:tcW w:w="173" w:type="dxa"/>
            <w:tcBorders/>
            <w:shd w:fill="CCEEFF" w:val="clear"/>
            <w:vAlign w:val="center"/>
          </w:tcPr>
          <w:p>
            <w:pPr>
              <w:pStyle w:val="TableContents"/>
              <w:bidi w:val="0"/>
              <w:spacing w:before="0" w:after="283"/>
              <w:jc w:val="left"/>
              <w:rPr/>
            </w:pPr>
            <w:r>
              <w:rPr/>
              <w:t>)</w:t>
            </w:r>
          </w:p>
        </w:tc>
      </w:tr>
      <w:tr>
        <w:trPr/>
        <w:tc>
          <w:tcPr>
            <w:tcW w:w="2890" w:type="dxa"/>
            <w:tcBorders/>
            <w:vAlign w:val="center"/>
          </w:tcPr>
          <w:p>
            <w:pPr>
              <w:pStyle w:val="TableContents"/>
              <w:bidi w:val="0"/>
              <w:spacing w:before="0" w:after="283"/>
              <w:jc w:val="left"/>
              <w:rPr/>
            </w:pPr>
            <w:r>
              <w:rPr/>
              <w:t>Westminster balances disposed in sale</w:t>
            </w:r>
          </w:p>
        </w:tc>
        <w:tc>
          <w:tcPr>
            <w:tcW w:w="90" w:type="dxa"/>
            <w:tcBorders/>
            <w:vAlign w:val="center"/>
          </w:tcPr>
          <w:p>
            <w:pPr>
              <w:pStyle w:val="TableContents"/>
              <w:bidi w:val="0"/>
              <w:spacing w:before="0" w:after="283"/>
              <w:jc w:val="left"/>
              <w:rPr/>
            </w:pPr>
            <w:r>
              <w:rPr/>
              <w:t> </w:t>
            </w:r>
          </w:p>
        </w:tc>
        <w:tc>
          <w:tcPr>
            <w:tcW w:w="653" w:type="dxa"/>
            <w:tcBorders>
              <w:bottom w:val="double" w:sz="6" w:space="0" w:color="000000"/>
            </w:tcBorders>
            <w:tcMar>
              <w:bottom w:w="28" w:type="dxa"/>
            </w:tcMar>
            <w:vAlign w:val="center"/>
          </w:tcPr>
          <w:p>
            <w:pPr>
              <w:pStyle w:val="TableContents"/>
              <w:bidi w:val="0"/>
              <w:spacing w:before="0" w:after="283"/>
              <w:jc w:val="left"/>
              <w:rPr/>
            </w:pPr>
            <w:r>
              <w:rPr/>
              <w:t>$</w:t>
            </w:r>
          </w:p>
        </w:tc>
        <w:tc>
          <w:tcPr>
            <w:tcW w:w="877" w:type="dxa"/>
            <w:tcBorders>
              <w:bottom w:val="double" w:sz="6" w:space="0" w:color="000000"/>
            </w:tcBorders>
            <w:tcMar>
              <w:bottom w:w="28" w:type="dxa"/>
            </w:tcMar>
            <w:vAlign w:val="center"/>
          </w:tcPr>
          <w:p>
            <w:pPr>
              <w:pStyle w:val="TableContents"/>
              <w:bidi w:val="0"/>
              <w:spacing w:before="0" w:after="0"/>
              <w:jc w:val="right"/>
              <w:rPr/>
            </w:pPr>
            <w:r>
              <w:rPr/>
              <w:t>—</w:t>
            </w:r>
          </w:p>
        </w:tc>
        <w:tc>
          <w:tcPr>
            <w:tcW w:w="20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31" w:type="dxa"/>
            <w:tcBorders>
              <w:bottom w:val="double" w:sz="6" w:space="0" w:color="000000"/>
            </w:tcBorders>
            <w:tcMar>
              <w:bottom w:w="28" w:type="dxa"/>
            </w:tcMar>
            <w:vAlign w:val="center"/>
          </w:tcPr>
          <w:p>
            <w:pPr>
              <w:pStyle w:val="TableContents"/>
              <w:bidi w:val="0"/>
              <w:spacing w:before="0" w:after="283"/>
              <w:jc w:val="left"/>
              <w:rPr/>
            </w:pPr>
            <w:r>
              <w:rPr/>
              <w:t> </w:t>
            </w:r>
          </w:p>
        </w:tc>
        <w:tc>
          <w:tcPr>
            <w:tcW w:w="802" w:type="dxa"/>
            <w:tcBorders>
              <w:bottom w:val="double" w:sz="6"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8" w:type="dxa"/>
            <w:tcBorders>
              <w:bottom w:val="double" w:sz="6" w:space="0" w:color="000000"/>
            </w:tcBorders>
            <w:tcMar>
              <w:bottom w:w="28" w:type="dxa"/>
            </w:tcMar>
            <w:vAlign w:val="center"/>
          </w:tcPr>
          <w:p>
            <w:pPr>
              <w:pStyle w:val="TableContents"/>
              <w:bidi w:val="0"/>
              <w:spacing w:before="0" w:after="283"/>
              <w:jc w:val="left"/>
              <w:rPr/>
            </w:pPr>
            <w:r>
              <w:rPr/>
              <w:t>$</w:t>
            </w:r>
          </w:p>
        </w:tc>
        <w:tc>
          <w:tcPr>
            <w:tcW w:w="1296" w:type="dxa"/>
            <w:tcBorders>
              <w:bottom w:val="double" w:sz="6" w:space="0" w:color="000000"/>
            </w:tcBorders>
            <w:tcMar>
              <w:bottom w:w="28" w:type="dxa"/>
            </w:tcMar>
            <w:vAlign w:val="center"/>
          </w:tcPr>
          <w:p>
            <w:pPr>
              <w:pStyle w:val="TableContents"/>
              <w:bidi w:val="0"/>
              <w:spacing w:before="0" w:after="283"/>
              <w:jc w:val="right"/>
              <w:rPr/>
            </w:pPr>
            <w:r>
              <w:rPr/>
              <w:t>16,030</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548" w:type="dxa"/>
            <w:tcBorders>
              <w:bottom w:val="double" w:sz="6" w:space="0" w:color="000000"/>
            </w:tcBorders>
            <w:tcMar>
              <w:bottom w:w="28" w:type="dxa"/>
            </w:tcMar>
            <w:vAlign w:val="center"/>
          </w:tcPr>
          <w:p>
            <w:pPr>
              <w:pStyle w:val="TableContents"/>
              <w:bidi w:val="0"/>
              <w:spacing w:before="0" w:after="283"/>
              <w:jc w:val="left"/>
              <w:rPr/>
            </w:pPr>
            <w:r>
              <w:rPr/>
              <w:t> </w:t>
            </w:r>
          </w:p>
        </w:tc>
        <w:tc>
          <w:tcPr>
            <w:tcW w:w="885" w:type="dxa"/>
            <w:tcBorders>
              <w:bottom w:val="double" w:sz="6" w:space="0" w:color="000000"/>
            </w:tcBorders>
            <w:tcMar>
              <w:bottom w:w="28" w:type="dxa"/>
            </w:tcMar>
            <w:vAlign w:val="center"/>
          </w:tcPr>
          <w:p>
            <w:pPr>
              <w:pStyle w:val="TableContents"/>
              <w:bidi w:val="0"/>
              <w:spacing w:before="0" w:after="283"/>
              <w:jc w:val="right"/>
              <w:rPr/>
            </w:pPr>
            <w:r>
              <w:rPr/>
              <w:t>(8</w:t>
            </w:r>
          </w:p>
        </w:tc>
        <w:tc>
          <w:tcPr>
            <w:tcW w:w="173" w:type="dxa"/>
            <w:tcBorders/>
            <w:vAlign w:val="center"/>
          </w:tcPr>
          <w:p>
            <w:pPr>
              <w:pStyle w:val="TableContents"/>
              <w:bidi w:val="0"/>
              <w:spacing w:before="0" w:after="283"/>
              <w:jc w:val="left"/>
              <w:rPr/>
            </w:pPr>
            <w:r>
              <w:rPr/>
              <w:t>)</w:t>
            </w:r>
          </w:p>
        </w:tc>
      </w:tr>
      <w:tr>
        <w:trPr/>
        <w:tc>
          <w:tcPr>
            <w:tcW w:w="28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548"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2890" w:type="dxa"/>
            <w:tcBorders/>
            <w:vAlign w:val="center"/>
          </w:tcPr>
          <w:p>
            <w:pPr>
              <w:pStyle w:val="TableContents"/>
              <w:bidi w:val="0"/>
              <w:spacing w:before="0" w:after="283"/>
              <w:jc w:val="left"/>
              <w:rPr/>
            </w:pPr>
            <w:r>
              <w:rPr/>
              <w:t>Balance, end of period</w:t>
            </w:r>
          </w:p>
        </w:tc>
        <w:tc>
          <w:tcPr>
            <w:tcW w:w="90" w:type="dxa"/>
            <w:tcBorders/>
            <w:vAlign w:val="center"/>
          </w:tcPr>
          <w:p>
            <w:pPr>
              <w:pStyle w:val="TableContents"/>
              <w:bidi w:val="0"/>
              <w:spacing w:before="0" w:after="283"/>
              <w:jc w:val="left"/>
              <w:rPr/>
            </w:pPr>
            <w:r>
              <w:rPr/>
              <w:t> </w:t>
            </w:r>
          </w:p>
        </w:tc>
        <w:tc>
          <w:tcPr>
            <w:tcW w:w="653" w:type="dxa"/>
            <w:tcBorders>
              <w:bottom w:val="double" w:sz="6" w:space="0" w:color="000000"/>
            </w:tcBorders>
            <w:tcMar>
              <w:bottom w:w="28" w:type="dxa"/>
            </w:tcMar>
            <w:vAlign w:val="center"/>
          </w:tcPr>
          <w:p>
            <w:pPr>
              <w:pStyle w:val="TableContents"/>
              <w:bidi w:val="0"/>
              <w:spacing w:before="0" w:after="283"/>
              <w:jc w:val="left"/>
              <w:rPr/>
            </w:pPr>
            <w:r>
              <w:rPr/>
              <w:t>$</w:t>
            </w:r>
          </w:p>
        </w:tc>
        <w:tc>
          <w:tcPr>
            <w:tcW w:w="877" w:type="dxa"/>
            <w:tcBorders>
              <w:bottom w:val="double" w:sz="6" w:space="0" w:color="000000"/>
            </w:tcBorders>
            <w:tcMar>
              <w:bottom w:w="28" w:type="dxa"/>
            </w:tcMar>
            <w:vAlign w:val="center"/>
          </w:tcPr>
          <w:p>
            <w:pPr>
              <w:pStyle w:val="TableContents"/>
              <w:bidi w:val="0"/>
              <w:spacing w:before="0" w:after="0"/>
              <w:jc w:val="right"/>
              <w:rPr/>
            </w:pPr>
            <w:r>
              <w:rPr/>
              <w:t>—</w:t>
            </w:r>
          </w:p>
        </w:tc>
        <w:tc>
          <w:tcPr>
            <w:tcW w:w="20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31" w:type="dxa"/>
            <w:tcBorders>
              <w:bottom w:val="double" w:sz="6" w:space="0" w:color="000000"/>
            </w:tcBorders>
            <w:tcMar>
              <w:bottom w:w="28" w:type="dxa"/>
            </w:tcMar>
            <w:vAlign w:val="center"/>
          </w:tcPr>
          <w:p>
            <w:pPr>
              <w:pStyle w:val="TableContents"/>
              <w:bidi w:val="0"/>
              <w:spacing w:before="0" w:after="283"/>
              <w:jc w:val="left"/>
              <w:rPr/>
            </w:pPr>
            <w:r>
              <w:rPr/>
              <w:t>$</w:t>
            </w:r>
          </w:p>
        </w:tc>
        <w:tc>
          <w:tcPr>
            <w:tcW w:w="802" w:type="dxa"/>
            <w:tcBorders>
              <w:bottom w:val="double" w:sz="6"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8" w:type="dxa"/>
            <w:tcBorders>
              <w:bottom w:val="double" w:sz="6" w:space="0" w:color="000000"/>
            </w:tcBorders>
            <w:tcMar>
              <w:bottom w:w="28" w:type="dxa"/>
            </w:tcMar>
            <w:vAlign w:val="center"/>
          </w:tcPr>
          <w:p>
            <w:pPr>
              <w:pStyle w:val="TableContents"/>
              <w:bidi w:val="0"/>
              <w:spacing w:before="0" w:after="283"/>
              <w:jc w:val="left"/>
              <w:rPr/>
            </w:pPr>
            <w:r>
              <w:rPr/>
              <w:t>$</w:t>
            </w:r>
          </w:p>
        </w:tc>
        <w:tc>
          <w:tcPr>
            <w:tcW w:w="1296" w:type="dxa"/>
            <w:tcBorders>
              <w:bottom w:val="double" w:sz="6" w:space="0" w:color="000000"/>
            </w:tcBorders>
            <w:tcMar>
              <w:bottom w:w="28" w:type="dxa"/>
            </w:tcMar>
            <w:vAlign w:val="center"/>
          </w:tcPr>
          <w:p>
            <w:pPr>
              <w:pStyle w:val="TableContents"/>
              <w:bidi w:val="0"/>
              <w:spacing w:before="0" w:after="0"/>
              <w:jc w:val="right"/>
              <w:rPr/>
            </w:pPr>
            <w:r>
              <w:rPr/>
              <w:t>—</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548" w:type="dxa"/>
            <w:tcBorders>
              <w:bottom w:val="double" w:sz="6" w:space="0" w:color="000000"/>
            </w:tcBorders>
            <w:tcMar>
              <w:bottom w:w="28" w:type="dxa"/>
            </w:tcMar>
            <w:vAlign w:val="center"/>
          </w:tcPr>
          <w:p>
            <w:pPr>
              <w:pStyle w:val="TableContents"/>
              <w:bidi w:val="0"/>
              <w:spacing w:before="0" w:after="283"/>
              <w:jc w:val="left"/>
              <w:rPr/>
            </w:pPr>
            <w:r>
              <w:rPr/>
              <w:t>$</w:t>
            </w:r>
          </w:p>
        </w:tc>
        <w:tc>
          <w:tcPr>
            <w:tcW w:w="885" w:type="dxa"/>
            <w:tcBorders>
              <w:bottom w:val="double" w:sz="6" w:space="0" w:color="000000"/>
            </w:tcBorders>
            <w:tcMar>
              <w:bottom w:w="28" w:type="dxa"/>
            </w:tcMar>
            <w:vAlign w:val="center"/>
          </w:tcPr>
          <w:p>
            <w:pPr>
              <w:pStyle w:val="TableContents"/>
              <w:bidi w:val="0"/>
              <w:spacing w:before="0" w:after="0"/>
              <w:jc w:val="right"/>
              <w:rPr/>
            </w:pPr>
            <w:r>
              <w:rPr/>
              <w:t>—</w:t>
            </w:r>
          </w:p>
        </w:tc>
        <w:tc>
          <w:tcPr>
            <w:tcW w:w="17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31 </w:t>
      </w:r>
    </w:p>
    <w:p>
      <w:pPr>
        <w:pStyle w:val="TextBody"/>
        <w:bidi w:val="0"/>
        <w:spacing w:before="0" w:after="0"/>
        <w:ind w:left="0" w:right="0" w:hanging="0"/>
        <w:jc w:val="left"/>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68"/>
        <w:gridCol w:w="350"/>
        <w:gridCol w:w="2615"/>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rPr>
            </w:pPr>
            <w:r>
              <w:rPr>
                <w:b/>
              </w:rPr>
              <w:t>19.</w:t>
            </w:r>
          </w:p>
        </w:tc>
        <w:tc>
          <w:tcPr>
            <w:tcW w:w="2615" w:type="dxa"/>
            <w:tcBorders/>
            <w:vAlign w:val="center"/>
          </w:tcPr>
          <w:p>
            <w:pPr>
              <w:pStyle w:val="TableContents"/>
              <w:bidi w:val="0"/>
              <w:spacing w:before="0" w:after="283"/>
              <w:jc w:val="left"/>
              <w:rPr>
                <w:b/>
              </w:rPr>
            </w:pPr>
            <w:r>
              <w:rPr>
                <w:b/>
              </w:rPr>
              <w:t>Discontinued Operations</w:t>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2024, we entered into a definitive agreement to sell our subsidiary, Westminster, to Scott Insurance Holdings, for a cash purchase price of $10,500, as well as a $1,772 post-closing adjustment pursuant to the purchase agreement, for a net amount of $12,272. The sale closed on June 30, 2024, and we reported an after-tax loss on the sale of discontinued operations of $11,148. For additional information see Part I, Item 1, Note 2 “Basis of Presentation and Accounting Policies” of this Form 10-Q.</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Statements of Cash Flows presents operating, investing, and financing cash flows of the discontinued operations separately. Summary operating results of discontinued operations were as follows for the periods indicated:</w:t>
      </w:r>
    </w:p>
    <w:tbl>
      <w:tblPr>
        <w:tblW w:w="10205" w:type="dxa"/>
        <w:jc w:val="left"/>
        <w:tblInd w:w="0" w:type="dxa"/>
        <w:tblLayout w:type="fixed"/>
        <w:tblCellMar>
          <w:top w:w="0" w:type="dxa"/>
          <w:left w:w="0" w:type="dxa"/>
          <w:bottom w:w="0" w:type="dxa"/>
          <w:right w:w="0" w:type="dxa"/>
        </w:tblCellMar>
      </w:tblPr>
      <w:tblGrid>
        <w:gridCol w:w="3898"/>
        <w:gridCol w:w="90"/>
        <w:gridCol w:w="461"/>
        <w:gridCol w:w="759"/>
        <w:gridCol w:w="234"/>
        <w:gridCol w:w="234"/>
        <w:gridCol w:w="460"/>
        <w:gridCol w:w="772"/>
        <w:gridCol w:w="90"/>
        <w:gridCol w:w="90"/>
        <w:gridCol w:w="349"/>
        <w:gridCol w:w="557"/>
        <w:gridCol w:w="172"/>
        <w:gridCol w:w="172"/>
        <w:gridCol w:w="326"/>
        <w:gridCol w:w="1365"/>
        <w:gridCol w:w="176"/>
      </w:tblGrid>
      <w:tr>
        <w:trPr/>
        <w:tc>
          <w:tcPr>
            <w:tcW w:w="38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4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76" w:type="dxa"/>
            <w:tcBorders/>
            <w:vAlign w:val="center"/>
          </w:tcPr>
          <w:p>
            <w:pPr>
              <w:pStyle w:val="TableContents"/>
              <w:bidi w:val="0"/>
              <w:spacing w:before="0" w:after="283"/>
              <w:jc w:val="left"/>
              <w:rPr/>
            </w:pPr>
            <w:r>
              <w:rPr/>
              <w:t> </w:t>
            </w:r>
          </w:p>
        </w:tc>
      </w:tr>
      <w:tr>
        <w:trPr/>
        <w:tc>
          <w:tcPr>
            <w:tcW w:w="38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4"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2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6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6" w:type="dxa"/>
            <w:tcBorders/>
            <w:vAlign w:val="center"/>
          </w:tcPr>
          <w:p>
            <w:pPr>
              <w:pStyle w:val="TableContents"/>
              <w:bidi w:val="0"/>
              <w:spacing w:before="0" w:after="283"/>
              <w:jc w:val="left"/>
              <w:rPr/>
            </w:pPr>
            <w:r>
              <w:rPr/>
              <w:t> </w:t>
            </w:r>
          </w:p>
        </w:tc>
      </w:tr>
      <w:tr>
        <w:trPr/>
        <w:tc>
          <w:tcPr>
            <w:tcW w:w="3898" w:type="dxa"/>
            <w:tcBorders/>
            <w:vAlign w:val="center"/>
          </w:tcPr>
          <w:p>
            <w:pPr>
              <w:pStyle w:val="TableContents"/>
              <w:bidi w:val="0"/>
              <w:spacing w:before="0" w:after="283"/>
              <w:jc w:val="left"/>
              <w:rPr/>
            </w:pPr>
            <w:r>
              <w:rPr/>
              <w:t>Revenues:</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6"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691" w:type="dxa"/>
            <w:gridSpan w:val="2"/>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r>
      <w:tr>
        <w:trPr/>
        <w:tc>
          <w:tcPr>
            <w:tcW w:w="3898" w:type="dxa"/>
            <w:tcBorders/>
            <w:shd w:fill="CCEEFF" w:val="clear"/>
            <w:vAlign w:val="center"/>
          </w:tcPr>
          <w:p>
            <w:pPr>
              <w:pStyle w:val="TableContents"/>
              <w:bidi w:val="0"/>
              <w:spacing w:before="0" w:after="283"/>
              <w:jc w:val="left"/>
              <w:rPr/>
            </w:pPr>
            <w:r>
              <w:rPr/>
              <w:t>Net premiums earned</w:t>
            </w:r>
          </w:p>
        </w:tc>
        <w:tc>
          <w:tcPr>
            <w:tcW w:w="9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759" w:type="dxa"/>
            <w:tcBorders/>
            <w:shd w:fill="CCEEFF" w:val="clear"/>
            <w:vAlign w:val="center"/>
          </w:tcPr>
          <w:p>
            <w:pPr>
              <w:pStyle w:val="TableContents"/>
              <w:bidi w:val="0"/>
              <w:spacing w:before="0" w:after="0"/>
              <w:jc w:val="right"/>
              <w:rPr/>
            </w:pPr>
            <w:r>
              <w:rPr/>
              <w:t>—</w:t>
            </w:r>
          </w:p>
        </w:tc>
        <w:tc>
          <w:tcPr>
            <w:tcW w:w="234"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w:t>
            </w:r>
          </w:p>
        </w:tc>
        <w:tc>
          <w:tcPr>
            <w:tcW w:w="77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w:t>
            </w:r>
          </w:p>
        </w:tc>
        <w:tc>
          <w:tcPr>
            <w:tcW w:w="557"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1365" w:type="dxa"/>
            <w:tcBorders/>
            <w:shd w:fill="CCEEFF" w:val="clear"/>
            <w:vAlign w:val="center"/>
          </w:tcPr>
          <w:p>
            <w:pPr>
              <w:pStyle w:val="TableContents"/>
              <w:bidi w:val="0"/>
              <w:spacing w:before="0" w:after="283"/>
              <w:jc w:val="right"/>
              <w:rPr/>
            </w:pPr>
            <w:r>
              <w:rPr/>
              <w:t>31,056</w:t>
            </w:r>
          </w:p>
        </w:tc>
        <w:tc>
          <w:tcPr>
            <w:tcW w:w="176" w:type="dxa"/>
            <w:tcBorders/>
            <w:shd w:fill="CCEEFF" w:val="clear"/>
            <w:vAlign w:val="center"/>
          </w:tcPr>
          <w:p>
            <w:pPr>
              <w:pStyle w:val="TableContents"/>
              <w:bidi w:val="0"/>
              <w:spacing w:before="0" w:after="283"/>
              <w:jc w:val="left"/>
              <w:rPr/>
            </w:pPr>
            <w:r>
              <w:rPr/>
              <w:t> </w:t>
            </w:r>
          </w:p>
        </w:tc>
      </w:tr>
      <w:tr>
        <w:trPr/>
        <w:tc>
          <w:tcPr>
            <w:tcW w:w="3898" w:type="dxa"/>
            <w:tcBorders/>
            <w:vAlign w:val="center"/>
          </w:tcPr>
          <w:p>
            <w:pPr>
              <w:pStyle w:val="TableContents"/>
              <w:bidi w:val="0"/>
              <w:spacing w:before="0" w:after="283"/>
              <w:jc w:val="left"/>
              <w:rPr/>
            </w:pPr>
            <w:r>
              <w:rPr/>
              <w:t>Fee and other income</w:t>
            </w:r>
          </w:p>
        </w:tc>
        <w:tc>
          <w:tcPr>
            <w:tcW w:w="9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0"/>
              <w:jc w:val="right"/>
              <w:rPr/>
            </w:pPr>
            <w:r>
              <w:rPr/>
              <w:t>—</w:t>
            </w:r>
          </w:p>
        </w:tc>
        <w:tc>
          <w:tcPr>
            <w:tcW w:w="234"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1365" w:type="dxa"/>
            <w:tcBorders/>
            <w:vAlign w:val="center"/>
          </w:tcPr>
          <w:p>
            <w:pPr>
              <w:pStyle w:val="TableContents"/>
              <w:bidi w:val="0"/>
              <w:spacing w:before="0" w:after="283"/>
              <w:jc w:val="right"/>
              <w:rPr/>
            </w:pPr>
            <w:r>
              <w:rPr/>
              <w:t>14</w:t>
            </w:r>
          </w:p>
        </w:tc>
        <w:tc>
          <w:tcPr>
            <w:tcW w:w="176" w:type="dxa"/>
            <w:tcBorders/>
            <w:vAlign w:val="center"/>
          </w:tcPr>
          <w:p>
            <w:pPr>
              <w:pStyle w:val="TableContents"/>
              <w:bidi w:val="0"/>
              <w:spacing w:before="0" w:after="283"/>
              <w:jc w:val="left"/>
              <w:rPr/>
            </w:pPr>
            <w:r>
              <w:rPr/>
              <w:t> </w:t>
            </w:r>
          </w:p>
        </w:tc>
      </w:tr>
      <w:tr>
        <w:trPr/>
        <w:tc>
          <w:tcPr>
            <w:tcW w:w="3898" w:type="dxa"/>
            <w:tcBorders/>
            <w:shd w:fill="CCEEFF" w:val="clear"/>
            <w:vAlign w:val="center"/>
          </w:tcPr>
          <w:p>
            <w:pPr>
              <w:pStyle w:val="TableContents"/>
              <w:bidi w:val="0"/>
              <w:spacing w:before="0" w:after="283"/>
              <w:jc w:val="left"/>
              <w:rPr/>
            </w:pPr>
            <w:r>
              <w:rPr/>
              <w:t>Net investment income</w:t>
            </w:r>
          </w:p>
        </w:tc>
        <w:tc>
          <w:tcPr>
            <w:tcW w:w="9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0"/>
              <w:jc w:val="right"/>
              <w:rPr/>
            </w:pPr>
            <w:r>
              <w:rPr/>
              <w:t>—</w:t>
            </w:r>
          </w:p>
        </w:tc>
        <w:tc>
          <w:tcPr>
            <w:tcW w:w="234"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1,419</w:t>
            </w:r>
          </w:p>
        </w:tc>
        <w:tc>
          <w:tcPr>
            <w:tcW w:w="176" w:type="dxa"/>
            <w:tcBorders/>
            <w:shd w:fill="CCEEFF" w:val="clear"/>
            <w:vAlign w:val="center"/>
          </w:tcPr>
          <w:p>
            <w:pPr>
              <w:pStyle w:val="TableContents"/>
              <w:bidi w:val="0"/>
              <w:spacing w:before="0" w:after="283"/>
              <w:jc w:val="left"/>
              <w:rPr/>
            </w:pPr>
            <w:r>
              <w:rPr/>
              <w:t> </w:t>
            </w:r>
          </w:p>
        </w:tc>
      </w:tr>
      <w:tr>
        <w:trPr/>
        <w:tc>
          <w:tcPr>
            <w:tcW w:w="3898" w:type="dxa"/>
            <w:tcBorders/>
            <w:vAlign w:val="center"/>
          </w:tcPr>
          <w:p>
            <w:pPr>
              <w:pStyle w:val="TableContents"/>
              <w:bidi w:val="0"/>
              <w:spacing w:before="0" w:after="283"/>
              <w:jc w:val="left"/>
              <w:rPr/>
            </w:pPr>
            <w:r>
              <w:rPr/>
              <w:t>Net investment gains</w:t>
            </w:r>
          </w:p>
        </w:tc>
        <w:tc>
          <w:tcPr>
            <w:tcW w:w="90" w:type="dxa"/>
            <w:tcBorders/>
            <w:vAlign w:val="center"/>
          </w:tcPr>
          <w:p>
            <w:pPr>
              <w:pStyle w:val="TableContents"/>
              <w:bidi w:val="0"/>
              <w:spacing w:before="0" w:after="283"/>
              <w:jc w:val="left"/>
              <w:rPr/>
            </w:pPr>
            <w:r>
              <w:rPr/>
              <w:t> </w:t>
            </w:r>
          </w:p>
        </w:tc>
        <w:tc>
          <w:tcPr>
            <w:tcW w:w="461" w:type="dxa"/>
            <w:tcBorders>
              <w:bottom w:val="single" w:sz="8" w:space="0" w:color="000000"/>
            </w:tcBorders>
            <w:tcMar>
              <w:bottom w:w="28" w:type="dxa"/>
            </w:tcMar>
            <w:vAlign w:val="center"/>
          </w:tcPr>
          <w:p>
            <w:pPr>
              <w:pStyle w:val="TableContents"/>
              <w:bidi w:val="0"/>
              <w:spacing w:before="0" w:after="283"/>
              <w:jc w:val="left"/>
              <w:rPr/>
            </w:pPr>
            <w:r>
              <w:rPr/>
              <w:t> </w:t>
            </w:r>
          </w:p>
        </w:tc>
        <w:tc>
          <w:tcPr>
            <w:tcW w:w="759" w:type="dxa"/>
            <w:tcBorders>
              <w:bottom w:val="single" w:sz="8" w:space="0" w:color="000000"/>
            </w:tcBorders>
            <w:tcMar>
              <w:bottom w:w="28" w:type="dxa"/>
            </w:tcMar>
            <w:vAlign w:val="center"/>
          </w:tcPr>
          <w:p>
            <w:pPr>
              <w:pStyle w:val="TableContents"/>
              <w:bidi w:val="0"/>
              <w:spacing w:before="0" w:after="0"/>
              <w:jc w:val="right"/>
              <w:rPr/>
            </w:pPr>
            <w:r>
              <w:rPr/>
              <w:t>—</w:t>
            </w:r>
          </w:p>
        </w:tc>
        <w:tc>
          <w:tcPr>
            <w:tcW w:w="234"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460" w:type="dxa"/>
            <w:tcBorders>
              <w:bottom w:val="single" w:sz="8" w:space="0" w:color="000000"/>
            </w:tcBorders>
            <w:tcMar>
              <w:bottom w:w="28" w:type="dxa"/>
            </w:tcMar>
            <w:vAlign w:val="center"/>
          </w:tcPr>
          <w:p>
            <w:pPr>
              <w:pStyle w:val="TableContents"/>
              <w:bidi w:val="0"/>
              <w:spacing w:before="0" w:after="283"/>
              <w:jc w:val="left"/>
              <w:rPr/>
            </w:pPr>
            <w:r>
              <w:rPr/>
              <w:t> </w:t>
            </w:r>
          </w:p>
        </w:tc>
        <w:tc>
          <w:tcPr>
            <w:tcW w:w="772" w:type="dxa"/>
            <w:tcBorders>
              <w:bottom w:val="single" w:sz="8"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9" w:type="dxa"/>
            <w:tcBorders>
              <w:bottom w:val="single" w:sz="8" w:space="0" w:color="000000"/>
            </w:tcBorders>
            <w:tcMar>
              <w:bottom w:w="28" w:type="dxa"/>
            </w:tcMar>
            <w:vAlign w:val="center"/>
          </w:tcPr>
          <w:p>
            <w:pPr>
              <w:pStyle w:val="TableContents"/>
              <w:bidi w:val="0"/>
              <w:spacing w:before="0" w:after="283"/>
              <w:jc w:val="left"/>
              <w:rPr/>
            </w:pPr>
            <w:r>
              <w:rPr/>
              <w:t> </w:t>
            </w:r>
          </w:p>
        </w:tc>
        <w:tc>
          <w:tcPr>
            <w:tcW w:w="557" w:type="dxa"/>
            <w:tcBorders>
              <w:bottom w:val="single" w:sz="8" w:space="0" w:color="000000"/>
            </w:tcBorders>
            <w:tcMar>
              <w:bottom w:w="28" w:type="dxa"/>
            </w:tcMar>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326" w:type="dxa"/>
            <w:tcBorders>
              <w:bottom w:val="single" w:sz="8" w:space="0" w:color="000000"/>
            </w:tcBorders>
            <w:tcMar>
              <w:bottom w:w="28" w:type="dxa"/>
            </w:tcMar>
            <w:vAlign w:val="center"/>
          </w:tcPr>
          <w:p>
            <w:pPr>
              <w:pStyle w:val="TableContents"/>
              <w:bidi w:val="0"/>
              <w:spacing w:before="0" w:after="283"/>
              <w:jc w:val="left"/>
              <w:rPr/>
            </w:pPr>
            <w:r>
              <w:rPr/>
              <w:t> </w:t>
            </w:r>
          </w:p>
        </w:tc>
        <w:tc>
          <w:tcPr>
            <w:tcW w:w="1365" w:type="dxa"/>
            <w:tcBorders>
              <w:bottom w:val="single" w:sz="8" w:space="0" w:color="000000"/>
            </w:tcBorders>
            <w:tcMar>
              <w:bottom w:w="28" w:type="dxa"/>
            </w:tcMar>
            <w:vAlign w:val="center"/>
          </w:tcPr>
          <w:p>
            <w:pPr>
              <w:pStyle w:val="TableContents"/>
              <w:bidi w:val="0"/>
              <w:spacing w:before="0" w:after="283"/>
              <w:jc w:val="right"/>
              <w:rPr/>
            </w:pPr>
            <w:r>
              <w:rPr/>
              <w:t>116</w:t>
            </w:r>
          </w:p>
        </w:tc>
        <w:tc>
          <w:tcPr>
            <w:tcW w:w="176" w:type="dxa"/>
            <w:tcBorders/>
            <w:vAlign w:val="center"/>
          </w:tcPr>
          <w:p>
            <w:pPr>
              <w:pStyle w:val="TableContents"/>
              <w:bidi w:val="0"/>
              <w:spacing w:before="0" w:after="283"/>
              <w:jc w:val="left"/>
              <w:rPr/>
            </w:pPr>
            <w:r>
              <w:rPr/>
              <w:t> </w:t>
            </w:r>
          </w:p>
        </w:tc>
      </w:tr>
      <w:tr>
        <w:trPr/>
        <w:tc>
          <w:tcPr>
            <w:tcW w:w="3898" w:type="dxa"/>
            <w:tcBorders/>
            <w:shd w:fill="CCEEFF" w:val="clear"/>
            <w:vAlign w:val="center"/>
          </w:tcPr>
          <w:p>
            <w:pPr>
              <w:pStyle w:val="TableContents"/>
              <w:bidi w:val="0"/>
              <w:spacing w:before="0" w:after="283"/>
              <w:jc w:val="left"/>
              <w:rPr/>
            </w:pPr>
            <w:r>
              <w:rPr/>
              <w:t>Total revenues</w:t>
            </w:r>
          </w:p>
        </w:tc>
        <w:tc>
          <w:tcPr>
            <w:tcW w:w="90" w:type="dxa"/>
            <w:tcBorders/>
            <w:shd w:fill="CCEEFF" w:val="clear"/>
            <w:vAlign w:val="center"/>
          </w:tcPr>
          <w:p>
            <w:pPr>
              <w:pStyle w:val="TableContents"/>
              <w:bidi w:val="0"/>
              <w:spacing w:before="0" w:after="283"/>
              <w:jc w:val="left"/>
              <w:rPr/>
            </w:pPr>
            <w:r>
              <w:rPr/>
              <w:t> </w:t>
            </w:r>
          </w:p>
        </w:tc>
        <w:tc>
          <w:tcPr>
            <w:tcW w:w="4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9"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234"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7"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3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5" w:type="dxa"/>
            <w:tcBorders>
              <w:bottom w:val="single" w:sz="8" w:space="0" w:color="000000"/>
            </w:tcBorders>
            <w:shd w:fill="CCEEFF" w:val="clear"/>
            <w:tcMar>
              <w:bottom w:w="28" w:type="dxa"/>
            </w:tcMar>
            <w:vAlign w:val="center"/>
          </w:tcPr>
          <w:p>
            <w:pPr>
              <w:pStyle w:val="TableContents"/>
              <w:bidi w:val="0"/>
              <w:spacing w:before="0" w:after="283"/>
              <w:jc w:val="right"/>
              <w:rPr/>
            </w:pPr>
            <w:r>
              <w:rPr/>
              <w:t>32,605</w:t>
            </w:r>
          </w:p>
        </w:tc>
        <w:tc>
          <w:tcPr>
            <w:tcW w:w="176" w:type="dxa"/>
            <w:tcBorders/>
            <w:shd w:fill="CCEEFF" w:val="clear"/>
            <w:vAlign w:val="center"/>
          </w:tcPr>
          <w:p>
            <w:pPr>
              <w:pStyle w:val="TableContents"/>
              <w:bidi w:val="0"/>
              <w:spacing w:before="0" w:after="283"/>
              <w:ind w:left="0" w:right="0" w:hanging="216"/>
              <w:jc w:val="left"/>
              <w:rPr/>
            </w:pPr>
            <w:r>
              <w:rPr/>
              <w:t> </w:t>
            </w:r>
          </w:p>
        </w:tc>
      </w:tr>
      <w:tr>
        <w:trPr/>
        <w:tc>
          <w:tcPr>
            <w:tcW w:w="38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1365"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r>
      <w:tr>
        <w:trPr/>
        <w:tc>
          <w:tcPr>
            <w:tcW w:w="3898" w:type="dxa"/>
            <w:tcBorders/>
            <w:shd w:fill="CCEEFF" w:val="clear"/>
            <w:vAlign w:val="center"/>
          </w:tcPr>
          <w:p>
            <w:pPr>
              <w:pStyle w:val="TableContents"/>
              <w:bidi w:val="0"/>
              <w:spacing w:before="0" w:after="283"/>
              <w:jc w:val="left"/>
              <w:rPr/>
            </w:pPr>
            <w:r>
              <w:rPr/>
              <w:t>Expenses:</w:t>
            </w:r>
          </w:p>
        </w:tc>
        <w:tc>
          <w:tcPr>
            <w:tcW w:w="9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r>
      <w:tr>
        <w:trPr/>
        <w:tc>
          <w:tcPr>
            <w:tcW w:w="3898" w:type="dxa"/>
            <w:tcBorders/>
            <w:vAlign w:val="center"/>
          </w:tcPr>
          <w:p>
            <w:pPr>
              <w:pStyle w:val="TableContents"/>
              <w:bidi w:val="0"/>
              <w:spacing w:before="0" w:after="283"/>
              <w:jc w:val="left"/>
              <w:rPr/>
            </w:pPr>
            <w:r>
              <w:rPr/>
              <w:t>Losses and loss adjustment expenses</w:t>
            </w:r>
          </w:p>
        </w:tc>
        <w:tc>
          <w:tcPr>
            <w:tcW w:w="9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0"/>
              <w:jc w:val="right"/>
              <w:rPr/>
            </w:pPr>
            <w:r>
              <w:rPr/>
              <w:t>—</w:t>
            </w:r>
          </w:p>
        </w:tc>
        <w:tc>
          <w:tcPr>
            <w:tcW w:w="234"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1365" w:type="dxa"/>
            <w:tcBorders/>
            <w:vAlign w:val="center"/>
          </w:tcPr>
          <w:p>
            <w:pPr>
              <w:pStyle w:val="TableContents"/>
              <w:bidi w:val="0"/>
              <w:spacing w:before="0" w:after="283"/>
              <w:jc w:val="right"/>
              <w:rPr/>
            </w:pPr>
            <w:r>
              <w:rPr/>
              <w:t>23,506</w:t>
            </w:r>
          </w:p>
        </w:tc>
        <w:tc>
          <w:tcPr>
            <w:tcW w:w="176" w:type="dxa"/>
            <w:tcBorders/>
            <w:vAlign w:val="center"/>
          </w:tcPr>
          <w:p>
            <w:pPr>
              <w:pStyle w:val="TableContents"/>
              <w:bidi w:val="0"/>
              <w:spacing w:before="0" w:after="283"/>
              <w:jc w:val="left"/>
              <w:rPr/>
            </w:pPr>
            <w:r>
              <w:rPr/>
              <w:t> </w:t>
            </w:r>
          </w:p>
        </w:tc>
      </w:tr>
      <w:tr>
        <w:trPr/>
        <w:tc>
          <w:tcPr>
            <w:tcW w:w="3898" w:type="dxa"/>
            <w:tcBorders/>
            <w:shd w:fill="CCEEFF" w:val="clear"/>
            <w:vAlign w:val="center"/>
          </w:tcPr>
          <w:p>
            <w:pPr>
              <w:pStyle w:val="TableContents"/>
              <w:bidi w:val="0"/>
              <w:spacing w:before="0" w:after="283"/>
              <w:jc w:val="left"/>
              <w:rPr/>
            </w:pPr>
            <w:r>
              <w:rPr/>
              <w:t>Amortization of deferred policy acquisition costs</w:t>
            </w:r>
          </w:p>
        </w:tc>
        <w:tc>
          <w:tcPr>
            <w:tcW w:w="9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0"/>
              <w:jc w:val="right"/>
              <w:rPr/>
            </w:pPr>
            <w:r>
              <w:rPr/>
              <w:t>—</w:t>
            </w:r>
          </w:p>
        </w:tc>
        <w:tc>
          <w:tcPr>
            <w:tcW w:w="234"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7,928</w:t>
            </w:r>
          </w:p>
        </w:tc>
        <w:tc>
          <w:tcPr>
            <w:tcW w:w="176" w:type="dxa"/>
            <w:tcBorders/>
            <w:shd w:fill="CCEEFF" w:val="clear"/>
            <w:vAlign w:val="center"/>
          </w:tcPr>
          <w:p>
            <w:pPr>
              <w:pStyle w:val="TableContents"/>
              <w:bidi w:val="0"/>
              <w:spacing w:before="0" w:after="283"/>
              <w:jc w:val="left"/>
              <w:rPr/>
            </w:pPr>
            <w:r>
              <w:rPr/>
              <w:t> </w:t>
            </w:r>
          </w:p>
        </w:tc>
      </w:tr>
      <w:tr>
        <w:trPr/>
        <w:tc>
          <w:tcPr>
            <w:tcW w:w="3898" w:type="dxa"/>
            <w:tcBorders/>
            <w:vAlign w:val="center"/>
          </w:tcPr>
          <w:p>
            <w:pPr>
              <w:pStyle w:val="TableContents"/>
              <w:bidi w:val="0"/>
              <w:spacing w:before="0" w:after="283"/>
              <w:jc w:val="left"/>
              <w:rPr/>
            </w:pPr>
            <w:r>
              <w:rPr/>
              <w:t>Other underwriting and general expenses</w:t>
            </w:r>
          </w:p>
        </w:tc>
        <w:tc>
          <w:tcPr>
            <w:tcW w:w="90" w:type="dxa"/>
            <w:tcBorders/>
            <w:vAlign w:val="center"/>
          </w:tcPr>
          <w:p>
            <w:pPr>
              <w:pStyle w:val="TableContents"/>
              <w:bidi w:val="0"/>
              <w:spacing w:before="0" w:after="283"/>
              <w:jc w:val="left"/>
              <w:rPr/>
            </w:pPr>
            <w:r>
              <w:rPr/>
              <w:t> </w:t>
            </w:r>
          </w:p>
        </w:tc>
        <w:tc>
          <w:tcPr>
            <w:tcW w:w="461" w:type="dxa"/>
            <w:tcBorders>
              <w:bottom w:val="single" w:sz="8" w:space="0" w:color="000000"/>
            </w:tcBorders>
            <w:tcMar>
              <w:bottom w:w="28" w:type="dxa"/>
            </w:tcMar>
            <w:vAlign w:val="center"/>
          </w:tcPr>
          <w:p>
            <w:pPr>
              <w:pStyle w:val="TableContents"/>
              <w:bidi w:val="0"/>
              <w:spacing w:before="0" w:after="283"/>
              <w:jc w:val="left"/>
              <w:rPr/>
            </w:pPr>
            <w:r>
              <w:rPr/>
              <w:t> </w:t>
            </w:r>
          </w:p>
        </w:tc>
        <w:tc>
          <w:tcPr>
            <w:tcW w:w="759" w:type="dxa"/>
            <w:tcBorders>
              <w:bottom w:val="single" w:sz="8" w:space="0" w:color="000000"/>
            </w:tcBorders>
            <w:tcMar>
              <w:bottom w:w="28" w:type="dxa"/>
            </w:tcMar>
            <w:vAlign w:val="center"/>
          </w:tcPr>
          <w:p>
            <w:pPr>
              <w:pStyle w:val="TableContents"/>
              <w:bidi w:val="0"/>
              <w:spacing w:before="0" w:after="0"/>
              <w:jc w:val="right"/>
              <w:rPr/>
            </w:pPr>
            <w:r>
              <w:rPr/>
              <w:t>—</w:t>
            </w:r>
          </w:p>
        </w:tc>
        <w:tc>
          <w:tcPr>
            <w:tcW w:w="234"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460" w:type="dxa"/>
            <w:tcBorders>
              <w:bottom w:val="single" w:sz="8" w:space="0" w:color="000000"/>
            </w:tcBorders>
            <w:tcMar>
              <w:bottom w:w="28" w:type="dxa"/>
            </w:tcMar>
            <w:vAlign w:val="center"/>
          </w:tcPr>
          <w:p>
            <w:pPr>
              <w:pStyle w:val="TableContents"/>
              <w:bidi w:val="0"/>
              <w:spacing w:before="0" w:after="283"/>
              <w:jc w:val="left"/>
              <w:rPr/>
            </w:pPr>
            <w:r>
              <w:rPr/>
              <w:t> </w:t>
            </w:r>
          </w:p>
        </w:tc>
        <w:tc>
          <w:tcPr>
            <w:tcW w:w="772" w:type="dxa"/>
            <w:tcBorders>
              <w:bottom w:val="single" w:sz="8"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9" w:type="dxa"/>
            <w:tcBorders>
              <w:bottom w:val="single" w:sz="8" w:space="0" w:color="000000"/>
            </w:tcBorders>
            <w:tcMar>
              <w:bottom w:w="28" w:type="dxa"/>
            </w:tcMar>
            <w:vAlign w:val="center"/>
          </w:tcPr>
          <w:p>
            <w:pPr>
              <w:pStyle w:val="TableContents"/>
              <w:bidi w:val="0"/>
              <w:spacing w:before="0" w:after="283"/>
              <w:jc w:val="left"/>
              <w:rPr/>
            </w:pPr>
            <w:r>
              <w:rPr/>
              <w:t> </w:t>
            </w:r>
          </w:p>
        </w:tc>
        <w:tc>
          <w:tcPr>
            <w:tcW w:w="557" w:type="dxa"/>
            <w:tcBorders>
              <w:bottom w:val="single" w:sz="8" w:space="0" w:color="000000"/>
            </w:tcBorders>
            <w:tcMar>
              <w:bottom w:w="28" w:type="dxa"/>
            </w:tcMar>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326" w:type="dxa"/>
            <w:tcBorders>
              <w:bottom w:val="single" w:sz="8" w:space="0" w:color="000000"/>
            </w:tcBorders>
            <w:tcMar>
              <w:bottom w:w="28" w:type="dxa"/>
            </w:tcMar>
            <w:vAlign w:val="center"/>
          </w:tcPr>
          <w:p>
            <w:pPr>
              <w:pStyle w:val="TableContents"/>
              <w:bidi w:val="0"/>
              <w:spacing w:before="0" w:after="283"/>
              <w:jc w:val="left"/>
              <w:rPr/>
            </w:pPr>
            <w:r>
              <w:rPr/>
              <w:t> </w:t>
            </w:r>
          </w:p>
        </w:tc>
        <w:tc>
          <w:tcPr>
            <w:tcW w:w="1365" w:type="dxa"/>
            <w:tcBorders>
              <w:bottom w:val="single" w:sz="8" w:space="0" w:color="000000"/>
            </w:tcBorders>
            <w:tcMar>
              <w:bottom w:w="28" w:type="dxa"/>
            </w:tcMar>
            <w:vAlign w:val="center"/>
          </w:tcPr>
          <w:p>
            <w:pPr>
              <w:pStyle w:val="TableContents"/>
              <w:bidi w:val="0"/>
              <w:spacing w:before="0" w:after="283"/>
              <w:jc w:val="right"/>
              <w:rPr/>
            </w:pPr>
            <w:r>
              <w:rPr/>
              <w:t>3,088</w:t>
            </w:r>
          </w:p>
        </w:tc>
        <w:tc>
          <w:tcPr>
            <w:tcW w:w="176" w:type="dxa"/>
            <w:tcBorders/>
            <w:vAlign w:val="center"/>
          </w:tcPr>
          <w:p>
            <w:pPr>
              <w:pStyle w:val="TableContents"/>
              <w:bidi w:val="0"/>
              <w:spacing w:before="0" w:after="283"/>
              <w:jc w:val="left"/>
              <w:rPr/>
            </w:pPr>
            <w:r>
              <w:rPr/>
              <w:t> </w:t>
            </w:r>
          </w:p>
        </w:tc>
      </w:tr>
      <w:tr>
        <w:trPr/>
        <w:tc>
          <w:tcPr>
            <w:tcW w:w="3898" w:type="dxa"/>
            <w:tcBorders/>
            <w:shd w:fill="CCEEFF" w:val="clear"/>
            <w:vAlign w:val="center"/>
          </w:tcPr>
          <w:p>
            <w:pPr>
              <w:pStyle w:val="TableContents"/>
              <w:bidi w:val="0"/>
              <w:spacing w:before="0" w:after="283"/>
              <w:jc w:val="left"/>
              <w:rPr/>
            </w:pPr>
            <w:r>
              <w:rPr/>
              <w:t>Total expenses</w:t>
            </w:r>
          </w:p>
        </w:tc>
        <w:tc>
          <w:tcPr>
            <w:tcW w:w="90" w:type="dxa"/>
            <w:tcBorders/>
            <w:shd w:fill="CCEEFF" w:val="clear"/>
            <w:vAlign w:val="center"/>
          </w:tcPr>
          <w:p>
            <w:pPr>
              <w:pStyle w:val="TableContents"/>
              <w:bidi w:val="0"/>
              <w:spacing w:before="0" w:after="283"/>
              <w:jc w:val="left"/>
              <w:rPr/>
            </w:pPr>
            <w:r>
              <w:rPr/>
              <w:t> </w:t>
            </w:r>
          </w:p>
        </w:tc>
        <w:tc>
          <w:tcPr>
            <w:tcW w:w="4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9"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234"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7"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3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5" w:type="dxa"/>
            <w:tcBorders>
              <w:bottom w:val="single" w:sz="8" w:space="0" w:color="000000"/>
            </w:tcBorders>
            <w:shd w:fill="CCEEFF" w:val="clear"/>
            <w:tcMar>
              <w:bottom w:w="28" w:type="dxa"/>
            </w:tcMar>
            <w:vAlign w:val="center"/>
          </w:tcPr>
          <w:p>
            <w:pPr>
              <w:pStyle w:val="TableContents"/>
              <w:bidi w:val="0"/>
              <w:spacing w:before="0" w:after="283"/>
              <w:jc w:val="right"/>
              <w:rPr/>
            </w:pPr>
            <w:r>
              <w:rPr/>
              <w:t>34,522</w:t>
            </w:r>
          </w:p>
        </w:tc>
        <w:tc>
          <w:tcPr>
            <w:tcW w:w="176" w:type="dxa"/>
            <w:tcBorders/>
            <w:shd w:fill="CCEEFF" w:val="clear"/>
            <w:vAlign w:val="center"/>
          </w:tcPr>
          <w:p>
            <w:pPr>
              <w:pStyle w:val="TableContents"/>
              <w:bidi w:val="0"/>
              <w:spacing w:before="0" w:after="283"/>
              <w:ind w:left="0" w:right="0" w:hanging="216"/>
              <w:jc w:val="left"/>
              <w:rPr/>
            </w:pPr>
            <w:r>
              <w:rPr/>
              <w:t> </w:t>
            </w:r>
          </w:p>
        </w:tc>
      </w:tr>
      <w:tr>
        <w:trPr/>
        <w:tc>
          <w:tcPr>
            <w:tcW w:w="38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1365"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r>
      <w:tr>
        <w:trPr/>
        <w:tc>
          <w:tcPr>
            <w:tcW w:w="3898" w:type="dxa"/>
            <w:tcBorders/>
            <w:shd w:fill="CCEEFF" w:val="clear"/>
            <w:vAlign w:val="center"/>
          </w:tcPr>
          <w:p>
            <w:pPr>
              <w:pStyle w:val="TableContents"/>
              <w:bidi w:val="0"/>
              <w:spacing w:before="0" w:after="283"/>
              <w:jc w:val="left"/>
              <w:rPr/>
            </w:pPr>
            <w:r>
              <w:rPr/>
              <w:t>Loss before income taxes</w:t>
            </w:r>
          </w:p>
        </w:tc>
        <w:tc>
          <w:tcPr>
            <w:tcW w:w="9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0"/>
              <w:jc w:val="right"/>
              <w:rPr/>
            </w:pPr>
            <w:r>
              <w:rPr/>
              <w:t>—</w:t>
            </w:r>
          </w:p>
        </w:tc>
        <w:tc>
          <w:tcPr>
            <w:tcW w:w="234"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(1,917</w:t>
            </w:r>
          </w:p>
        </w:tc>
        <w:tc>
          <w:tcPr>
            <w:tcW w:w="176" w:type="dxa"/>
            <w:tcBorders/>
            <w:shd w:fill="CCEEFF" w:val="clear"/>
            <w:vAlign w:val="center"/>
          </w:tcPr>
          <w:p>
            <w:pPr>
              <w:pStyle w:val="TableContents"/>
              <w:bidi w:val="0"/>
              <w:spacing w:before="0" w:after="283"/>
              <w:jc w:val="left"/>
              <w:rPr/>
            </w:pPr>
            <w:r>
              <w:rPr/>
              <w:t>)</w:t>
            </w:r>
          </w:p>
        </w:tc>
      </w:tr>
      <w:tr>
        <w:trPr/>
        <w:tc>
          <w:tcPr>
            <w:tcW w:w="3898" w:type="dxa"/>
            <w:tcBorders/>
            <w:vAlign w:val="center"/>
          </w:tcPr>
          <w:p>
            <w:pPr>
              <w:pStyle w:val="TableContents"/>
              <w:bidi w:val="0"/>
              <w:spacing w:before="0" w:after="283"/>
              <w:jc w:val="left"/>
              <w:rPr/>
            </w:pPr>
            <w:r>
              <w:rPr/>
              <w:t>Income tax benefit</w:t>
            </w:r>
          </w:p>
        </w:tc>
        <w:tc>
          <w:tcPr>
            <w:tcW w:w="90" w:type="dxa"/>
            <w:tcBorders/>
            <w:vAlign w:val="center"/>
          </w:tcPr>
          <w:p>
            <w:pPr>
              <w:pStyle w:val="TableContents"/>
              <w:bidi w:val="0"/>
              <w:spacing w:before="0" w:after="283"/>
              <w:jc w:val="left"/>
              <w:rPr/>
            </w:pPr>
            <w:r>
              <w:rPr/>
              <w:t> </w:t>
            </w:r>
          </w:p>
        </w:tc>
        <w:tc>
          <w:tcPr>
            <w:tcW w:w="461" w:type="dxa"/>
            <w:tcBorders>
              <w:bottom w:val="single" w:sz="8" w:space="0" w:color="000000"/>
            </w:tcBorders>
            <w:tcMar>
              <w:bottom w:w="28" w:type="dxa"/>
            </w:tcMar>
            <w:vAlign w:val="center"/>
          </w:tcPr>
          <w:p>
            <w:pPr>
              <w:pStyle w:val="TableContents"/>
              <w:bidi w:val="0"/>
              <w:spacing w:before="0" w:after="283"/>
              <w:jc w:val="left"/>
              <w:rPr/>
            </w:pPr>
            <w:r>
              <w:rPr/>
              <w:t> </w:t>
            </w:r>
          </w:p>
        </w:tc>
        <w:tc>
          <w:tcPr>
            <w:tcW w:w="759" w:type="dxa"/>
            <w:tcBorders>
              <w:bottom w:val="single" w:sz="8" w:space="0" w:color="000000"/>
            </w:tcBorders>
            <w:tcMar>
              <w:bottom w:w="28" w:type="dxa"/>
            </w:tcMar>
            <w:vAlign w:val="center"/>
          </w:tcPr>
          <w:p>
            <w:pPr>
              <w:pStyle w:val="TableContents"/>
              <w:bidi w:val="0"/>
              <w:spacing w:before="0" w:after="0"/>
              <w:jc w:val="right"/>
              <w:rPr/>
            </w:pPr>
            <w:r>
              <w:rPr/>
              <w:t>—</w:t>
            </w:r>
          </w:p>
        </w:tc>
        <w:tc>
          <w:tcPr>
            <w:tcW w:w="234"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460" w:type="dxa"/>
            <w:tcBorders>
              <w:bottom w:val="single" w:sz="8" w:space="0" w:color="000000"/>
            </w:tcBorders>
            <w:tcMar>
              <w:bottom w:w="28" w:type="dxa"/>
            </w:tcMar>
            <w:vAlign w:val="center"/>
          </w:tcPr>
          <w:p>
            <w:pPr>
              <w:pStyle w:val="TableContents"/>
              <w:bidi w:val="0"/>
              <w:spacing w:before="0" w:after="283"/>
              <w:jc w:val="left"/>
              <w:rPr/>
            </w:pPr>
            <w:r>
              <w:rPr/>
              <w:t> </w:t>
            </w:r>
          </w:p>
        </w:tc>
        <w:tc>
          <w:tcPr>
            <w:tcW w:w="772" w:type="dxa"/>
            <w:tcBorders>
              <w:bottom w:val="single" w:sz="8"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9" w:type="dxa"/>
            <w:tcBorders>
              <w:bottom w:val="single" w:sz="8" w:space="0" w:color="000000"/>
            </w:tcBorders>
            <w:tcMar>
              <w:bottom w:w="28" w:type="dxa"/>
            </w:tcMar>
            <w:vAlign w:val="center"/>
          </w:tcPr>
          <w:p>
            <w:pPr>
              <w:pStyle w:val="TableContents"/>
              <w:bidi w:val="0"/>
              <w:spacing w:before="0" w:after="283"/>
              <w:jc w:val="left"/>
              <w:rPr/>
            </w:pPr>
            <w:r>
              <w:rPr/>
              <w:t> </w:t>
            </w:r>
          </w:p>
        </w:tc>
        <w:tc>
          <w:tcPr>
            <w:tcW w:w="557" w:type="dxa"/>
            <w:tcBorders>
              <w:bottom w:val="single" w:sz="8" w:space="0" w:color="000000"/>
            </w:tcBorders>
            <w:tcMar>
              <w:bottom w:w="28" w:type="dxa"/>
            </w:tcMar>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326" w:type="dxa"/>
            <w:tcBorders>
              <w:bottom w:val="single" w:sz="8" w:space="0" w:color="000000"/>
            </w:tcBorders>
            <w:tcMar>
              <w:bottom w:w="28" w:type="dxa"/>
            </w:tcMar>
            <w:vAlign w:val="center"/>
          </w:tcPr>
          <w:p>
            <w:pPr>
              <w:pStyle w:val="TableContents"/>
              <w:bidi w:val="0"/>
              <w:spacing w:before="0" w:after="283"/>
              <w:jc w:val="left"/>
              <w:rPr/>
            </w:pPr>
            <w:r>
              <w:rPr/>
              <w:t> </w:t>
            </w:r>
          </w:p>
        </w:tc>
        <w:tc>
          <w:tcPr>
            <w:tcW w:w="1365" w:type="dxa"/>
            <w:tcBorders>
              <w:bottom w:val="single" w:sz="8" w:space="0" w:color="000000"/>
            </w:tcBorders>
            <w:tcMar>
              <w:bottom w:w="28" w:type="dxa"/>
            </w:tcMar>
            <w:vAlign w:val="center"/>
          </w:tcPr>
          <w:p>
            <w:pPr>
              <w:pStyle w:val="TableContents"/>
              <w:bidi w:val="0"/>
              <w:spacing w:before="0" w:after="283"/>
              <w:jc w:val="right"/>
              <w:rPr/>
            </w:pPr>
            <w:r>
              <w:rPr/>
              <w:t>(405</w:t>
            </w:r>
          </w:p>
        </w:tc>
        <w:tc>
          <w:tcPr>
            <w:tcW w:w="176" w:type="dxa"/>
            <w:tcBorders/>
            <w:vAlign w:val="center"/>
          </w:tcPr>
          <w:p>
            <w:pPr>
              <w:pStyle w:val="TableContents"/>
              <w:bidi w:val="0"/>
              <w:spacing w:before="0" w:after="283"/>
              <w:jc w:val="left"/>
              <w:rPr/>
            </w:pPr>
            <w:r>
              <w:rPr/>
              <w:t>)</w:t>
            </w:r>
          </w:p>
        </w:tc>
      </w:tr>
      <w:tr>
        <w:trPr/>
        <w:tc>
          <w:tcPr>
            <w:tcW w:w="3898"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4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9"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234"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2"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7"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65" w:type="dxa"/>
            <w:tcBorders>
              <w:bottom w:val="double" w:sz="6" w:space="0" w:color="000000"/>
            </w:tcBorders>
            <w:shd w:fill="CCEEFF" w:val="clear"/>
            <w:tcMar>
              <w:bottom w:w="28" w:type="dxa"/>
            </w:tcMar>
            <w:vAlign w:val="center"/>
          </w:tcPr>
          <w:p>
            <w:pPr>
              <w:pStyle w:val="TableContents"/>
              <w:bidi w:val="0"/>
              <w:spacing w:before="0" w:after="283"/>
              <w:jc w:val="right"/>
              <w:rPr/>
            </w:pPr>
            <w:r>
              <w:rPr/>
              <w:t>(1,512</w:t>
            </w:r>
          </w:p>
        </w:tc>
        <w:tc>
          <w:tcPr>
            <w:tcW w:w="176" w:type="dxa"/>
            <w:tcBorders/>
            <w:shd w:fill="CCEEFF" w:val="clear"/>
            <w:vAlign w:val="center"/>
          </w:tcPr>
          <w:p>
            <w:pPr>
              <w:pStyle w:val="TableContents"/>
              <w:bidi w:val="0"/>
              <w:spacing w:before="0" w:after="283"/>
              <w:jc w:val="left"/>
              <w:rPr/>
            </w:pPr>
            <w:r>
              <w:rPr/>
              <w:t>)</w:t>
            </w:r>
          </w:p>
        </w:tc>
      </w:tr>
      <w:tr>
        <w:trPr/>
        <w:tc>
          <w:tcPr>
            <w:tcW w:w="38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1365"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r>
      <w:tr>
        <w:trPr/>
        <w:tc>
          <w:tcPr>
            <w:tcW w:w="3898" w:type="dxa"/>
            <w:tcBorders/>
            <w:shd w:fill="CCEEFF" w:val="clear"/>
            <w:vAlign w:val="center"/>
          </w:tcPr>
          <w:p>
            <w:pPr>
              <w:pStyle w:val="TableContents"/>
              <w:bidi w:val="0"/>
              <w:spacing w:before="0" w:after="283"/>
              <w:jc w:val="left"/>
              <w:rPr/>
            </w:pPr>
            <w:r>
              <w:rPr/>
              <w:t>Loss per common share from discontinued operations:</w:t>
            </w:r>
          </w:p>
        </w:tc>
        <w:tc>
          <w:tcPr>
            <w:tcW w:w="9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r>
      <w:tr>
        <w:trPr/>
        <w:tc>
          <w:tcPr>
            <w:tcW w:w="3898" w:type="dxa"/>
            <w:tcBorders/>
            <w:vAlign w:val="center"/>
          </w:tcPr>
          <w:p>
            <w:pPr>
              <w:pStyle w:val="TableContents"/>
              <w:bidi w:val="0"/>
              <w:spacing w:before="0" w:after="283"/>
              <w:jc w:val="left"/>
              <w:rPr/>
            </w:pPr>
            <w:r>
              <w:rPr/>
              <w:t>Basic</w:t>
            </w:r>
          </w:p>
        </w:tc>
        <w:tc>
          <w:tcPr>
            <w:tcW w:w="90" w:type="dxa"/>
            <w:tcBorders/>
            <w:vAlign w:val="center"/>
          </w:tcPr>
          <w:p>
            <w:pPr>
              <w:pStyle w:val="TableContents"/>
              <w:bidi w:val="0"/>
              <w:spacing w:before="0" w:after="283"/>
              <w:jc w:val="left"/>
              <w:rPr/>
            </w:pPr>
            <w:r>
              <w:rPr/>
              <w:t> </w:t>
            </w:r>
          </w:p>
        </w:tc>
        <w:tc>
          <w:tcPr>
            <w:tcW w:w="461" w:type="dxa"/>
            <w:tcBorders>
              <w:bottom w:val="double" w:sz="6" w:space="0" w:color="000000"/>
            </w:tcBorders>
            <w:tcMar>
              <w:bottom w:w="28" w:type="dxa"/>
            </w:tcMar>
            <w:vAlign w:val="center"/>
          </w:tcPr>
          <w:p>
            <w:pPr>
              <w:pStyle w:val="TableContents"/>
              <w:bidi w:val="0"/>
              <w:spacing w:before="0" w:after="283"/>
              <w:jc w:val="left"/>
              <w:rPr/>
            </w:pPr>
            <w:r>
              <w:rPr/>
              <w:t>$</w:t>
            </w:r>
          </w:p>
        </w:tc>
        <w:tc>
          <w:tcPr>
            <w:tcW w:w="759" w:type="dxa"/>
            <w:tcBorders>
              <w:bottom w:val="double" w:sz="6" w:space="0" w:color="000000"/>
            </w:tcBorders>
            <w:tcMar>
              <w:bottom w:w="28" w:type="dxa"/>
            </w:tcMar>
            <w:vAlign w:val="center"/>
          </w:tcPr>
          <w:p>
            <w:pPr>
              <w:pStyle w:val="TableContents"/>
              <w:bidi w:val="0"/>
              <w:spacing w:before="0" w:after="0"/>
              <w:jc w:val="right"/>
              <w:rPr/>
            </w:pPr>
            <w:r>
              <w:rPr/>
              <w:t>—</w:t>
            </w:r>
          </w:p>
        </w:tc>
        <w:tc>
          <w:tcPr>
            <w:tcW w:w="234"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460" w:type="dxa"/>
            <w:tcBorders>
              <w:bottom w:val="double" w:sz="6" w:space="0" w:color="000000"/>
            </w:tcBorders>
            <w:tcMar>
              <w:bottom w:w="28" w:type="dxa"/>
            </w:tcMar>
            <w:vAlign w:val="center"/>
          </w:tcPr>
          <w:p>
            <w:pPr>
              <w:pStyle w:val="TableContents"/>
              <w:bidi w:val="0"/>
              <w:spacing w:before="0" w:after="283"/>
              <w:jc w:val="left"/>
              <w:rPr/>
            </w:pPr>
            <w:r>
              <w:rPr/>
              <w:t>$</w:t>
            </w:r>
          </w:p>
        </w:tc>
        <w:tc>
          <w:tcPr>
            <w:tcW w:w="772" w:type="dxa"/>
            <w:tcBorders>
              <w:bottom w:val="double" w:sz="6"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9" w:type="dxa"/>
            <w:tcBorders>
              <w:bottom w:val="double" w:sz="6" w:space="0" w:color="000000"/>
            </w:tcBorders>
            <w:tcMar>
              <w:bottom w:w="28" w:type="dxa"/>
            </w:tcMar>
            <w:vAlign w:val="center"/>
          </w:tcPr>
          <w:p>
            <w:pPr>
              <w:pStyle w:val="TableContents"/>
              <w:bidi w:val="0"/>
              <w:spacing w:before="0" w:after="283"/>
              <w:jc w:val="left"/>
              <w:rPr/>
            </w:pPr>
            <w:r>
              <w:rPr/>
              <w:t>$</w:t>
            </w:r>
          </w:p>
        </w:tc>
        <w:tc>
          <w:tcPr>
            <w:tcW w:w="557" w:type="dxa"/>
            <w:tcBorders>
              <w:bottom w:val="double" w:sz="6" w:space="0" w:color="000000"/>
            </w:tcBorders>
            <w:tcMar>
              <w:bottom w:w="28" w:type="dxa"/>
            </w:tcMar>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326" w:type="dxa"/>
            <w:tcBorders>
              <w:bottom w:val="double" w:sz="6" w:space="0" w:color="000000"/>
            </w:tcBorders>
            <w:tcMar>
              <w:bottom w:w="28" w:type="dxa"/>
            </w:tcMar>
            <w:vAlign w:val="center"/>
          </w:tcPr>
          <w:p>
            <w:pPr>
              <w:pStyle w:val="TableContents"/>
              <w:bidi w:val="0"/>
              <w:spacing w:before="0" w:after="283"/>
              <w:jc w:val="left"/>
              <w:rPr/>
            </w:pPr>
            <w:r>
              <w:rPr/>
              <w:t>$</w:t>
            </w:r>
          </w:p>
        </w:tc>
        <w:tc>
          <w:tcPr>
            <w:tcW w:w="1365" w:type="dxa"/>
            <w:tcBorders>
              <w:bottom w:val="double" w:sz="6" w:space="0" w:color="000000"/>
            </w:tcBorders>
            <w:tcMar>
              <w:bottom w:w="28" w:type="dxa"/>
            </w:tcMar>
            <w:vAlign w:val="center"/>
          </w:tcPr>
          <w:p>
            <w:pPr>
              <w:pStyle w:val="TableContents"/>
              <w:bidi w:val="0"/>
              <w:spacing w:before="0" w:after="283"/>
              <w:jc w:val="right"/>
              <w:rPr/>
            </w:pPr>
            <w:r>
              <w:rPr/>
              <w:t>(0.07</w:t>
            </w:r>
          </w:p>
        </w:tc>
        <w:tc>
          <w:tcPr>
            <w:tcW w:w="176" w:type="dxa"/>
            <w:tcBorders/>
            <w:vAlign w:val="center"/>
          </w:tcPr>
          <w:p>
            <w:pPr>
              <w:pStyle w:val="TableContents"/>
              <w:bidi w:val="0"/>
              <w:spacing w:before="0" w:after="283"/>
              <w:jc w:val="left"/>
              <w:rPr/>
            </w:pPr>
            <w:r>
              <w:rPr/>
              <w:t>)</w:t>
            </w:r>
          </w:p>
        </w:tc>
      </w:tr>
      <w:tr>
        <w:trPr/>
        <w:tc>
          <w:tcPr>
            <w:tcW w:w="3898" w:type="dxa"/>
            <w:tcBorders/>
            <w:shd w:fill="CCEEFF" w:val="clear"/>
            <w:vAlign w:val="center"/>
          </w:tcPr>
          <w:p>
            <w:pPr>
              <w:pStyle w:val="TableContents"/>
              <w:bidi w:val="0"/>
              <w:spacing w:before="0" w:after="283"/>
              <w:jc w:val="left"/>
              <w:rPr/>
            </w:pPr>
            <w:r>
              <w:rPr/>
              <w:t>Diluted</w:t>
            </w:r>
          </w:p>
        </w:tc>
        <w:tc>
          <w:tcPr>
            <w:tcW w:w="90" w:type="dxa"/>
            <w:tcBorders/>
            <w:shd w:fill="CCEEFF" w:val="clear"/>
            <w:vAlign w:val="center"/>
          </w:tcPr>
          <w:p>
            <w:pPr>
              <w:pStyle w:val="TableContents"/>
              <w:bidi w:val="0"/>
              <w:spacing w:before="0" w:after="283"/>
              <w:jc w:val="left"/>
              <w:rPr/>
            </w:pPr>
            <w:r>
              <w:rPr/>
              <w:t> </w:t>
            </w:r>
          </w:p>
        </w:tc>
        <w:tc>
          <w:tcPr>
            <w:tcW w:w="4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9"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234"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2"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7"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65" w:type="dxa"/>
            <w:tcBorders>
              <w:bottom w:val="double" w:sz="6" w:space="0" w:color="000000"/>
            </w:tcBorders>
            <w:shd w:fill="CCEEFF" w:val="clear"/>
            <w:tcMar>
              <w:bottom w:w="28" w:type="dxa"/>
            </w:tcMar>
            <w:vAlign w:val="center"/>
          </w:tcPr>
          <w:p>
            <w:pPr>
              <w:pStyle w:val="TableContents"/>
              <w:bidi w:val="0"/>
              <w:spacing w:before="0" w:after="283"/>
              <w:jc w:val="right"/>
              <w:rPr/>
            </w:pPr>
            <w:r>
              <w:rPr/>
              <w:t>(0.07</w:t>
            </w:r>
          </w:p>
        </w:tc>
        <w:tc>
          <w:tcPr>
            <w:tcW w:w="176" w:type="dxa"/>
            <w:tcBorders/>
            <w:shd w:fill="CCEEFF" w:val="clear"/>
            <w:vAlign w:val="center"/>
          </w:tcPr>
          <w:p>
            <w:pPr>
              <w:pStyle w:val="TableContents"/>
              <w:bidi w:val="0"/>
              <w:spacing w:before="0" w:after="283"/>
              <w:jc w:val="left"/>
              <w:rPr/>
            </w:pPr>
            <w:r>
              <w:rPr/>
              <w:t>)</w:t>
            </w:r>
          </w:p>
        </w:tc>
      </w:tr>
    </w:tbl>
    <w:tbl>
      <w:tblPr>
        <w:tblW w:w="2673" w:type="dxa"/>
        <w:jc w:val="left"/>
        <w:tblInd w:w="0" w:type="dxa"/>
        <w:tblLayout w:type="fixed"/>
        <w:tblCellMar>
          <w:top w:w="0" w:type="dxa"/>
          <w:left w:w="0" w:type="dxa"/>
          <w:bottom w:w="0" w:type="dxa"/>
          <w:right w:w="0" w:type="dxa"/>
        </w:tblCellMar>
      </w:tblPr>
      <w:tblGrid>
        <w:gridCol w:w="68"/>
        <w:gridCol w:w="350"/>
        <w:gridCol w:w="2255"/>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rPr>
            </w:pPr>
            <w:r>
              <w:rPr>
                <w:b/>
              </w:rPr>
              <w:t>20.</w:t>
            </w:r>
          </w:p>
        </w:tc>
        <w:tc>
          <w:tcPr>
            <w:tcW w:w="2255" w:type="dxa"/>
            <w:tcBorders/>
            <w:vAlign w:val="center"/>
          </w:tcPr>
          <w:p>
            <w:pPr>
              <w:pStyle w:val="TableContents"/>
              <w:bidi w:val="0"/>
              <w:spacing w:before="0" w:after="283"/>
              <w:jc w:val="left"/>
              <w:rPr>
                <w:b/>
              </w:rPr>
            </w:pPr>
            <w:r>
              <w:rPr>
                <w:b/>
              </w:rPr>
              <w:t>Segment Information</w:t>
            </w:r>
          </w:p>
        </w:tc>
      </w:tr>
    </w:tbl>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five reportable operating segments of our continuing operations, which consist of Private Passenger Auto, Non-Standard Auto, Home and Farm, Crop, and All Other (which primarily consists of commercial, assumed reinsurance, and our excess liability business). Prior to the sale of Westminster on June 30, 2024, we also reported a Commercial segment that consisted primarily of Westminster’s balances and results. Subsequent to the sale, Westminster is reported as part of discontinued operations, which is not included in our segment information. The commercial business that remains a part of our continuing operations has been included in the All Other segment for the current and prior periods presented. We operate only in the U.S., and no single customer or agent provides 10 percent or more of our revenues. The following tables provide available information of these segments for the three- and nine-month periods ended September 30, 2025 and 2024.</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operating decision maker is our President and Chief Executive Officer (“CEO”). The primary profitability measurement used by the CEO to review segment operating results is underwriting gain (loss). The CEO uses segment underwriting gain (loss) to allocate resources (including employee, financial and capital resources) for each segment predominantly in the annual planning process. Segment underwriting gain (loss) is used to monitor segment results compared to prior period, forecasted results, and the annual plan.</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assign or allocate all line items in our Consolidated Statement of Operations or Consolidated Balance Sheets to our operating segments. Those line items include net investment income, net investment gains, fee and other income excluding Non-Standard Auto, and income tax expense within the Unaudited Consolidated Statement of Operations. For the Consolidated Balance Sheets, those items include cash and investments, property and equipment, other assets, accrued expenses and other liabilities, income taxes recoverable, and shareholders’ equity.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5"/>
        <w:gridCol w:w="90"/>
        <w:gridCol w:w="236"/>
        <w:gridCol w:w="991"/>
        <w:gridCol w:w="125"/>
        <w:gridCol w:w="90"/>
        <w:gridCol w:w="293"/>
        <w:gridCol w:w="1227"/>
        <w:gridCol w:w="125"/>
        <w:gridCol w:w="90"/>
        <w:gridCol w:w="176"/>
        <w:gridCol w:w="763"/>
        <w:gridCol w:w="125"/>
        <w:gridCol w:w="90"/>
        <w:gridCol w:w="170"/>
        <w:gridCol w:w="710"/>
        <w:gridCol w:w="125"/>
        <w:gridCol w:w="90"/>
        <w:gridCol w:w="172"/>
        <w:gridCol w:w="743"/>
        <w:gridCol w:w="125"/>
        <w:gridCol w:w="90"/>
        <w:gridCol w:w="170"/>
        <w:gridCol w:w="830"/>
        <w:gridCol w:w="174"/>
      </w:tblGrid>
      <w:tr>
        <w:trPr/>
        <w:tc>
          <w:tcPr>
            <w:tcW w:w="2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6"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 2025</w:t>
            </w:r>
          </w:p>
        </w:tc>
        <w:tc>
          <w:tcPr>
            <w:tcW w:w="174" w:type="dxa"/>
            <w:tcBorders/>
            <w:vAlign w:val="center"/>
          </w:tcPr>
          <w:p>
            <w:pPr>
              <w:pStyle w:val="TableContents"/>
              <w:bidi w:val="0"/>
              <w:spacing w:before="0" w:after="283"/>
              <w:jc w:val="left"/>
              <w:rPr/>
            </w:pPr>
            <w:r>
              <w:rPr/>
              <w:t> </w:t>
            </w:r>
          </w:p>
        </w:tc>
      </w:tr>
      <w:tr>
        <w:trPr/>
        <w:tc>
          <w:tcPr>
            <w:tcW w:w="2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Private </w:t>
              <w:br/>
              <w:t>Passenger Auto</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Non-Standard</w:t>
              <w:br/>
              <w:t>Auto</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Home and</w:t>
              <w:br/>
              <w:t>Farm</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Crop</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74" w:type="dxa"/>
            <w:tcBorders/>
            <w:vAlign w:val="center"/>
          </w:tcPr>
          <w:p>
            <w:pPr>
              <w:pStyle w:val="TableContents"/>
              <w:bidi w:val="0"/>
              <w:spacing w:before="0" w:after="283"/>
              <w:jc w:val="left"/>
              <w:rPr/>
            </w:pPr>
            <w:r>
              <w:rPr/>
              <w:t> </w:t>
            </w:r>
          </w:p>
        </w:tc>
      </w:tr>
      <w:tr>
        <w:trPr/>
        <w:tc>
          <w:tcPr>
            <w:tcW w:w="2385" w:type="dxa"/>
            <w:tcBorders/>
            <w:shd w:fill="CCEEFF" w:val="clear"/>
            <w:vAlign w:val="center"/>
          </w:tcPr>
          <w:p>
            <w:pPr>
              <w:pStyle w:val="TableContents"/>
              <w:bidi w:val="0"/>
              <w:spacing w:before="0" w:after="283"/>
              <w:jc w:val="left"/>
              <w:rPr/>
            </w:pPr>
            <w:r>
              <w:rPr/>
              <w:t>Direct premiums earned</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991" w:type="dxa"/>
            <w:tcBorders/>
            <w:shd w:fill="CCEEFF" w:val="clear"/>
            <w:vAlign w:val="center"/>
          </w:tcPr>
          <w:p>
            <w:pPr>
              <w:pStyle w:val="TableContents"/>
              <w:bidi w:val="0"/>
              <w:spacing w:before="0" w:after="283"/>
              <w:jc w:val="right"/>
              <w:rPr/>
            </w:pPr>
            <w:r>
              <w:rPr/>
              <w:t>24,242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227" w:type="dxa"/>
            <w:tcBorders/>
            <w:shd w:fill="CCEEFF" w:val="clear"/>
            <w:vAlign w:val="center"/>
          </w:tcPr>
          <w:p>
            <w:pPr>
              <w:pStyle w:val="TableContents"/>
              <w:bidi w:val="0"/>
              <w:spacing w:before="0" w:after="283"/>
              <w:jc w:val="right"/>
              <w:rPr/>
            </w:pPr>
            <w:r>
              <w:rPr/>
              <w:t>10,874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28,508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14,160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743" w:type="dxa"/>
            <w:tcBorders/>
            <w:shd w:fill="CCEEFF" w:val="clear"/>
            <w:vAlign w:val="center"/>
          </w:tcPr>
          <w:p>
            <w:pPr>
              <w:pStyle w:val="TableContents"/>
              <w:bidi w:val="0"/>
              <w:spacing w:before="0" w:after="283"/>
              <w:jc w:val="right"/>
              <w:rPr/>
            </w:pPr>
            <w:r>
              <w:rPr/>
              <w:t>4,035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81,819</w:t>
            </w:r>
          </w:p>
        </w:tc>
        <w:tc>
          <w:tcPr>
            <w:tcW w:w="174" w:type="dxa"/>
            <w:tcBorders/>
            <w:shd w:fill="CCEEFF" w:val="clear"/>
            <w:vAlign w:val="center"/>
          </w:tcPr>
          <w:p>
            <w:pPr>
              <w:pStyle w:val="TableContents"/>
              <w:bidi w:val="0"/>
              <w:spacing w:before="0" w:after="283"/>
              <w:jc w:val="left"/>
              <w:rPr/>
            </w:pPr>
            <w:r>
              <w:rPr/>
              <w:t> </w:t>
            </w:r>
          </w:p>
        </w:tc>
      </w:tr>
      <w:tr>
        <w:trPr/>
        <w:tc>
          <w:tcPr>
            <w:tcW w:w="2385" w:type="dxa"/>
            <w:tcBorders/>
            <w:vAlign w:val="center"/>
          </w:tcPr>
          <w:p>
            <w:pPr>
              <w:pStyle w:val="TableContents"/>
              <w:bidi w:val="0"/>
              <w:spacing w:before="0" w:after="283"/>
              <w:jc w:val="left"/>
              <w:rPr/>
            </w:pPr>
            <w:r>
              <w:rPr/>
              <w:t>Assumed premiums earned</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1,604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137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1,741</w:t>
            </w:r>
          </w:p>
        </w:tc>
        <w:tc>
          <w:tcPr>
            <w:tcW w:w="174" w:type="dxa"/>
            <w:tcBorders/>
            <w:vAlign w:val="center"/>
          </w:tcPr>
          <w:p>
            <w:pPr>
              <w:pStyle w:val="TableContents"/>
              <w:bidi w:val="0"/>
              <w:spacing w:before="0" w:after="283"/>
              <w:jc w:val="left"/>
              <w:rPr/>
            </w:pPr>
            <w:r>
              <w:rPr/>
              <w:t> </w:t>
            </w:r>
          </w:p>
        </w:tc>
      </w:tr>
      <w:tr>
        <w:trPr/>
        <w:tc>
          <w:tcPr>
            <w:tcW w:w="2385" w:type="dxa"/>
            <w:tcBorders/>
            <w:shd w:fill="CCEEFF" w:val="clear"/>
            <w:vAlign w:val="center"/>
          </w:tcPr>
          <w:p>
            <w:pPr>
              <w:pStyle w:val="TableContents"/>
              <w:bidi w:val="0"/>
              <w:spacing w:before="0" w:after="283"/>
              <w:jc w:val="left"/>
              <w:rPr/>
            </w:pPr>
            <w:r>
              <w:rPr/>
              <w:t>Ceded premiums earned</w:t>
            </w:r>
          </w:p>
        </w:tc>
        <w:tc>
          <w:tcPr>
            <w:tcW w:w="9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pPr>
            <w:r>
              <w:rPr/>
              <w:t>(1,036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shd w:fill="CCEEFF" w:val="clear"/>
            <w:tcMar>
              <w:bottom w:w="28" w:type="dxa"/>
            </w:tcMar>
            <w:vAlign w:val="center"/>
          </w:tcPr>
          <w:p>
            <w:pPr>
              <w:pStyle w:val="TableContents"/>
              <w:bidi w:val="0"/>
              <w:spacing w:before="0" w:after="283"/>
              <w:jc w:val="right"/>
              <w:rPr/>
            </w:pPr>
            <w:r>
              <w:rPr/>
              <w:t>(4,866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(5,400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right"/>
              <w:rPr/>
            </w:pPr>
            <w:r>
              <w:rPr/>
              <w:t>(338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(11,655</w:t>
            </w:r>
          </w:p>
        </w:tc>
        <w:tc>
          <w:tcPr>
            <w:tcW w:w="174" w:type="dxa"/>
            <w:tcBorders/>
            <w:shd w:fill="CCEEFF" w:val="clear"/>
            <w:vAlign w:val="center"/>
          </w:tcPr>
          <w:p>
            <w:pPr>
              <w:pStyle w:val="TableContents"/>
              <w:bidi w:val="0"/>
              <w:spacing w:before="0" w:after="283"/>
              <w:jc w:val="left"/>
              <w:rPr/>
            </w:pPr>
            <w:r>
              <w:rPr/>
              <w:t>)</w:t>
            </w:r>
          </w:p>
        </w:tc>
      </w:tr>
      <w:tr>
        <w:trPr/>
        <w:tc>
          <w:tcPr>
            <w:tcW w:w="2385" w:type="dxa"/>
            <w:tcBorders/>
            <w:vAlign w:val="center"/>
          </w:tcPr>
          <w:p>
            <w:pPr>
              <w:pStyle w:val="TableContents"/>
              <w:bidi w:val="0"/>
              <w:spacing w:before="0" w:after="283"/>
              <w:jc w:val="left"/>
              <w:rPr/>
            </w:pPr>
            <w:r>
              <w:rPr/>
              <w:t>Net premiums earned</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23,206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10,859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23,642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10,364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3,834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71,905</w:t>
            </w:r>
          </w:p>
        </w:tc>
        <w:tc>
          <w:tcPr>
            <w:tcW w:w="174" w:type="dxa"/>
            <w:tcBorders/>
            <w:vAlign w:val="center"/>
          </w:tcPr>
          <w:p>
            <w:pPr>
              <w:pStyle w:val="TableContents"/>
              <w:bidi w:val="0"/>
              <w:spacing w:before="0" w:after="283"/>
              <w:jc w:val="left"/>
              <w:rPr/>
            </w:pPr>
            <w:r>
              <w:rPr/>
              <w:t> </w:t>
            </w:r>
          </w:p>
        </w:tc>
      </w:tr>
      <w:tr>
        <w:trPr/>
        <w:tc>
          <w:tcPr>
            <w:tcW w:w="23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2385" w:type="dxa"/>
            <w:tcBorders/>
            <w:vAlign w:val="center"/>
          </w:tcPr>
          <w:p>
            <w:pPr>
              <w:pStyle w:val="TableContents"/>
              <w:bidi w:val="0"/>
              <w:spacing w:before="0" w:after="283"/>
              <w:jc w:val="left"/>
              <w:rPr/>
            </w:pPr>
            <w:r>
              <w:rPr/>
              <w:t>Direct losses and loss adjustment expenses</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15,664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15,380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15,029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6,837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4,918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57,828</w:t>
            </w:r>
          </w:p>
        </w:tc>
        <w:tc>
          <w:tcPr>
            <w:tcW w:w="174" w:type="dxa"/>
            <w:tcBorders/>
            <w:vAlign w:val="center"/>
          </w:tcPr>
          <w:p>
            <w:pPr>
              <w:pStyle w:val="TableContents"/>
              <w:bidi w:val="0"/>
              <w:spacing w:before="0" w:after="283"/>
              <w:jc w:val="left"/>
              <w:rPr/>
            </w:pPr>
            <w:r>
              <w:rPr/>
              <w:t> </w:t>
            </w:r>
          </w:p>
        </w:tc>
      </w:tr>
      <w:tr>
        <w:trPr/>
        <w:tc>
          <w:tcPr>
            <w:tcW w:w="2385" w:type="dxa"/>
            <w:tcBorders/>
            <w:shd w:fill="CCEEFF" w:val="clear"/>
            <w:vAlign w:val="center"/>
          </w:tcPr>
          <w:p>
            <w:pPr>
              <w:pStyle w:val="TableContents"/>
              <w:bidi w:val="0"/>
              <w:spacing w:before="0" w:after="283"/>
              <w:jc w:val="left"/>
              <w:rPr/>
            </w:pPr>
            <w:r>
              <w:rPr/>
              <w:t>Assumed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523</w:t>
            </w:r>
          </w:p>
        </w:tc>
        <w:tc>
          <w:tcPr>
            <w:tcW w:w="174" w:type="dxa"/>
            <w:tcBorders/>
            <w:shd w:fill="CCEEFF" w:val="clear"/>
            <w:vAlign w:val="center"/>
          </w:tcPr>
          <w:p>
            <w:pPr>
              <w:pStyle w:val="TableContents"/>
              <w:bidi w:val="0"/>
              <w:spacing w:before="0" w:after="283"/>
              <w:jc w:val="left"/>
              <w:rPr/>
            </w:pPr>
            <w:r>
              <w:rPr/>
              <w:t> </w:t>
            </w:r>
          </w:p>
        </w:tc>
      </w:tr>
      <w:tr>
        <w:trPr/>
        <w:tc>
          <w:tcPr>
            <w:tcW w:w="2385" w:type="dxa"/>
            <w:tcBorders/>
            <w:vAlign w:val="center"/>
          </w:tcPr>
          <w:p>
            <w:pPr>
              <w:pStyle w:val="TableContents"/>
              <w:bidi w:val="0"/>
              <w:spacing w:before="0" w:after="283"/>
              <w:jc w:val="left"/>
              <w:rPr/>
            </w:pPr>
            <w:r>
              <w:rPr/>
              <w:t>Ceded losses and loss adjustment expenses</w:t>
            </w:r>
          </w:p>
        </w:tc>
        <w:tc>
          <w:tcPr>
            <w:tcW w:w="90" w:type="dxa"/>
            <w:tcBorders/>
            <w:vAlign w:val="center"/>
          </w:tcPr>
          <w:p>
            <w:pPr>
              <w:pStyle w:val="TableContents"/>
              <w:bidi w:val="0"/>
              <w:spacing w:before="0" w:after="283"/>
              <w:jc w:val="left"/>
              <w:rPr/>
            </w:pPr>
            <w:r>
              <w:rPr/>
              <w:t> </w:t>
            </w:r>
          </w:p>
        </w:tc>
        <w:tc>
          <w:tcPr>
            <w:tcW w:w="236" w:type="dxa"/>
            <w:tcBorders>
              <w:bottom w:val="single" w:sz="8" w:space="0" w:color="000000"/>
            </w:tcBorders>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tcMar>
              <w:bottom w:w="28" w:type="dxa"/>
            </w:tcMar>
            <w:vAlign w:val="center"/>
          </w:tcPr>
          <w:p>
            <w:pPr>
              <w:pStyle w:val="TableContents"/>
              <w:bidi w:val="0"/>
              <w:spacing w:before="0" w:after="283"/>
              <w:jc w:val="right"/>
              <w:rPr/>
            </w:pPr>
            <w:r>
              <w:rPr/>
              <w:t>(1,550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3" w:type="dxa"/>
            <w:tcBorders>
              <w:bottom w:val="single" w:sz="8" w:space="0" w:color="000000"/>
            </w:tcBorders>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tcMar>
              <w:bottom w:w="28" w:type="dxa"/>
            </w:tcMar>
            <w:vAlign w:val="center"/>
          </w:tcPr>
          <w:p>
            <w:pPr>
              <w:pStyle w:val="TableContents"/>
              <w:bidi w:val="0"/>
              <w:spacing w:before="0" w:after="283"/>
              <w:jc w:val="right"/>
              <w:rPr/>
            </w:pPr>
            <w:r>
              <w:rPr/>
              <w:t>3,527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(2,002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2" w:type="dxa"/>
            <w:tcBorders>
              <w:bottom w:val="single" w:sz="8" w:space="0" w:color="000000"/>
            </w:tcBorders>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tcMar>
              <w:bottom w:w="28" w:type="dxa"/>
            </w:tcMar>
            <w:vAlign w:val="center"/>
          </w:tcPr>
          <w:p>
            <w:pPr>
              <w:pStyle w:val="TableContents"/>
              <w:bidi w:val="0"/>
              <w:spacing w:before="0" w:after="283"/>
              <w:jc w:val="right"/>
              <w:rPr/>
            </w:pPr>
            <w:r>
              <w:rPr/>
              <w:t>(2,129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(2,154</w:t>
            </w:r>
          </w:p>
        </w:tc>
        <w:tc>
          <w:tcPr>
            <w:tcW w:w="174" w:type="dxa"/>
            <w:tcBorders/>
            <w:vAlign w:val="center"/>
          </w:tcPr>
          <w:p>
            <w:pPr>
              <w:pStyle w:val="TableContents"/>
              <w:bidi w:val="0"/>
              <w:spacing w:before="0" w:after="283"/>
              <w:jc w:val="left"/>
              <w:rPr/>
            </w:pPr>
            <w:r>
              <w:rPr/>
              <w:t>)</w:t>
            </w:r>
          </w:p>
        </w:tc>
      </w:tr>
      <w:tr>
        <w:trPr/>
        <w:tc>
          <w:tcPr>
            <w:tcW w:w="2385" w:type="dxa"/>
            <w:tcBorders/>
            <w:shd w:fill="CCEEFF" w:val="clear"/>
            <w:vAlign w:val="center"/>
          </w:tcPr>
          <w:p>
            <w:pPr>
              <w:pStyle w:val="TableContents"/>
              <w:bidi w:val="0"/>
              <w:spacing w:before="0" w:after="283"/>
              <w:jc w:val="left"/>
              <w:rPr/>
            </w:pPr>
            <w:r>
              <w:rPr/>
              <w:t>Net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14,114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15,380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18,556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5,339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2,808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56,197</w:t>
            </w:r>
          </w:p>
        </w:tc>
        <w:tc>
          <w:tcPr>
            <w:tcW w:w="174" w:type="dxa"/>
            <w:tcBorders/>
            <w:shd w:fill="CCEEFF" w:val="clear"/>
            <w:vAlign w:val="center"/>
          </w:tcPr>
          <w:p>
            <w:pPr>
              <w:pStyle w:val="TableContents"/>
              <w:bidi w:val="0"/>
              <w:spacing w:before="0" w:after="283"/>
              <w:jc w:val="left"/>
              <w:rPr/>
            </w:pPr>
            <w:r>
              <w:rPr/>
              <w:t> </w:t>
            </w:r>
          </w:p>
        </w:tc>
      </w:tr>
      <w:tr>
        <w:trPr/>
        <w:tc>
          <w:tcPr>
            <w:tcW w:w="2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bottom w:val="single" w:sz="8" w:space="0" w:color="000000"/>
            </w:tcBorders>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bottom w:val="single" w:sz="8" w:space="0" w:color="000000"/>
            </w:tcBorders>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8" w:space="0" w:color="000000"/>
            </w:tcBorders>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2385" w:type="dxa"/>
            <w:tcBorders/>
            <w:shd w:fill="CCEEFF" w:val="clear"/>
            <w:vAlign w:val="center"/>
          </w:tcPr>
          <w:p>
            <w:pPr>
              <w:pStyle w:val="TableContents"/>
              <w:bidi w:val="0"/>
              <w:spacing w:before="0" w:after="283"/>
              <w:jc w:val="left"/>
              <w:rPr/>
            </w:pPr>
            <w:r>
              <w:rPr/>
              <w:t>Gross margin</w:t>
            </w:r>
          </w:p>
        </w:tc>
        <w:tc>
          <w:tcPr>
            <w:tcW w:w="9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pPr>
            <w:r>
              <w:rPr/>
              <w:t>9,092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pPr>
            <w:r>
              <w:rPr/>
              <w:t>(4,521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shd w:fill="CCEEFF" w:val="clear"/>
            <w:tcMar>
              <w:bottom w:w="28" w:type="dxa"/>
            </w:tcMar>
            <w:vAlign w:val="center"/>
          </w:tcPr>
          <w:p>
            <w:pPr>
              <w:pStyle w:val="TableContents"/>
              <w:bidi w:val="0"/>
              <w:spacing w:before="0" w:after="283"/>
              <w:jc w:val="right"/>
              <w:rPr/>
            </w:pPr>
            <w:r>
              <w:rPr/>
              <w:t>5,086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5,025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right"/>
              <w:rPr/>
            </w:pPr>
            <w:r>
              <w:rPr/>
              <w:t>1,026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15,708</w:t>
            </w:r>
          </w:p>
        </w:tc>
        <w:tc>
          <w:tcPr>
            <w:tcW w:w="174" w:type="dxa"/>
            <w:tcBorders/>
            <w:shd w:fill="CCEEFF" w:val="clear"/>
            <w:vAlign w:val="center"/>
          </w:tcPr>
          <w:p>
            <w:pPr>
              <w:pStyle w:val="TableContents"/>
              <w:bidi w:val="0"/>
              <w:spacing w:before="0" w:after="283"/>
              <w:jc w:val="left"/>
              <w:rPr/>
            </w:pPr>
            <w:r>
              <w:rPr/>
              <w:t> </w:t>
            </w:r>
          </w:p>
        </w:tc>
      </w:tr>
      <w:tr>
        <w:trPr/>
        <w:tc>
          <w:tcPr>
            <w:tcW w:w="2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2385" w:type="dxa"/>
            <w:tcBorders/>
            <w:shd w:fill="CCEEFF" w:val="clear"/>
            <w:vAlign w:val="center"/>
          </w:tcPr>
          <w:p>
            <w:pPr>
              <w:pStyle w:val="TableContents"/>
              <w:bidi w:val="0"/>
              <w:spacing w:before="0" w:after="283"/>
              <w:jc w:val="left"/>
              <w:rPr/>
            </w:pPr>
            <w:r>
              <w:rPr/>
              <w:t>Amortization of deferred policy acquisition costs</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3,957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3,055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4,710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1,370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633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13,725</w:t>
            </w:r>
          </w:p>
        </w:tc>
        <w:tc>
          <w:tcPr>
            <w:tcW w:w="174" w:type="dxa"/>
            <w:tcBorders/>
            <w:shd w:fill="CCEEFF" w:val="clear"/>
            <w:vAlign w:val="center"/>
          </w:tcPr>
          <w:p>
            <w:pPr>
              <w:pStyle w:val="TableContents"/>
              <w:bidi w:val="0"/>
              <w:spacing w:before="0" w:after="283"/>
              <w:jc w:val="left"/>
              <w:rPr/>
            </w:pPr>
            <w:r>
              <w:rPr/>
              <w:t> </w:t>
            </w:r>
          </w:p>
        </w:tc>
      </w:tr>
      <w:tr>
        <w:trPr/>
        <w:tc>
          <w:tcPr>
            <w:tcW w:w="2385" w:type="dxa"/>
            <w:tcBorders/>
            <w:vAlign w:val="center"/>
          </w:tcPr>
          <w:p>
            <w:pPr>
              <w:pStyle w:val="TableContents"/>
              <w:bidi w:val="0"/>
              <w:spacing w:before="0" w:after="283"/>
              <w:jc w:val="left"/>
              <w:rPr>
                <w:sz w:val="20"/>
              </w:rPr>
            </w:pPr>
            <w:r>
              <w:rPr>
                <w:sz w:val="20"/>
              </w:rPr>
              <w:t xml:space="preserve">Other underwriting and general expenses </w:t>
            </w:r>
            <w:r>
              <w:rPr>
                <w:position w:val="7"/>
                <w:sz w:val="16"/>
                <w:sz w:val="20"/>
              </w:rPr>
              <w:t>(1)</w:t>
            </w:r>
          </w:p>
        </w:tc>
        <w:tc>
          <w:tcPr>
            <w:tcW w:w="90" w:type="dxa"/>
            <w:tcBorders/>
            <w:vAlign w:val="center"/>
          </w:tcPr>
          <w:p>
            <w:pPr>
              <w:pStyle w:val="TableContents"/>
              <w:bidi w:val="0"/>
              <w:spacing w:before="0" w:after="283"/>
              <w:jc w:val="left"/>
              <w:rPr/>
            </w:pPr>
            <w:r>
              <w:rPr/>
              <w:t> </w:t>
            </w:r>
          </w:p>
        </w:tc>
        <w:tc>
          <w:tcPr>
            <w:tcW w:w="236" w:type="dxa"/>
            <w:tcBorders>
              <w:bottom w:val="single" w:sz="8" w:space="0" w:color="000000"/>
            </w:tcBorders>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tcMar>
              <w:bottom w:w="28" w:type="dxa"/>
            </w:tcMar>
            <w:vAlign w:val="center"/>
          </w:tcPr>
          <w:p>
            <w:pPr>
              <w:pStyle w:val="TableContents"/>
              <w:bidi w:val="0"/>
              <w:spacing w:before="0" w:after="283"/>
              <w:jc w:val="right"/>
              <w:rPr/>
            </w:pPr>
            <w:r>
              <w:rPr/>
              <w:t>2,608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bottom w:val="single" w:sz="8" w:space="0" w:color="000000"/>
            </w:tcBorders>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tcMar>
              <w:bottom w:w="28" w:type="dxa"/>
            </w:tcMar>
            <w:vAlign w:val="center"/>
          </w:tcPr>
          <w:p>
            <w:pPr>
              <w:pStyle w:val="TableContents"/>
              <w:bidi w:val="0"/>
              <w:spacing w:before="0" w:after="283"/>
              <w:jc w:val="right"/>
              <w:rPr/>
            </w:pPr>
            <w:r>
              <w:rPr/>
              <w:t>1,888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tcMar>
              <w:bottom w:w="28" w:type="dxa"/>
            </w:tcMar>
            <w:vAlign w:val="center"/>
          </w:tcPr>
          <w:p>
            <w:pPr>
              <w:pStyle w:val="TableContents"/>
              <w:bidi w:val="0"/>
              <w:spacing w:before="0" w:after="283"/>
              <w:jc w:val="right"/>
              <w:rPr/>
            </w:pPr>
            <w:r>
              <w:rPr/>
              <w:t>3,127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368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8" w:space="0" w:color="000000"/>
            </w:tcBorders>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tcMar>
              <w:bottom w:w="28" w:type="dxa"/>
            </w:tcMar>
            <w:vAlign w:val="center"/>
          </w:tcPr>
          <w:p>
            <w:pPr>
              <w:pStyle w:val="TableContents"/>
              <w:bidi w:val="0"/>
              <w:spacing w:before="0" w:after="283"/>
              <w:jc w:val="right"/>
              <w:rPr/>
            </w:pPr>
            <w:r>
              <w:rPr/>
              <w:t>513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8,504</w:t>
            </w:r>
          </w:p>
        </w:tc>
        <w:tc>
          <w:tcPr>
            <w:tcW w:w="174" w:type="dxa"/>
            <w:tcBorders/>
            <w:vAlign w:val="center"/>
          </w:tcPr>
          <w:p>
            <w:pPr>
              <w:pStyle w:val="TableContents"/>
              <w:bidi w:val="0"/>
              <w:spacing w:before="0" w:after="283"/>
              <w:jc w:val="left"/>
              <w:rPr/>
            </w:pPr>
            <w:r>
              <w:rPr/>
              <w:t> </w:t>
            </w:r>
          </w:p>
        </w:tc>
      </w:tr>
      <w:tr>
        <w:trPr/>
        <w:tc>
          <w:tcPr>
            <w:tcW w:w="2385" w:type="dxa"/>
            <w:tcBorders/>
            <w:shd w:fill="CCEEFF" w:val="clear"/>
            <w:vAlign w:val="center"/>
          </w:tcPr>
          <w:p>
            <w:pPr>
              <w:pStyle w:val="TableContents"/>
              <w:bidi w:val="0"/>
              <w:spacing w:before="0" w:after="283"/>
              <w:jc w:val="left"/>
              <w:rPr/>
            </w:pPr>
            <w:r>
              <w:rPr/>
              <w:t>Underwriting and general expenses</w:t>
            </w:r>
          </w:p>
        </w:tc>
        <w:tc>
          <w:tcPr>
            <w:tcW w:w="9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pPr>
            <w:r>
              <w:rPr/>
              <w:t>6,565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pPr>
            <w:r>
              <w:rPr/>
              <w:t>4,943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shd w:fill="CCEEFF" w:val="clear"/>
            <w:tcMar>
              <w:bottom w:w="28" w:type="dxa"/>
            </w:tcMar>
            <w:vAlign w:val="center"/>
          </w:tcPr>
          <w:p>
            <w:pPr>
              <w:pStyle w:val="TableContents"/>
              <w:bidi w:val="0"/>
              <w:spacing w:before="0" w:after="283"/>
              <w:jc w:val="right"/>
              <w:rPr/>
            </w:pPr>
            <w:r>
              <w:rPr/>
              <w:t>7,837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1,738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right"/>
              <w:rPr/>
            </w:pPr>
            <w:r>
              <w:rPr/>
              <w:t>1,146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22,229</w:t>
            </w:r>
          </w:p>
        </w:tc>
        <w:tc>
          <w:tcPr>
            <w:tcW w:w="174" w:type="dxa"/>
            <w:tcBorders/>
            <w:shd w:fill="CCEEFF" w:val="clear"/>
            <w:vAlign w:val="center"/>
          </w:tcPr>
          <w:p>
            <w:pPr>
              <w:pStyle w:val="TableContents"/>
              <w:bidi w:val="0"/>
              <w:spacing w:before="0" w:after="283"/>
              <w:jc w:val="left"/>
              <w:rPr/>
            </w:pPr>
            <w:r>
              <w:rPr/>
              <w:t> </w:t>
            </w:r>
          </w:p>
        </w:tc>
      </w:tr>
      <w:tr>
        <w:trPr/>
        <w:tc>
          <w:tcPr>
            <w:tcW w:w="2385" w:type="dxa"/>
            <w:tcBorders/>
            <w:vAlign w:val="center"/>
          </w:tcPr>
          <w:p>
            <w:pPr>
              <w:pStyle w:val="TableContents"/>
              <w:bidi w:val="0"/>
              <w:spacing w:before="0" w:after="283"/>
              <w:jc w:val="left"/>
              <w:rPr/>
            </w:pPr>
            <w:r>
              <w:rPr/>
              <w:t>Underwriting gain (loss)</w:t>
            </w:r>
          </w:p>
        </w:tc>
        <w:tc>
          <w:tcPr>
            <w:tcW w:w="90" w:type="dxa"/>
            <w:tcBorders/>
            <w:vAlign w:val="center"/>
          </w:tcPr>
          <w:p>
            <w:pPr>
              <w:pStyle w:val="TableContents"/>
              <w:bidi w:val="0"/>
              <w:spacing w:before="0" w:after="283"/>
              <w:jc w:val="left"/>
              <w:rPr/>
            </w:pPr>
            <w:r>
              <w:rPr/>
              <w:t> </w:t>
            </w:r>
          </w:p>
        </w:tc>
        <w:tc>
          <w:tcPr>
            <w:tcW w:w="236" w:type="dxa"/>
            <w:tcBorders>
              <w:bottom w:val="single" w:sz="8" w:space="0" w:color="000000"/>
            </w:tcBorders>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tcMar>
              <w:bottom w:w="28" w:type="dxa"/>
            </w:tcMar>
            <w:vAlign w:val="center"/>
          </w:tcPr>
          <w:p>
            <w:pPr>
              <w:pStyle w:val="TableContents"/>
              <w:bidi w:val="0"/>
              <w:spacing w:before="0" w:after="283"/>
              <w:jc w:val="right"/>
              <w:rPr/>
            </w:pPr>
            <w:r>
              <w:rPr/>
              <w:t>2,527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bottom w:val="single" w:sz="8" w:space="0" w:color="000000"/>
            </w:tcBorders>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tcMar>
              <w:bottom w:w="28" w:type="dxa"/>
            </w:tcMar>
            <w:vAlign w:val="center"/>
          </w:tcPr>
          <w:p>
            <w:pPr>
              <w:pStyle w:val="TableContents"/>
              <w:bidi w:val="0"/>
              <w:spacing w:before="0" w:after="283"/>
              <w:jc w:val="right"/>
              <w:rPr/>
            </w:pPr>
            <w:r>
              <w:rPr/>
              <w:t>(9,464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tcMar>
              <w:bottom w:w="28" w:type="dxa"/>
            </w:tcMar>
            <w:vAlign w:val="center"/>
          </w:tcPr>
          <w:p>
            <w:pPr>
              <w:pStyle w:val="TableContents"/>
              <w:bidi w:val="0"/>
              <w:spacing w:before="0" w:after="283"/>
              <w:jc w:val="right"/>
              <w:rPr/>
            </w:pPr>
            <w:r>
              <w:rPr/>
              <w:t>(2,751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3,287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8" w:space="0" w:color="000000"/>
            </w:tcBorders>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tcMar>
              <w:bottom w:w="28" w:type="dxa"/>
            </w:tcMar>
            <w:vAlign w:val="center"/>
          </w:tcPr>
          <w:p>
            <w:pPr>
              <w:pStyle w:val="TableContents"/>
              <w:bidi w:val="0"/>
              <w:spacing w:before="0" w:after="283"/>
              <w:jc w:val="right"/>
              <w:rPr/>
            </w:pPr>
            <w:r>
              <w:rPr/>
              <w:t>(120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(6,521</w:t>
            </w:r>
          </w:p>
        </w:tc>
        <w:tc>
          <w:tcPr>
            <w:tcW w:w="174" w:type="dxa"/>
            <w:tcBorders/>
            <w:vAlign w:val="center"/>
          </w:tcPr>
          <w:p>
            <w:pPr>
              <w:pStyle w:val="TableContents"/>
              <w:bidi w:val="0"/>
              <w:spacing w:before="0" w:after="283"/>
              <w:jc w:val="left"/>
              <w:rPr/>
            </w:pPr>
            <w:r>
              <w:rPr/>
              <w:t>)</w:t>
            </w:r>
          </w:p>
        </w:tc>
      </w:tr>
      <w:tr>
        <w:trPr/>
        <w:tc>
          <w:tcPr>
            <w:tcW w:w="23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2385" w:type="dxa"/>
            <w:tcBorders/>
            <w:vAlign w:val="center"/>
          </w:tcPr>
          <w:p>
            <w:pPr>
              <w:pStyle w:val="TableContents"/>
              <w:bidi w:val="0"/>
              <w:spacing w:before="0" w:after="283"/>
              <w:jc w:val="left"/>
              <w:rPr/>
            </w:pPr>
            <w:r>
              <w:rPr/>
              <w:t>Fee and other income</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261</w:t>
            </w:r>
          </w:p>
        </w:tc>
        <w:tc>
          <w:tcPr>
            <w:tcW w:w="174" w:type="dxa"/>
            <w:tcBorders/>
            <w:vAlign w:val="center"/>
          </w:tcPr>
          <w:p>
            <w:pPr>
              <w:pStyle w:val="TableContents"/>
              <w:bidi w:val="0"/>
              <w:spacing w:before="0" w:after="283"/>
              <w:jc w:val="left"/>
              <w:rPr/>
            </w:pPr>
            <w:r>
              <w:rPr/>
              <w:t> </w:t>
            </w:r>
          </w:p>
        </w:tc>
      </w:tr>
      <w:tr>
        <w:trPr/>
        <w:tc>
          <w:tcPr>
            <w:tcW w:w="2385" w:type="dxa"/>
            <w:tcBorders/>
            <w:shd w:fill="CCEEFF" w:val="clear"/>
            <w:vAlign w:val="center"/>
          </w:tcPr>
          <w:p>
            <w:pPr>
              <w:pStyle w:val="TableContents"/>
              <w:bidi w:val="0"/>
              <w:spacing w:before="0" w:after="283"/>
              <w:jc w:val="left"/>
              <w:rPr/>
            </w:pPr>
            <w:r>
              <w:rPr/>
              <w:t>Net investment income</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3,040</w:t>
            </w:r>
          </w:p>
        </w:tc>
        <w:tc>
          <w:tcPr>
            <w:tcW w:w="174" w:type="dxa"/>
            <w:tcBorders/>
            <w:shd w:fill="CCEEFF" w:val="clear"/>
            <w:vAlign w:val="center"/>
          </w:tcPr>
          <w:p>
            <w:pPr>
              <w:pStyle w:val="TableContents"/>
              <w:bidi w:val="0"/>
              <w:spacing w:before="0" w:after="283"/>
              <w:jc w:val="left"/>
              <w:rPr/>
            </w:pPr>
            <w:r>
              <w:rPr/>
              <w:t> </w:t>
            </w:r>
          </w:p>
        </w:tc>
      </w:tr>
      <w:tr>
        <w:trPr/>
        <w:tc>
          <w:tcPr>
            <w:tcW w:w="2385" w:type="dxa"/>
            <w:tcBorders/>
            <w:vAlign w:val="center"/>
          </w:tcPr>
          <w:p>
            <w:pPr>
              <w:pStyle w:val="TableContents"/>
              <w:bidi w:val="0"/>
              <w:spacing w:before="0" w:after="283"/>
              <w:jc w:val="left"/>
              <w:rPr/>
            </w:pPr>
            <w:r>
              <w:rPr/>
              <w:t>Net investment gains</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1,362</w:t>
            </w:r>
          </w:p>
        </w:tc>
        <w:tc>
          <w:tcPr>
            <w:tcW w:w="174" w:type="dxa"/>
            <w:tcBorders/>
            <w:vAlign w:val="center"/>
          </w:tcPr>
          <w:p>
            <w:pPr>
              <w:pStyle w:val="TableContents"/>
              <w:bidi w:val="0"/>
              <w:spacing w:before="0" w:after="283"/>
              <w:jc w:val="left"/>
              <w:rPr/>
            </w:pPr>
            <w:r>
              <w:rPr/>
              <w:t> </w:t>
            </w:r>
          </w:p>
        </w:tc>
      </w:tr>
      <w:tr>
        <w:trPr/>
        <w:tc>
          <w:tcPr>
            <w:tcW w:w="2385" w:type="dxa"/>
            <w:tcBorders/>
            <w:shd w:fill="CCEEFF" w:val="clear"/>
            <w:vAlign w:val="center"/>
          </w:tcPr>
          <w:p>
            <w:pPr>
              <w:pStyle w:val="TableContents"/>
              <w:bidi w:val="0"/>
              <w:spacing w:before="0" w:after="283"/>
              <w:jc w:val="left"/>
              <w:rPr/>
            </w:pPr>
            <w:r>
              <w:rPr/>
              <w:t>Loss before income taxes</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(1,858</w:t>
            </w:r>
          </w:p>
        </w:tc>
        <w:tc>
          <w:tcPr>
            <w:tcW w:w="174" w:type="dxa"/>
            <w:tcBorders/>
            <w:shd w:fill="CCEEFF" w:val="clear"/>
            <w:vAlign w:val="center"/>
          </w:tcPr>
          <w:p>
            <w:pPr>
              <w:pStyle w:val="TableContents"/>
              <w:bidi w:val="0"/>
              <w:spacing w:before="0" w:after="283"/>
              <w:jc w:val="left"/>
              <w:rPr/>
            </w:pPr>
            <w:r>
              <w:rPr/>
              <w:t>)</w:t>
            </w:r>
          </w:p>
        </w:tc>
      </w:tr>
      <w:tr>
        <w:trPr/>
        <w:tc>
          <w:tcPr>
            <w:tcW w:w="2385" w:type="dxa"/>
            <w:tcBorders/>
            <w:vAlign w:val="center"/>
          </w:tcPr>
          <w:p>
            <w:pPr>
              <w:pStyle w:val="TableContents"/>
              <w:bidi w:val="0"/>
              <w:spacing w:before="0" w:after="283"/>
              <w:jc w:val="left"/>
              <w:rPr/>
            </w:pPr>
            <w:r>
              <w:rPr/>
              <w:t>Income tax benefit</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(192</w:t>
            </w:r>
          </w:p>
        </w:tc>
        <w:tc>
          <w:tcPr>
            <w:tcW w:w="174" w:type="dxa"/>
            <w:tcBorders/>
            <w:vAlign w:val="center"/>
          </w:tcPr>
          <w:p>
            <w:pPr>
              <w:pStyle w:val="TableContents"/>
              <w:bidi w:val="0"/>
              <w:spacing w:before="0" w:after="283"/>
              <w:jc w:val="left"/>
              <w:rPr/>
            </w:pPr>
            <w:r>
              <w:rPr/>
              <w:t>)</w:t>
            </w:r>
          </w:p>
        </w:tc>
      </w:tr>
      <w:tr>
        <w:trPr/>
        <w:tc>
          <w:tcPr>
            <w:tcW w:w="238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(1,666</w:t>
            </w:r>
          </w:p>
        </w:tc>
        <w:tc>
          <w:tcPr>
            <w:tcW w:w="174" w:type="dxa"/>
            <w:tcBorders/>
            <w:shd w:fill="CCEEFF" w:val="clear"/>
            <w:vAlign w:val="center"/>
          </w:tcPr>
          <w:p>
            <w:pPr>
              <w:pStyle w:val="TableContents"/>
              <w:bidi w:val="0"/>
              <w:spacing w:before="0" w:after="283"/>
              <w:ind w:left="0" w:right="0" w:hanging="216"/>
              <w:jc w:val="left"/>
              <w:rPr/>
            </w:pPr>
            <w:r>
              <w:rPr/>
              <w:t>)</w:t>
            </w:r>
          </w:p>
        </w:tc>
      </w:tr>
      <w:tr>
        <w:trPr/>
        <w:tc>
          <w:tcPr>
            <w:tcW w:w="2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ind w:left="0" w:right="0" w:hanging="216"/>
              <w:jc w:val="left"/>
              <w:rPr/>
            </w:pPr>
            <w:r>
              <w:rPr/>
              <w:t> </w:t>
            </w:r>
          </w:p>
        </w:tc>
      </w:tr>
      <w:tr>
        <w:trPr/>
        <w:tc>
          <w:tcPr>
            <w:tcW w:w="2385" w:type="dxa"/>
            <w:tcBorders/>
            <w:shd w:fill="CCEEFF" w:val="clear"/>
            <w:vAlign w:val="center"/>
          </w:tcPr>
          <w:p>
            <w:pPr>
              <w:pStyle w:val="TableContents"/>
              <w:bidi w:val="0"/>
              <w:spacing w:before="0" w:after="283"/>
              <w:jc w:val="left"/>
              <w:rPr/>
            </w:pPr>
            <w:r>
              <w:rPr/>
              <w:t>Operating Ratios:</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ind w:left="0" w:right="0" w:firstLine="18"/>
              <w:jc w:val="left"/>
              <w:rPr/>
            </w:pPr>
            <w:r>
              <w:rPr/>
              <w:t> </w:t>
            </w:r>
          </w:p>
        </w:tc>
      </w:tr>
      <w:tr>
        <w:trPr/>
        <w:tc>
          <w:tcPr>
            <w:tcW w:w="2385" w:type="dxa"/>
            <w:tcBorders/>
            <w:vAlign w:val="center"/>
          </w:tcPr>
          <w:p>
            <w:pPr>
              <w:pStyle w:val="TableContents"/>
              <w:bidi w:val="0"/>
              <w:spacing w:before="0" w:after="283"/>
              <w:jc w:val="left"/>
              <w:rPr/>
            </w:pPr>
            <w:r>
              <w:rPr/>
              <w:t>Loss and loss adjustment expense ratio</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60.8%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141.6%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78.5%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73.2%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78.2%</w:t>
            </w:r>
          </w:p>
        </w:tc>
        <w:tc>
          <w:tcPr>
            <w:tcW w:w="174" w:type="dxa"/>
            <w:tcBorders/>
            <w:vAlign w:val="center"/>
          </w:tcPr>
          <w:p>
            <w:pPr>
              <w:pStyle w:val="TableContents"/>
              <w:bidi w:val="0"/>
              <w:spacing w:before="0" w:after="283"/>
              <w:ind w:left="0" w:right="0" w:hanging="216"/>
              <w:jc w:val="left"/>
              <w:rPr/>
            </w:pPr>
            <w:r>
              <w:rPr/>
              <w:t> </w:t>
            </w:r>
          </w:p>
        </w:tc>
      </w:tr>
      <w:tr>
        <w:trPr/>
        <w:tc>
          <w:tcPr>
            <w:tcW w:w="2385" w:type="dxa"/>
            <w:tcBorders/>
            <w:shd w:fill="CCEEFF" w:val="clear"/>
            <w:vAlign w:val="center"/>
          </w:tcPr>
          <w:p>
            <w:pPr>
              <w:pStyle w:val="TableContents"/>
              <w:bidi w:val="0"/>
              <w:spacing w:before="0" w:after="283"/>
              <w:jc w:val="left"/>
              <w:rPr/>
            </w:pPr>
            <w:r>
              <w:rPr/>
              <w:t>Expense ratio</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28.3%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45.5%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33.1%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29.9%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30.9%</w:t>
            </w:r>
          </w:p>
        </w:tc>
        <w:tc>
          <w:tcPr>
            <w:tcW w:w="174" w:type="dxa"/>
            <w:tcBorders/>
            <w:shd w:fill="CCEEFF" w:val="clear"/>
            <w:vAlign w:val="center"/>
          </w:tcPr>
          <w:p>
            <w:pPr>
              <w:pStyle w:val="TableContents"/>
              <w:bidi w:val="0"/>
              <w:spacing w:before="0" w:after="283"/>
              <w:ind w:left="0" w:right="0" w:hanging="216"/>
              <w:jc w:val="left"/>
              <w:rPr/>
            </w:pPr>
            <w:r>
              <w:rPr/>
              <w:t> </w:t>
            </w:r>
          </w:p>
        </w:tc>
      </w:tr>
      <w:tr>
        <w:trPr/>
        <w:tc>
          <w:tcPr>
            <w:tcW w:w="2385" w:type="dxa"/>
            <w:tcBorders/>
            <w:vAlign w:val="center"/>
          </w:tcPr>
          <w:p>
            <w:pPr>
              <w:pStyle w:val="TableContents"/>
              <w:bidi w:val="0"/>
              <w:spacing w:before="0" w:after="283"/>
              <w:jc w:val="left"/>
              <w:rPr/>
            </w:pPr>
            <w:r>
              <w:rPr/>
              <w:t>Combined ratio</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89.1%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187.1%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111.6%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103.1%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109.1%</w:t>
            </w:r>
          </w:p>
        </w:tc>
        <w:tc>
          <w:tcPr>
            <w:tcW w:w="174" w:type="dxa"/>
            <w:tcBorders/>
            <w:vAlign w:val="center"/>
          </w:tcPr>
          <w:p>
            <w:pPr>
              <w:pStyle w:val="TableContents"/>
              <w:bidi w:val="0"/>
              <w:spacing w:before="0" w:after="283"/>
              <w:ind w:left="0" w:right="0" w:hanging="216"/>
              <w:jc w:val="left"/>
              <w:rPr/>
            </w:pPr>
            <w:r>
              <w:rPr/>
              <w:t> </w:t>
            </w:r>
          </w:p>
        </w:tc>
      </w:tr>
      <w:tr>
        <w:trPr/>
        <w:tc>
          <w:tcPr>
            <w:tcW w:w="23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ind w:left="0" w:right="0" w:hanging="216"/>
              <w:jc w:val="left"/>
              <w:rPr/>
            </w:pPr>
            <w:r>
              <w:rPr/>
              <w:t> </w:t>
            </w:r>
          </w:p>
        </w:tc>
      </w:tr>
      <w:tr>
        <w:trPr/>
        <w:tc>
          <w:tcPr>
            <w:tcW w:w="2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ind w:left="0" w:right="0" w:hanging="216"/>
              <w:jc w:val="left"/>
              <w:rPr/>
            </w:pPr>
            <w:r>
              <w:rPr/>
              <w:t> </w:t>
            </w:r>
          </w:p>
        </w:tc>
      </w:tr>
      <w:tr>
        <w:trPr/>
        <w:tc>
          <w:tcPr>
            <w:tcW w:w="2385" w:type="dxa"/>
            <w:tcBorders/>
            <w:shd w:fill="CCEEFF" w:val="clear"/>
            <w:vAlign w:val="center"/>
          </w:tcPr>
          <w:p>
            <w:pPr>
              <w:pStyle w:val="TableContents"/>
              <w:bidi w:val="0"/>
              <w:spacing w:before="0" w:after="283"/>
              <w:jc w:val="left"/>
              <w:rPr/>
            </w:pPr>
            <w:r>
              <w:rPr/>
              <w:t>Balances at September 30, 2025:</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2385" w:type="dxa"/>
            <w:tcBorders/>
            <w:vAlign w:val="center"/>
          </w:tcPr>
          <w:p>
            <w:pPr>
              <w:pStyle w:val="TableContents"/>
              <w:bidi w:val="0"/>
              <w:spacing w:before="0" w:after="283"/>
              <w:jc w:val="left"/>
              <w:rPr/>
            </w:pPr>
            <w:r>
              <w:rPr/>
              <w:t>Premiums and agents’ balances receivable</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283"/>
              <w:jc w:val="right"/>
              <w:rPr/>
            </w:pPr>
            <w:r>
              <w:rPr/>
              <w:t>26,652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w:t>
            </w:r>
          </w:p>
        </w:tc>
        <w:tc>
          <w:tcPr>
            <w:tcW w:w="1227" w:type="dxa"/>
            <w:tcBorders/>
            <w:vAlign w:val="center"/>
          </w:tcPr>
          <w:p>
            <w:pPr>
              <w:pStyle w:val="TableContents"/>
              <w:bidi w:val="0"/>
              <w:spacing w:before="0" w:after="283"/>
              <w:jc w:val="right"/>
              <w:rPr/>
            </w:pPr>
            <w:r>
              <w:rPr/>
              <w:t>3,048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763" w:type="dxa"/>
            <w:tcBorders/>
            <w:vAlign w:val="center"/>
          </w:tcPr>
          <w:p>
            <w:pPr>
              <w:pStyle w:val="TableContents"/>
              <w:bidi w:val="0"/>
              <w:spacing w:before="0" w:after="283"/>
              <w:jc w:val="right"/>
              <w:rPr/>
            </w:pPr>
            <w:r>
              <w:rPr/>
              <w:t>11,603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31,574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743" w:type="dxa"/>
            <w:tcBorders/>
            <w:vAlign w:val="center"/>
          </w:tcPr>
          <w:p>
            <w:pPr>
              <w:pStyle w:val="TableContents"/>
              <w:bidi w:val="0"/>
              <w:spacing w:before="0" w:after="283"/>
              <w:jc w:val="right"/>
              <w:rPr/>
            </w:pPr>
            <w:r>
              <w:rPr/>
              <w:t>3,196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76,073</w:t>
            </w:r>
          </w:p>
        </w:tc>
        <w:tc>
          <w:tcPr>
            <w:tcW w:w="174" w:type="dxa"/>
            <w:tcBorders/>
            <w:vAlign w:val="center"/>
          </w:tcPr>
          <w:p>
            <w:pPr>
              <w:pStyle w:val="TableContents"/>
              <w:bidi w:val="0"/>
              <w:spacing w:before="0" w:after="283"/>
              <w:jc w:val="left"/>
              <w:rPr/>
            </w:pPr>
            <w:r>
              <w:rPr/>
              <w:t> </w:t>
            </w:r>
          </w:p>
        </w:tc>
      </w:tr>
      <w:tr>
        <w:trPr/>
        <w:tc>
          <w:tcPr>
            <w:tcW w:w="2385" w:type="dxa"/>
            <w:tcBorders/>
            <w:shd w:fill="CCEEFF" w:val="clear"/>
            <w:vAlign w:val="center"/>
          </w:tcPr>
          <w:p>
            <w:pPr>
              <w:pStyle w:val="TableContents"/>
              <w:bidi w:val="0"/>
              <w:spacing w:before="0" w:after="283"/>
              <w:jc w:val="left"/>
              <w:rPr/>
            </w:pPr>
            <w:r>
              <w:rPr/>
              <w:t>Deferred policy acquisition costs</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6,764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2,737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10,507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1,417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22,230</w:t>
            </w:r>
          </w:p>
        </w:tc>
        <w:tc>
          <w:tcPr>
            <w:tcW w:w="174" w:type="dxa"/>
            <w:tcBorders/>
            <w:shd w:fill="CCEEFF" w:val="clear"/>
            <w:vAlign w:val="center"/>
          </w:tcPr>
          <w:p>
            <w:pPr>
              <w:pStyle w:val="TableContents"/>
              <w:bidi w:val="0"/>
              <w:spacing w:before="0" w:after="283"/>
              <w:ind w:left="0" w:right="0" w:hanging="216"/>
              <w:jc w:val="left"/>
              <w:rPr/>
            </w:pPr>
            <w:r>
              <w:rPr/>
              <w:t> </w:t>
            </w:r>
          </w:p>
        </w:tc>
      </w:tr>
      <w:tr>
        <w:trPr/>
        <w:tc>
          <w:tcPr>
            <w:tcW w:w="2385" w:type="dxa"/>
            <w:tcBorders/>
            <w:vAlign w:val="center"/>
          </w:tcPr>
          <w:p>
            <w:pPr>
              <w:pStyle w:val="TableContents"/>
              <w:bidi w:val="0"/>
              <w:spacing w:before="0" w:after="283"/>
              <w:jc w:val="left"/>
              <w:rPr/>
            </w:pPr>
            <w:r>
              <w:rPr/>
              <w:t>Reinsurance recoverables on losses</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2,668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10,717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4,358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5,308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23,051</w:t>
            </w:r>
          </w:p>
        </w:tc>
        <w:tc>
          <w:tcPr>
            <w:tcW w:w="174" w:type="dxa"/>
            <w:tcBorders/>
            <w:vAlign w:val="center"/>
          </w:tcPr>
          <w:p>
            <w:pPr>
              <w:pStyle w:val="TableContents"/>
              <w:bidi w:val="0"/>
              <w:spacing w:before="0" w:after="283"/>
              <w:ind w:left="0" w:right="0" w:firstLine="18"/>
              <w:jc w:val="left"/>
              <w:rPr/>
            </w:pPr>
            <w:r>
              <w:rPr/>
              <w:t> </w:t>
            </w:r>
          </w:p>
        </w:tc>
      </w:tr>
      <w:tr>
        <w:trPr/>
        <w:tc>
          <w:tcPr>
            <w:tcW w:w="2385" w:type="dxa"/>
            <w:tcBorders/>
            <w:shd w:fill="CCEEFF" w:val="clear"/>
            <w:vAlign w:val="center"/>
          </w:tcPr>
          <w:p>
            <w:pPr>
              <w:pStyle w:val="TableContents"/>
              <w:bidi w:val="0"/>
              <w:spacing w:before="0" w:after="283"/>
              <w:jc w:val="left"/>
              <w:rPr/>
            </w:pPr>
            <w:r>
              <w:rPr/>
              <w:t>Receivable from Federal Crop Insurance Corporation</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17,752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17,752</w:t>
            </w:r>
          </w:p>
        </w:tc>
        <w:tc>
          <w:tcPr>
            <w:tcW w:w="174" w:type="dxa"/>
            <w:tcBorders/>
            <w:shd w:fill="CCEEFF" w:val="clear"/>
            <w:vAlign w:val="center"/>
          </w:tcPr>
          <w:p>
            <w:pPr>
              <w:pStyle w:val="TableContents"/>
              <w:bidi w:val="0"/>
              <w:spacing w:before="0" w:after="283"/>
              <w:jc w:val="left"/>
              <w:rPr/>
            </w:pPr>
            <w:r>
              <w:rPr/>
              <w:t> </w:t>
            </w:r>
          </w:p>
        </w:tc>
      </w:tr>
      <w:tr>
        <w:trPr/>
        <w:tc>
          <w:tcPr>
            <w:tcW w:w="2385" w:type="dxa"/>
            <w:tcBorders/>
            <w:vAlign w:val="center"/>
          </w:tcPr>
          <w:p>
            <w:pPr>
              <w:pStyle w:val="TableContents"/>
              <w:bidi w:val="0"/>
              <w:spacing w:before="0" w:after="283"/>
              <w:jc w:val="left"/>
              <w:rPr/>
            </w:pPr>
            <w:r>
              <w:rPr/>
              <w:t>Goodwill and other intangibles</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100</w:t>
            </w:r>
          </w:p>
        </w:tc>
        <w:tc>
          <w:tcPr>
            <w:tcW w:w="174" w:type="dxa"/>
            <w:tcBorders/>
            <w:vAlign w:val="center"/>
          </w:tcPr>
          <w:p>
            <w:pPr>
              <w:pStyle w:val="TableContents"/>
              <w:bidi w:val="0"/>
              <w:spacing w:before="0" w:after="283"/>
              <w:ind w:left="0" w:right="0" w:firstLine="18"/>
              <w:jc w:val="left"/>
              <w:rPr/>
            </w:pPr>
            <w:r>
              <w:rPr/>
              <w:t> </w:t>
            </w:r>
          </w:p>
        </w:tc>
      </w:tr>
      <w:tr>
        <w:trPr/>
        <w:tc>
          <w:tcPr>
            <w:tcW w:w="2385" w:type="dxa"/>
            <w:tcBorders/>
            <w:shd w:fill="CCEEFF" w:val="clear"/>
            <w:vAlign w:val="center"/>
          </w:tcPr>
          <w:p>
            <w:pPr>
              <w:pStyle w:val="TableContents"/>
              <w:bidi w:val="0"/>
              <w:spacing w:before="0" w:after="283"/>
              <w:jc w:val="left"/>
              <w:rPr/>
            </w:pPr>
            <w:r>
              <w:rPr/>
              <w:t>Unpaid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31,106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73,811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25,120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16,465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10,881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157,383</w:t>
            </w:r>
          </w:p>
        </w:tc>
        <w:tc>
          <w:tcPr>
            <w:tcW w:w="174" w:type="dxa"/>
            <w:tcBorders/>
            <w:shd w:fill="CCEEFF" w:val="clear"/>
            <w:vAlign w:val="center"/>
          </w:tcPr>
          <w:p>
            <w:pPr>
              <w:pStyle w:val="TableContents"/>
              <w:bidi w:val="0"/>
              <w:spacing w:before="0" w:after="283"/>
              <w:ind w:left="0" w:right="0" w:hanging="216"/>
              <w:jc w:val="left"/>
              <w:rPr/>
            </w:pPr>
            <w:r>
              <w:rPr/>
              <w:t> </w:t>
            </w:r>
          </w:p>
        </w:tc>
      </w:tr>
      <w:tr>
        <w:trPr/>
        <w:tc>
          <w:tcPr>
            <w:tcW w:w="2385" w:type="dxa"/>
            <w:tcBorders/>
            <w:vAlign w:val="center"/>
          </w:tcPr>
          <w:p>
            <w:pPr>
              <w:pStyle w:val="TableContents"/>
              <w:bidi w:val="0"/>
              <w:spacing w:before="0" w:after="283"/>
              <w:jc w:val="left"/>
              <w:rPr/>
            </w:pPr>
            <w:r>
              <w:rPr/>
              <w:t>Unearned premiums</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38,561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9,600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57,651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8,474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8,174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122,460</w:t>
            </w:r>
          </w:p>
        </w:tc>
        <w:tc>
          <w:tcPr>
            <w:tcW w:w="174"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Other underwriting and general expenses for each segment include expenses related to compensation, vendor services, and other administrative items.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2"/>
        <w:gridCol w:w="90"/>
        <w:gridCol w:w="235"/>
        <w:gridCol w:w="990"/>
        <w:gridCol w:w="125"/>
        <w:gridCol w:w="90"/>
        <w:gridCol w:w="296"/>
        <w:gridCol w:w="1240"/>
        <w:gridCol w:w="125"/>
        <w:gridCol w:w="90"/>
        <w:gridCol w:w="176"/>
        <w:gridCol w:w="763"/>
        <w:gridCol w:w="125"/>
        <w:gridCol w:w="90"/>
        <w:gridCol w:w="170"/>
        <w:gridCol w:w="710"/>
        <w:gridCol w:w="125"/>
        <w:gridCol w:w="90"/>
        <w:gridCol w:w="176"/>
        <w:gridCol w:w="738"/>
        <w:gridCol w:w="125"/>
        <w:gridCol w:w="90"/>
        <w:gridCol w:w="170"/>
        <w:gridCol w:w="830"/>
        <w:gridCol w:w="174"/>
      </w:tblGrid>
      <w:tr>
        <w:trPr/>
        <w:tc>
          <w:tcPr>
            <w:tcW w:w="237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69"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 2024</w:t>
            </w:r>
          </w:p>
        </w:tc>
        <w:tc>
          <w:tcPr>
            <w:tcW w:w="174" w:type="dxa"/>
            <w:tcBorders/>
            <w:vAlign w:val="center"/>
          </w:tcPr>
          <w:p>
            <w:pPr>
              <w:pStyle w:val="TableContents"/>
              <w:bidi w:val="0"/>
              <w:spacing w:before="0" w:after="283"/>
              <w:jc w:val="left"/>
              <w:rPr/>
            </w:pPr>
            <w:r>
              <w:rPr/>
              <w:t> </w:t>
            </w:r>
          </w:p>
        </w:tc>
      </w:tr>
      <w:tr>
        <w:trPr/>
        <w:tc>
          <w:tcPr>
            <w:tcW w:w="237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Private </w:t>
              <w:br/>
              <w:t>Passenger Auto</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Non-Standard </w:t>
              <w:br/>
              <w:t>Auto</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Home and</w:t>
              <w:br/>
              <w:t>Farm</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Crop</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74" w:type="dxa"/>
            <w:tcBorders/>
            <w:vAlign w:val="center"/>
          </w:tcPr>
          <w:p>
            <w:pPr>
              <w:pStyle w:val="TableContents"/>
              <w:bidi w:val="0"/>
              <w:spacing w:before="0" w:after="283"/>
              <w:jc w:val="left"/>
              <w:rPr/>
            </w:pPr>
            <w:r>
              <w:rPr/>
              <w:t> </w:t>
            </w:r>
          </w:p>
        </w:tc>
      </w:tr>
      <w:tr>
        <w:trPr/>
        <w:tc>
          <w:tcPr>
            <w:tcW w:w="2372" w:type="dxa"/>
            <w:tcBorders/>
            <w:shd w:fill="CCEEFF" w:val="clear"/>
            <w:vAlign w:val="center"/>
          </w:tcPr>
          <w:p>
            <w:pPr>
              <w:pStyle w:val="TableContents"/>
              <w:bidi w:val="0"/>
              <w:spacing w:before="0" w:after="283"/>
              <w:jc w:val="left"/>
              <w:rPr/>
            </w:pPr>
            <w:r>
              <w:rPr/>
              <w:t>Direct premiums earned</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990" w:type="dxa"/>
            <w:tcBorders/>
            <w:shd w:fill="CCEEFF" w:val="clear"/>
            <w:vAlign w:val="center"/>
          </w:tcPr>
          <w:p>
            <w:pPr>
              <w:pStyle w:val="TableContents"/>
              <w:bidi w:val="0"/>
              <w:spacing w:before="0" w:after="283"/>
              <w:jc w:val="right"/>
              <w:rPr/>
            </w:pPr>
            <w:r>
              <w:rPr/>
              <w:t>23,981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23,069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26,092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13,649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3,334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90,125</w:t>
            </w:r>
          </w:p>
        </w:tc>
        <w:tc>
          <w:tcPr>
            <w:tcW w:w="174" w:type="dxa"/>
            <w:tcBorders/>
            <w:shd w:fill="CCEEFF" w:val="clear"/>
            <w:vAlign w:val="center"/>
          </w:tcPr>
          <w:p>
            <w:pPr>
              <w:pStyle w:val="TableContents"/>
              <w:bidi w:val="0"/>
              <w:spacing w:before="0" w:after="283"/>
              <w:jc w:val="left"/>
              <w:rPr/>
            </w:pPr>
            <w:r>
              <w:rPr/>
              <w:t> </w:t>
            </w:r>
          </w:p>
        </w:tc>
      </w:tr>
      <w:tr>
        <w:trPr/>
        <w:tc>
          <w:tcPr>
            <w:tcW w:w="2372" w:type="dxa"/>
            <w:tcBorders/>
            <w:vAlign w:val="center"/>
          </w:tcPr>
          <w:p>
            <w:pPr>
              <w:pStyle w:val="TableContents"/>
              <w:bidi w:val="0"/>
              <w:spacing w:before="0" w:after="283"/>
              <w:jc w:val="left"/>
              <w:rPr/>
            </w:pPr>
            <w:r>
              <w:rPr/>
              <w:t>Assumed premiums earned</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1,610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270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1,880</w:t>
            </w:r>
          </w:p>
        </w:tc>
        <w:tc>
          <w:tcPr>
            <w:tcW w:w="174" w:type="dxa"/>
            <w:tcBorders/>
            <w:vAlign w:val="center"/>
          </w:tcPr>
          <w:p>
            <w:pPr>
              <w:pStyle w:val="TableContents"/>
              <w:bidi w:val="0"/>
              <w:spacing w:before="0" w:after="283"/>
              <w:jc w:val="left"/>
              <w:rPr/>
            </w:pPr>
            <w:r>
              <w:rPr/>
              <w:t> </w:t>
            </w:r>
          </w:p>
        </w:tc>
      </w:tr>
      <w:tr>
        <w:trPr/>
        <w:tc>
          <w:tcPr>
            <w:tcW w:w="2372" w:type="dxa"/>
            <w:tcBorders/>
            <w:shd w:fill="CCEEFF" w:val="clear"/>
            <w:vAlign w:val="center"/>
          </w:tcPr>
          <w:p>
            <w:pPr>
              <w:pStyle w:val="TableContents"/>
              <w:bidi w:val="0"/>
              <w:spacing w:before="0" w:after="283"/>
              <w:jc w:val="left"/>
              <w:rPr/>
            </w:pPr>
            <w:r>
              <w:rPr/>
              <w:t>Ceded premiums earned</w:t>
            </w:r>
          </w:p>
        </w:tc>
        <w:tc>
          <w:tcPr>
            <w:tcW w:w="9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(1,369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0" w:type="dxa"/>
            <w:tcBorders>
              <w:bottom w:val="single" w:sz="8" w:space="0" w:color="000000"/>
            </w:tcBorders>
            <w:shd w:fill="CCEEFF" w:val="clear"/>
            <w:tcMar>
              <w:bottom w:w="28" w:type="dxa"/>
            </w:tcMar>
            <w:vAlign w:val="center"/>
          </w:tcPr>
          <w:p>
            <w:pPr>
              <w:pStyle w:val="TableContents"/>
              <w:bidi w:val="0"/>
              <w:spacing w:before="0" w:after="283"/>
              <w:jc w:val="right"/>
              <w:rPr/>
            </w:pPr>
            <w:r>
              <w:rPr/>
              <w:t>(68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shd w:fill="CCEEFF" w:val="clear"/>
            <w:tcMar>
              <w:bottom w:w="28" w:type="dxa"/>
            </w:tcMar>
            <w:vAlign w:val="center"/>
          </w:tcPr>
          <w:p>
            <w:pPr>
              <w:pStyle w:val="TableContents"/>
              <w:bidi w:val="0"/>
              <w:spacing w:before="0" w:after="283"/>
              <w:jc w:val="right"/>
              <w:rPr/>
            </w:pPr>
            <w:r>
              <w:rPr/>
              <w:t>(2,613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(4,374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(311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(8,735</w:t>
            </w:r>
          </w:p>
        </w:tc>
        <w:tc>
          <w:tcPr>
            <w:tcW w:w="174" w:type="dxa"/>
            <w:tcBorders/>
            <w:shd w:fill="CCEEFF" w:val="clear"/>
            <w:vAlign w:val="center"/>
          </w:tcPr>
          <w:p>
            <w:pPr>
              <w:pStyle w:val="TableContents"/>
              <w:bidi w:val="0"/>
              <w:spacing w:before="0" w:after="283"/>
              <w:jc w:val="left"/>
              <w:rPr/>
            </w:pPr>
            <w:r>
              <w:rPr/>
              <w:t>)</w:t>
            </w:r>
          </w:p>
        </w:tc>
      </w:tr>
      <w:tr>
        <w:trPr/>
        <w:tc>
          <w:tcPr>
            <w:tcW w:w="2372" w:type="dxa"/>
            <w:tcBorders/>
            <w:vAlign w:val="center"/>
          </w:tcPr>
          <w:p>
            <w:pPr>
              <w:pStyle w:val="TableContents"/>
              <w:bidi w:val="0"/>
              <w:spacing w:before="0" w:after="283"/>
              <w:jc w:val="left"/>
              <w:rPr/>
            </w:pPr>
            <w:r>
              <w:rPr/>
              <w:t>Net premiums earned</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22,612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23,001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23,479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10,885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3,293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83,270</w:t>
            </w:r>
          </w:p>
        </w:tc>
        <w:tc>
          <w:tcPr>
            <w:tcW w:w="174" w:type="dxa"/>
            <w:tcBorders/>
            <w:vAlign w:val="center"/>
          </w:tcPr>
          <w:p>
            <w:pPr>
              <w:pStyle w:val="TableContents"/>
              <w:bidi w:val="0"/>
              <w:spacing w:before="0" w:after="283"/>
              <w:jc w:val="left"/>
              <w:rPr/>
            </w:pPr>
            <w:r>
              <w:rPr/>
              <w:t> </w:t>
            </w:r>
          </w:p>
        </w:tc>
      </w:tr>
      <w:tr>
        <w:trPr/>
        <w:tc>
          <w:tcPr>
            <w:tcW w:w="237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2372" w:type="dxa"/>
            <w:tcBorders/>
            <w:vAlign w:val="center"/>
          </w:tcPr>
          <w:p>
            <w:pPr>
              <w:pStyle w:val="TableContents"/>
              <w:bidi w:val="0"/>
              <w:spacing w:before="0" w:after="283"/>
              <w:jc w:val="left"/>
              <w:rPr/>
            </w:pPr>
            <w:r>
              <w:rPr/>
              <w:t>Direct losses and loss adjustment expenses</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15,300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20,504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23,248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7,588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3,052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69,692</w:t>
            </w:r>
          </w:p>
        </w:tc>
        <w:tc>
          <w:tcPr>
            <w:tcW w:w="174" w:type="dxa"/>
            <w:tcBorders/>
            <w:vAlign w:val="center"/>
          </w:tcPr>
          <w:p>
            <w:pPr>
              <w:pStyle w:val="TableContents"/>
              <w:bidi w:val="0"/>
              <w:spacing w:before="0" w:after="283"/>
              <w:jc w:val="left"/>
              <w:rPr/>
            </w:pPr>
            <w:r>
              <w:rPr/>
              <w:t> </w:t>
            </w:r>
          </w:p>
        </w:tc>
      </w:tr>
      <w:tr>
        <w:trPr/>
        <w:tc>
          <w:tcPr>
            <w:tcW w:w="2372" w:type="dxa"/>
            <w:tcBorders/>
            <w:shd w:fill="CCEEFF" w:val="clear"/>
            <w:vAlign w:val="center"/>
          </w:tcPr>
          <w:p>
            <w:pPr>
              <w:pStyle w:val="TableContents"/>
              <w:bidi w:val="0"/>
              <w:spacing w:before="0" w:after="283"/>
              <w:jc w:val="left"/>
              <w:rPr/>
            </w:pPr>
            <w:r>
              <w:rPr/>
              <w:t>Assumed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617</w:t>
            </w:r>
          </w:p>
        </w:tc>
        <w:tc>
          <w:tcPr>
            <w:tcW w:w="174" w:type="dxa"/>
            <w:tcBorders/>
            <w:shd w:fill="CCEEFF" w:val="clear"/>
            <w:vAlign w:val="center"/>
          </w:tcPr>
          <w:p>
            <w:pPr>
              <w:pStyle w:val="TableContents"/>
              <w:bidi w:val="0"/>
              <w:spacing w:before="0" w:after="283"/>
              <w:jc w:val="left"/>
              <w:rPr/>
            </w:pPr>
            <w:r>
              <w:rPr/>
              <w:t> </w:t>
            </w:r>
          </w:p>
        </w:tc>
      </w:tr>
      <w:tr>
        <w:trPr/>
        <w:tc>
          <w:tcPr>
            <w:tcW w:w="2372" w:type="dxa"/>
            <w:tcBorders/>
            <w:vAlign w:val="center"/>
          </w:tcPr>
          <w:p>
            <w:pPr>
              <w:pStyle w:val="TableContents"/>
              <w:bidi w:val="0"/>
              <w:spacing w:before="0" w:after="283"/>
              <w:jc w:val="left"/>
              <w:rPr/>
            </w:pPr>
            <w:r>
              <w:rPr/>
              <w:t>Ceded losses and loss adjustment expenses</w:t>
            </w:r>
          </w:p>
        </w:tc>
        <w:tc>
          <w:tcPr>
            <w:tcW w:w="90" w:type="dxa"/>
            <w:tcBorders/>
            <w:vAlign w:val="center"/>
          </w:tcPr>
          <w:p>
            <w:pPr>
              <w:pStyle w:val="TableContents"/>
              <w:bidi w:val="0"/>
              <w:spacing w:before="0" w:after="283"/>
              <w:jc w:val="left"/>
              <w:rPr/>
            </w:pPr>
            <w:r>
              <w:rPr/>
              <w:t> </w:t>
            </w:r>
          </w:p>
        </w:tc>
        <w:tc>
          <w:tcPr>
            <w:tcW w:w="235" w:type="dxa"/>
            <w:tcBorders>
              <w:bottom w:val="single" w:sz="8" w:space="0" w:color="000000"/>
            </w:tcBorders>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tcMar>
              <w:bottom w:w="28" w:type="dxa"/>
            </w:tcMar>
            <w:vAlign w:val="center"/>
          </w:tcPr>
          <w:p>
            <w:pPr>
              <w:pStyle w:val="TableContents"/>
              <w:bidi w:val="0"/>
              <w:spacing w:before="0" w:after="283"/>
              <w:jc w:val="right"/>
              <w:rPr/>
            </w:pPr>
            <w:r>
              <w:rPr/>
              <w:t>(1,230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6" w:type="dxa"/>
            <w:tcBorders>
              <w:bottom w:val="single" w:sz="8" w:space="0" w:color="000000"/>
            </w:tcBorders>
            <w:tcMar>
              <w:bottom w:w="28" w:type="dxa"/>
            </w:tcMar>
            <w:vAlign w:val="center"/>
          </w:tcPr>
          <w:p>
            <w:pPr>
              <w:pStyle w:val="TableContents"/>
              <w:bidi w:val="0"/>
              <w:spacing w:before="0" w:after="283"/>
              <w:jc w:val="left"/>
              <w:rPr/>
            </w:pPr>
            <w:r>
              <w:rPr/>
              <w:t> </w:t>
            </w:r>
          </w:p>
        </w:tc>
        <w:tc>
          <w:tcPr>
            <w:tcW w:w="1240" w:type="dxa"/>
            <w:tcBorders>
              <w:bottom w:val="single" w:sz="8"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tcMar>
              <w:bottom w:w="28" w:type="dxa"/>
            </w:tcMar>
            <w:vAlign w:val="center"/>
          </w:tcPr>
          <w:p>
            <w:pPr>
              <w:pStyle w:val="TableContents"/>
              <w:bidi w:val="0"/>
              <w:spacing w:before="0" w:after="283"/>
              <w:jc w:val="right"/>
              <w:rPr/>
            </w:pPr>
            <w:r>
              <w:rPr/>
              <w:t>(1,225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(1,837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tcMar>
              <w:bottom w:w="28" w:type="dxa"/>
            </w:tcMar>
            <w:vAlign w:val="center"/>
          </w:tcPr>
          <w:p>
            <w:pPr>
              <w:pStyle w:val="TableContents"/>
              <w:bidi w:val="0"/>
              <w:spacing w:before="0" w:after="283"/>
              <w:jc w:val="right"/>
              <w:rPr/>
            </w:pPr>
            <w:r>
              <w:rPr/>
              <w:t>(917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(5,209</w:t>
            </w:r>
          </w:p>
        </w:tc>
        <w:tc>
          <w:tcPr>
            <w:tcW w:w="174" w:type="dxa"/>
            <w:tcBorders/>
            <w:vAlign w:val="center"/>
          </w:tcPr>
          <w:p>
            <w:pPr>
              <w:pStyle w:val="TableContents"/>
              <w:bidi w:val="0"/>
              <w:spacing w:before="0" w:after="283"/>
              <w:jc w:val="left"/>
              <w:rPr/>
            </w:pPr>
            <w:r>
              <w:rPr/>
              <w:t>)</w:t>
            </w:r>
          </w:p>
        </w:tc>
      </w:tr>
      <w:tr>
        <w:trPr/>
        <w:tc>
          <w:tcPr>
            <w:tcW w:w="2372" w:type="dxa"/>
            <w:tcBorders/>
            <w:shd w:fill="CCEEFF" w:val="clear"/>
            <w:vAlign w:val="center"/>
          </w:tcPr>
          <w:p>
            <w:pPr>
              <w:pStyle w:val="TableContents"/>
              <w:bidi w:val="0"/>
              <w:spacing w:before="0" w:after="283"/>
              <w:jc w:val="left"/>
              <w:rPr/>
            </w:pPr>
            <w:r>
              <w:rPr/>
              <w:t>Net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14,070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20,504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22,023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6,190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2,313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65,100</w:t>
            </w:r>
          </w:p>
        </w:tc>
        <w:tc>
          <w:tcPr>
            <w:tcW w:w="174" w:type="dxa"/>
            <w:tcBorders/>
            <w:shd w:fill="CCEEFF" w:val="clear"/>
            <w:vAlign w:val="center"/>
          </w:tcPr>
          <w:p>
            <w:pPr>
              <w:pStyle w:val="TableContents"/>
              <w:bidi w:val="0"/>
              <w:spacing w:before="0" w:after="283"/>
              <w:jc w:val="left"/>
              <w:rPr/>
            </w:pPr>
            <w:r>
              <w:rPr/>
              <w:t> </w:t>
            </w:r>
          </w:p>
        </w:tc>
      </w:tr>
      <w:tr>
        <w:trPr/>
        <w:tc>
          <w:tcPr>
            <w:tcW w:w="237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bottom w:val="single" w:sz="8" w:space="0" w:color="000000"/>
            </w:tcBorders>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bottom w:val="single" w:sz="8" w:space="0" w:color="000000"/>
            </w:tcBorders>
            <w:tcMar>
              <w:bottom w:w="28" w:type="dxa"/>
            </w:tcMar>
            <w:vAlign w:val="center"/>
          </w:tcPr>
          <w:p>
            <w:pPr>
              <w:pStyle w:val="TableContents"/>
              <w:bidi w:val="0"/>
              <w:spacing w:before="0" w:after="283"/>
              <w:jc w:val="left"/>
              <w:rPr/>
            </w:pPr>
            <w:r>
              <w:rPr/>
              <w:t> </w:t>
            </w:r>
          </w:p>
        </w:tc>
        <w:tc>
          <w:tcPr>
            <w:tcW w:w="1240"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2372" w:type="dxa"/>
            <w:tcBorders/>
            <w:shd w:fill="CCEEFF" w:val="clear"/>
            <w:vAlign w:val="center"/>
          </w:tcPr>
          <w:p>
            <w:pPr>
              <w:pStyle w:val="TableContents"/>
              <w:bidi w:val="0"/>
              <w:spacing w:before="0" w:after="283"/>
              <w:jc w:val="left"/>
              <w:rPr/>
            </w:pPr>
            <w:r>
              <w:rPr/>
              <w:t>Gross margin</w:t>
            </w:r>
          </w:p>
        </w:tc>
        <w:tc>
          <w:tcPr>
            <w:tcW w:w="9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8,542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0" w:type="dxa"/>
            <w:tcBorders>
              <w:bottom w:val="single" w:sz="8" w:space="0" w:color="000000"/>
            </w:tcBorders>
            <w:shd w:fill="CCEEFF" w:val="clear"/>
            <w:tcMar>
              <w:bottom w:w="28" w:type="dxa"/>
            </w:tcMar>
            <w:vAlign w:val="center"/>
          </w:tcPr>
          <w:p>
            <w:pPr>
              <w:pStyle w:val="TableContents"/>
              <w:bidi w:val="0"/>
              <w:spacing w:before="0" w:after="283"/>
              <w:jc w:val="right"/>
              <w:rPr/>
            </w:pPr>
            <w:r>
              <w:rPr/>
              <w:t>2,497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shd w:fill="CCEEFF" w:val="clear"/>
            <w:tcMar>
              <w:bottom w:w="28" w:type="dxa"/>
            </w:tcMar>
            <w:vAlign w:val="center"/>
          </w:tcPr>
          <w:p>
            <w:pPr>
              <w:pStyle w:val="TableContents"/>
              <w:bidi w:val="0"/>
              <w:spacing w:before="0" w:after="283"/>
              <w:jc w:val="right"/>
              <w:rPr/>
            </w:pPr>
            <w:r>
              <w:rPr/>
              <w:t>1,456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4,695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980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18,170</w:t>
            </w:r>
          </w:p>
        </w:tc>
        <w:tc>
          <w:tcPr>
            <w:tcW w:w="174" w:type="dxa"/>
            <w:tcBorders/>
            <w:shd w:fill="CCEEFF" w:val="clear"/>
            <w:vAlign w:val="center"/>
          </w:tcPr>
          <w:p>
            <w:pPr>
              <w:pStyle w:val="TableContents"/>
              <w:bidi w:val="0"/>
              <w:spacing w:before="0" w:after="283"/>
              <w:jc w:val="left"/>
              <w:rPr/>
            </w:pPr>
            <w:r>
              <w:rPr/>
              <w:t> </w:t>
            </w:r>
          </w:p>
        </w:tc>
      </w:tr>
      <w:tr>
        <w:trPr/>
        <w:tc>
          <w:tcPr>
            <w:tcW w:w="237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2372" w:type="dxa"/>
            <w:tcBorders/>
            <w:shd w:fill="CCEEFF" w:val="clear"/>
            <w:vAlign w:val="center"/>
          </w:tcPr>
          <w:p>
            <w:pPr>
              <w:pStyle w:val="TableContents"/>
              <w:bidi w:val="0"/>
              <w:spacing w:before="0" w:after="283"/>
              <w:jc w:val="left"/>
              <w:rPr/>
            </w:pPr>
            <w:r>
              <w:rPr/>
              <w:t>Amortization of deferred policy acquisition costs</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4,081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7,411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4,377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1,228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519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17,616</w:t>
            </w:r>
          </w:p>
        </w:tc>
        <w:tc>
          <w:tcPr>
            <w:tcW w:w="174" w:type="dxa"/>
            <w:tcBorders/>
            <w:shd w:fill="CCEEFF" w:val="clear"/>
            <w:vAlign w:val="center"/>
          </w:tcPr>
          <w:p>
            <w:pPr>
              <w:pStyle w:val="TableContents"/>
              <w:bidi w:val="0"/>
              <w:spacing w:before="0" w:after="283"/>
              <w:jc w:val="left"/>
              <w:rPr/>
            </w:pPr>
            <w:r>
              <w:rPr/>
              <w:t> </w:t>
            </w:r>
          </w:p>
        </w:tc>
      </w:tr>
      <w:tr>
        <w:trPr/>
        <w:tc>
          <w:tcPr>
            <w:tcW w:w="2372" w:type="dxa"/>
            <w:tcBorders/>
            <w:vAlign w:val="center"/>
          </w:tcPr>
          <w:p>
            <w:pPr>
              <w:pStyle w:val="TableContents"/>
              <w:bidi w:val="0"/>
              <w:spacing w:before="0" w:after="283"/>
              <w:jc w:val="left"/>
              <w:rPr>
                <w:sz w:val="20"/>
              </w:rPr>
            </w:pPr>
            <w:r>
              <w:rPr>
                <w:sz w:val="20"/>
              </w:rPr>
              <w:t xml:space="preserve">Other underwriting and general expenses </w:t>
            </w:r>
            <w:r>
              <w:rPr>
                <w:position w:val="7"/>
                <w:sz w:val="16"/>
                <w:sz w:val="20"/>
              </w:rPr>
              <w:t>(1)</w:t>
            </w:r>
          </w:p>
        </w:tc>
        <w:tc>
          <w:tcPr>
            <w:tcW w:w="90" w:type="dxa"/>
            <w:tcBorders/>
            <w:vAlign w:val="center"/>
          </w:tcPr>
          <w:p>
            <w:pPr>
              <w:pStyle w:val="TableContents"/>
              <w:bidi w:val="0"/>
              <w:spacing w:before="0" w:after="283"/>
              <w:jc w:val="left"/>
              <w:rPr/>
            </w:pPr>
            <w:r>
              <w:rPr/>
              <w:t> </w:t>
            </w:r>
          </w:p>
        </w:tc>
        <w:tc>
          <w:tcPr>
            <w:tcW w:w="235" w:type="dxa"/>
            <w:tcBorders>
              <w:bottom w:val="single" w:sz="8" w:space="0" w:color="000000"/>
            </w:tcBorders>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tcMar>
              <w:bottom w:w="28" w:type="dxa"/>
            </w:tcMar>
            <w:vAlign w:val="center"/>
          </w:tcPr>
          <w:p>
            <w:pPr>
              <w:pStyle w:val="TableContents"/>
              <w:bidi w:val="0"/>
              <w:spacing w:before="0" w:after="283"/>
              <w:jc w:val="right"/>
              <w:rPr/>
            </w:pPr>
            <w:r>
              <w:rPr/>
              <w:t>3,389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bottom w:val="single" w:sz="8" w:space="0" w:color="000000"/>
            </w:tcBorders>
            <w:tcMar>
              <w:bottom w:w="28" w:type="dxa"/>
            </w:tcMar>
            <w:vAlign w:val="center"/>
          </w:tcPr>
          <w:p>
            <w:pPr>
              <w:pStyle w:val="TableContents"/>
              <w:bidi w:val="0"/>
              <w:spacing w:before="0" w:after="283"/>
              <w:jc w:val="left"/>
              <w:rPr/>
            </w:pPr>
            <w:r>
              <w:rPr/>
              <w:t> </w:t>
            </w:r>
          </w:p>
        </w:tc>
        <w:tc>
          <w:tcPr>
            <w:tcW w:w="1240" w:type="dxa"/>
            <w:tcBorders>
              <w:bottom w:val="single" w:sz="8" w:space="0" w:color="000000"/>
            </w:tcBorders>
            <w:tcMar>
              <w:bottom w:w="28" w:type="dxa"/>
            </w:tcMar>
            <w:vAlign w:val="center"/>
          </w:tcPr>
          <w:p>
            <w:pPr>
              <w:pStyle w:val="TableContents"/>
              <w:bidi w:val="0"/>
              <w:spacing w:before="0" w:after="283"/>
              <w:jc w:val="right"/>
              <w:rPr/>
            </w:pPr>
            <w:r>
              <w:rPr/>
              <w:t>2,916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tcMar>
              <w:bottom w:w="28" w:type="dxa"/>
            </w:tcMar>
            <w:vAlign w:val="center"/>
          </w:tcPr>
          <w:p>
            <w:pPr>
              <w:pStyle w:val="TableContents"/>
              <w:bidi w:val="0"/>
              <w:spacing w:before="0" w:after="283"/>
              <w:jc w:val="right"/>
              <w:rPr/>
            </w:pPr>
            <w:r>
              <w:rPr/>
              <w:t>3,241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555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tcMar>
              <w:bottom w:w="28" w:type="dxa"/>
            </w:tcMar>
            <w:vAlign w:val="center"/>
          </w:tcPr>
          <w:p>
            <w:pPr>
              <w:pStyle w:val="TableContents"/>
              <w:bidi w:val="0"/>
              <w:spacing w:before="0" w:after="283"/>
              <w:jc w:val="right"/>
              <w:rPr/>
            </w:pPr>
            <w:r>
              <w:rPr/>
              <w:t>(377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9,724</w:t>
            </w:r>
          </w:p>
        </w:tc>
        <w:tc>
          <w:tcPr>
            <w:tcW w:w="174" w:type="dxa"/>
            <w:tcBorders/>
            <w:vAlign w:val="center"/>
          </w:tcPr>
          <w:p>
            <w:pPr>
              <w:pStyle w:val="TableContents"/>
              <w:bidi w:val="0"/>
              <w:spacing w:before="0" w:after="283"/>
              <w:jc w:val="left"/>
              <w:rPr/>
            </w:pPr>
            <w:r>
              <w:rPr/>
              <w:t> </w:t>
            </w:r>
          </w:p>
        </w:tc>
      </w:tr>
      <w:tr>
        <w:trPr/>
        <w:tc>
          <w:tcPr>
            <w:tcW w:w="2372" w:type="dxa"/>
            <w:tcBorders/>
            <w:shd w:fill="CCEEFF" w:val="clear"/>
            <w:vAlign w:val="center"/>
          </w:tcPr>
          <w:p>
            <w:pPr>
              <w:pStyle w:val="TableContents"/>
              <w:bidi w:val="0"/>
              <w:spacing w:before="0" w:after="283"/>
              <w:jc w:val="left"/>
              <w:rPr/>
            </w:pPr>
            <w:r>
              <w:rPr/>
              <w:t>Underwriting and general expenses</w:t>
            </w:r>
          </w:p>
        </w:tc>
        <w:tc>
          <w:tcPr>
            <w:tcW w:w="9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7,470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0" w:type="dxa"/>
            <w:tcBorders>
              <w:bottom w:val="single" w:sz="8" w:space="0" w:color="000000"/>
            </w:tcBorders>
            <w:shd w:fill="CCEEFF" w:val="clear"/>
            <w:tcMar>
              <w:bottom w:w="28" w:type="dxa"/>
            </w:tcMar>
            <w:vAlign w:val="center"/>
          </w:tcPr>
          <w:p>
            <w:pPr>
              <w:pStyle w:val="TableContents"/>
              <w:bidi w:val="0"/>
              <w:spacing w:before="0" w:after="283"/>
              <w:jc w:val="right"/>
              <w:rPr/>
            </w:pPr>
            <w:r>
              <w:rPr/>
              <w:t>10,327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shd w:fill="CCEEFF" w:val="clear"/>
            <w:tcMar>
              <w:bottom w:w="28" w:type="dxa"/>
            </w:tcMar>
            <w:vAlign w:val="center"/>
          </w:tcPr>
          <w:p>
            <w:pPr>
              <w:pStyle w:val="TableContents"/>
              <w:bidi w:val="0"/>
              <w:spacing w:before="0" w:after="283"/>
              <w:jc w:val="right"/>
              <w:rPr/>
            </w:pPr>
            <w:r>
              <w:rPr/>
              <w:t>7,618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1,783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27,340</w:t>
            </w:r>
          </w:p>
        </w:tc>
        <w:tc>
          <w:tcPr>
            <w:tcW w:w="174" w:type="dxa"/>
            <w:tcBorders/>
            <w:shd w:fill="CCEEFF" w:val="clear"/>
            <w:vAlign w:val="center"/>
          </w:tcPr>
          <w:p>
            <w:pPr>
              <w:pStyle w:val="TableContents"/>
              <w:bidi w:val="0"/>
              <w:spacing w:before="0" w:after="283"/>
              <w:jc w:val="left"/>
              <w:rPr/>
            </w:pPr>
            <w:r>
              <w:rPr/>
              <w:t> </w:t>
            </w:r>
          </w:p>
        </w:tc>
      </w:tr>
      <w:tr>
        <w:trPr/>
        <w:tc>
          <w:tcPr>
            <w:tcW w:w="2372" w:type="dxa"/>
            <w:tcBorders/>
            <w:vAlign w:val="center"/>
          </w:tcPr>
          <w:p>
            <w:pPr>
              <w:pStyle w:val="TableContents"/>
              <w:bidi w:val="0"/>
              <w:spacing w:before="0" w:after="283"/>
              <w:jc w:val="left"/>
              <w:rPr/>
            </w:pPr>
            <w:r>
              <w:rPr/>
              <w:t>Underwriting gain (loss)</w:t>
            </w:r>
          </w:p>
        </w:tc>
        <w:tc>
          <w:tcPr>
            <w:tcW w:w="90" w:type="dxa"/>
            <w:tcBorders/>
            <w:vAlign w:val="center"/>
          </w:tcPr>
          <w:p>
            <w:pPr>
              <w:pStyle w:val="TableContents"/>
              <w:bidi w:val="0"/>
              <w:spacing w:before="0" w:after="283"/>
              <w:jc w:val="left"/>
              <w:rPr/>
            </w:pPr>
            <w:r>
              <w:rPr/>
              <w:t> </w:t>
            </w:r>
          </w:p>
        </w:tc>
        <w:tc>
          <w:tcPr>
            <w:tcW w:w="235" w:type="dxa"/>
            <w:tcBorders>
              <w:bottom w:val="single" w:sz="8" w:space="0" w:color="000000"/>
            </w:tcBorders>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tcMar>
              <w:bottom w:w="28" w:type="dxa"/>
            </w:tcMar>
            <w:vAlign w:val="center"/>
          </w:tcPr>
          <w:p>
            <w:pPr>
              <w:pStyle w:val="TableContents"/>
              <w:bidi w:val="0"/>
              <w:spacing w:before="0" w:after="283"/>
              <w:jc w:val="right"/>
              <w:rPr/>
            </w:pPr>
            <w:r>
              <w:rPr/>
              <w:t>1,072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bottom w:val="single" w:sz="8" w:space="0" w:color="000000"/>
            </w:tcBorders>
            <w:tcMar>
              <w:bottom w:w="28" w:type="dxa"/>
            </w:tcMar>
            <w:vAlign w:val="center"/>
          </w:tcPr>
          <w:p>
            <w:pPr>
              <w:pStyle w:val="TableContents"/>
              <w:bidi w:val="0"/>
              <w:spacing w:before="0" w:after="283"/>
              <w:jc w:val="left"/>
              <w:rPr/>
            </w:pPr>
            <w:r>
              <w:rPr/>
              <w:t> </w:t>
            </w:r>
          </w:p>
        </w:tc>
        <w:tc>
          <w:tcPr>
            <w:tcW w:w="1240" w:type="dxa"/>
            <w:tcBorders>
              <w:bottom w:val="single" w:sz="8" w:space="0" w:color="000000"/>
            </w:tcBorders>
            <w:tcMar>
              <w:bottom w:w="28" w:type="dxa"/>
            </w:tcMar>
            <w:vAlign w:val="center"/>
          </w:tcPr>
          <w:p>
            <w:pPr>
              <w:pStyle w:val="TableContents"/>
              <w:bidi w:val="0"/>
              <w:spacing w:before="0" w:after="283"/>
              <w:jc w:val="right"/>
              <w:rPr/>
            </w:pPr>
            <w:r>
              <w:rPr/>
              <w:t>(7,830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tcMar>
              <w:bottom w:w="28" w:type="dxa"/>
            </w:tcMar>
            <w:vAlign w:val="center"/>
          </w:tcPr>
          <w:p>
            <w:pPr>
              <w:pStyle w:val="TableContents"/>
              <w:bidi w:val="0"/>
              <w:spacing w:before="0" w:after="283"/>
              <w:jc w:val="right"/>
              <w:rPr/>
            </w:pPr>
            <w:r>
              <w:rPr/>
              <w:t>(6,162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2,912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8" w:space="0" w:color="000000"/>
            </w:tcBorders>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tcMar>
              <w:bottom w:w="28" w:type="dxa"/>
            </w:tcMar>
            <w:vAlign w:val="center"/>
          </w:tcPr>
          <w:p>
            <w:pPr>
              <w:pStyle w:val="TableContents"/>
              <w:bidi w:val="0"/>
              <w:spacing w:before="0" w:after="283"/>
              <w:jc w:val="right"/>
              <w:rPr/>
            </w:pPr>
            <w:r>
              <w:rPr/>
              <w:t>838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(9,170</w:t>
            </w:r>
          </w:p>
        </w:tc>
        <w:tc>
          <w:tcPr>
            <w:tcW w:w="174" w:type="dxa"/>
            <w:tcBorders/>
            <w:vAlign w:val="center"/>
          </w:tcPr>
          <w:p>
            <w:pPr>
              <w:pStyle w:val="TableContents"/>
              <w:bidi w:val="0"/>
              <w:spacing w:before="0" w:after="283"/>
              <w:jc w:val="left"/>
              <w:rPr/>
            </w:pPr>
            <w:r>
              <w:rPr/>
              <w:t>)</w:t>
            </w:r>
          </w:p>
        </w:tc>
      </w:tr>
      <w:tr>
        <w:trPr/>
        <w:tc>
          <w:tcPr>
            <w:tcW w:w="237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2372" w:type="dxa"/>
            <w:tcBorders/>
            <w:vAlign w:val="center"/>
          </w:tcPr>
          <w:p>
            <w:pPr>
              <w:pStyle w:val="TableContents"/>
              <w:bidi w:val="0"/>
              <w:spacing w:before="0" w:after="283"/>
              <w:jc w:val="left"/>
              <w:rPr/>
            </w:pPr>
            <w:r>
              <w:rPr/>
              <w:t>Fee and other income</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491</w:t>
            </w:r>
          </w:p>
        </w:tc>
        <w:tc>
          <w:tcPr>
            <w:tcW w:w="174" w:type="dxa"/>
            <w:tcBorders/>
            <w:vAlign w:val="center"/>
          </w:tcPr>
          <w:p>
            <w:pPr>
              <w:pStyle w:val="TableContents"/>
              <w:bidi w:val="0"/>
              <w:spacing w:before="0" w:after="283"/>
              <w:jc w:val="left"/>
              <w:rPr/>
            </w:pPr>
            <w:r>
              <w:rPr/>
              <w:t> </w:t>
            </w:r>
          </w:p>
        </w:tc>
      </w:tr>
      <w:tr>
        <w:trPr/>
        <w:tc>
          <w:tcPr>
            <w:tcW w:w="2372" w:type="dxa"/>
            <w:tcBorders/>
            <w:shd w:fill="CCEEFF" w:val="clear"/>
            <w:vAlign w:val="center"/>
          </w:tcPr>
          <w:p>
            <w:pPr>
              <w:pStyle w:val="TableContents"/>
              <w:bidi w:val="0"/>
              <w:spacing w:before="0" w:after="283"/>
              <w:jc w:val="left"/>
              <w:rPr/>
            </w:pPr>
            <w:r>
              <w:rPr/>
              <w:t>Net investment income</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2,811</w:t>
            </w:r>
          </w:p>
        </w:tc>
        <w:tc>
          <w:tcPr>
            <w:tcW w:w="174" w:type="dxa"/>
            <w:tcBorders/>
            <w:shd w:fill="CCEEFF" w:val="clear"/>
            <w:vAlign w:val="center"/>
          </w:tcPr>
          <w:p>
            <w:pPr>
              <w:pStyle w:val="TableContents"/>
              <w:bidi w:val="0"/>
              <w:spacing w:before="0" w:after="283"/>
              <w:jc w:val="left"/>
              <w:rPr/>
            </w:pPr>
            <w:r>
              <w:rPr/>
              <w:t> </w:t>
            </w:r>
          </w:p>
        </w:tc>
      </w:tr>
      <w:tr>
        <w:trPr/>
        <w:tc>
          <w:tcPr>
            <w:tcW w:w="2372" w:type="dxa"/>
            <w:tcBorders/>
            <w:vAlign w:val="center"/>
          </w:tcPr>
          <w:p>
            <w:pPr>
              <w:pStyle w:val="TableContents"/>
              <w:bidi w:val="0"/>
              <w:spacing w:before="0" w:after="283"/>
              <w:jc w:val="left"/>
              <w:rPr/>
            </w:pPr>
            <w:r>
              <w:rPr/>
              <w:t>Net investment gains</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2,412</w:t>
            </w:r>
          </w:p>
        </w:tc>
        <w:tc>
          <w:tcPr>
            <w:tcW w:w="174" w:type="dxa"/>
            <w:tcBorders/>
            <w:vAlign w:val="center"/>
          </w:tcPr>
          <w:p>
            <w:pPr>
              <w:pStyle w:val="TableContents"/>
              <w:bidi w:val="0"/>
              <w:spacing w:before="0" w:after="283"/>
              <w:jc w:val="left"/>
              <w:rPr/>
            </w:pPr>
            <w:r>
              <w:rPr/>
              <w:t> </w:t>
            </w:r>
          </w:p>
        </w:tc>
      </w:tr>
      <w:tr>
        <w:trPr/>
        <w:tc>
          <w:tcPr>
            <w:tcW w:w="2372" w:type="dxa"/>
            <w:tcBorders/>
            <w:shd w:fill="CCEEFF" w:val="clear"/>
            <w:vAlign w:val="center"/>
          </w:tcPr>
          <w:p>
            <w:pPr>
              <w:pStyle w:val="TableContents"/>
              <w:bidi w:val="0"/>
              <w:spacing w:before="0" w:after="283"/>
              <w:jc w:val="left"/>
              <w:rPr/>
            </w:pPr>
            <w:r>
              <w:rPr/>
              <w:t>Loss before income taxes</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(3,456</w:t>
            </w:r>
          </w:p>
        </w:tc>
        <w:tc>
          <w:tcPr>
            <w:tcW w:w="174" w:type="dxa"/>
            <w:tcBorders/>
            <w:shd w:fill="CCEEFF" w:val="clear"/>
            <w:vAlign w:val="center"/>
          </w:tcPr>
          <w:p>
            <w:pPr>
              <w:pStyle w:val="TableContents"/>
              <w:bidi w:val="0"/>
              <w:spacing w:before="0" w:after="283"/>
              <w:jc w:val="left"/>
              <w:rPr/>
            </w:pPr>
            <w:r>
              <w:rPr/>
              <w:t>)</w:t>
            </w:r>
          </w:p>
        </w:tc>
      </w:tr>
      <w:tr>
        <w:trPr/>
        <w:tc>
          <w:tcPr>
            <w:tcW w:w="2372" w:type="dxa"/>
            <w:tcBorders/>
            <w:vAlign w:val="center"/>
          </w:tcPr>
          <w:p>
            <w:pPr>
              <w:pStyle w:val="TableContents"/>
              <w:bidi w:val="0"/>
              <w:spacing w:before="0" w:after="283"/>
              <w:jc w:val="left"/>
              <w:rPr/>
            </w:pPr>
            <w:r>
              <w:rPr/>
              <w:t>Income tax benefit</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(751</w:t>
            </w:r>
          </w:p>
        </w:tc>
        <w:tc>
          <w:tcPr>
            <w:tcW w:w="174" w:type="dxa"/>
            <w:tcBorders/>
            <w:vAlign w:val="center"/>
          </w:tcPr>
          <w:p>
            <w:pPr>
              <w:pStyle w:val="TableContents"/>
              <w:bidi w:val="0"/>
              <w:spacing w:before="0" w:after="283"/>
              <w:jc w:val="left"/>
              <w:rPr/>
            </w:pPr>
            <w:r>
              <w:rPr/>
              <w:t>)</w:t>
            </w:r>
          </w:p>
        </w:tc>
      </w:tr>
      <w:tr>
        <w:trPr/>
        <w:tc>
          <w:tcPr>
            <w:tcW w:w="2372"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(2,705</w:t>
            </w:r>
          </w:p>
        </w:tc>
        <w:tc>
          <w:tcPr>
            <w:tcW w:w="174" w:type="dxa"/>
            <w:tcBorders/>
            <w:shd w:fill="CCEEFF" w:val="clear"/>
            <w:vAlign w:val="center"/>
          </w:tcPr>
          <w:p>
            <w:pPr>
              <w:pStyle w:val="TableContents"/>
              <w:bidi w:val="0"/>
              <w:spacing w:before="0" w:after="283"/>
              <w:ind w:left="0" w:right="0" w:hanging="216"/>
              <w:jc w:val="left"/>
              <w:rPr/>
            </w:pPr>
            <w:r>
              <w:rPr/>
              <w:t>)</w:t>
            </w:r>
          </w:p>
        </w:tc>
      </w:tr>
      <w:tr>
        <w:trPr/>
        <w:tc>
          <w:tcPr>
            <w:tcW w:w="237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ind w:left="0" w:right="0" w:hanging="216"/>
              <w:jc w:val="left"/>
              <w:rPr/>
            </w:pPr>
            <w:r>
              <w:rPr/>
              <w:t> </w:t>
            </w:r>
          </w:p>
        </w:tc>
      </w:tr>
      <w:tr>
        <w:trPr/>
        <w:tc>
          <w:tcPr>
            <w:tcW w:w="2372" w:type="dxa"/>
            <w:tcBorders/>
            <w:shd w:fill="CCEEFF" w:val="clear"/>
            <w:vAlign w:val="center"/>
          </w:tcPr>
          <w:p>
            <w:pPr>
              <w:pStyle w:val="TableContents"/>
              <w:bidi w:val="0"/>
              <w:spacing w:before="0" w:after="283"/>
              <w:jc w:val="left"/>
              <w:rPr/>
            </w:pPr>
            <w:r>
              <w:rPr/>
              <w:t>Operating Ratios:</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ind w:left="0" w:right="0" w:firstLine="18"/>
              <w:jc w:val="left"/>
              <w:rPr/>
            </w:pPr>
            <w:r>
              <w:rPr/>
              <w:t> </w:t>
            </w:r>
          </w:p>
        </w:tc>
      </w:tr>
      <w:tr>
        <w:trPr/>
        <w:tc>
          <w:tcPr>
            <w:tcW w:w="2372" w:type="dxa"/>
            <w:tcBorders/>
            <w:vAlign w:val="center"/>
          </w:tcPr>
          <w:p>
            <w:pPr>
              <w:pStyle w:val="TableContents"/>
              <w:bidi w:val="0"/>
              <w:spacing w:before="0" w:after="283"/>
              <w:jc w:val="left"/>
              <w:rPr/>
            </w:pPr>
            <w:r>
              <w:rPr/>
              <w:t>Loss and loss adjustment expense ratio</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62.2%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89.1%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93.8%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70.2%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78.2%</w:t>
            </w:r>
          </w:p>
        </w:tc>
        <w:tc>
          <w:tcPr>
            <w:tcW w:w="174" w:type="dxa"/>
            <w:tcBorders/>
            <w:vAlign w:val="center"/>
          </w:tcPr>
          <w:p>
            <w:pPr>
              <w:pStyle w:val="TableContents"/>
              <w:bidi w:val="0"/>
              <w:spacing w:before="0" w:after="283"/>
              <w:ind w:left="0" w:right="0" w:hanging="216"/>
              <w:jc w:val="left"/>
              <w:rPr/>
            </w:pPr>
            <w:r>
              <w:rPr/>
              <w:t> </w:t>
            </w:r>
          </w:p>
        </w:tc>
      </w:tr>
      <w:tr>
        <w:trPr/>
        <w:tc>
          <w:tcPr>
            <w:tcW w:w="2372" w:type="dxa"/>
            <w:tcBorders/>
            <w:shd w:fill="CCEEFF" w:val="clear"/>
            <w:vAlign w:val="center"/>
          </w:tcPr>
          <w:p>
            <w:pPr>
              <w:pStyle w:val="TableContents"/>
              <w:bidi w:val="0"/>
              <w:spacing w:before="0" w:after="283"/>
              <w:jc w:val="left"/>
              <w:rPr/>
            </w:pPr>
            <w:r>
              <w:rPr/>
              <w:t>Expense ratio</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33.0%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44.9%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32.4%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32.8%</w:t>
            </w:r>
          </w:p>
        </w:tc>
        <w:tc>
          <w:tcPr>
            <w:tcW w:w="174" w:type="dxa"/>
            <w:tcBorders/>
            <w:shd w:fill="CCEEFF" w:val="clear"/>
            <w:vAlign w:val="center"/>
          </w:tcPr>
          <w:p>
            <w:pPr>
              <w:pStyle w:val="TableContents"/>
              <w:bidi w:val="0"/>
              <w:spacing w:before="0" w:after="283"/>
              <w:ind w:left="0" w:right="0" w:hanging="216"/>
              <w:jc w:val="left"/>
              <w:rPr/>
            </w:pPr>
            <w:r>
              <w:rPr/>
              <w:t> </w:t>
            </w:r>
          </w:p>
        </w:tc>
      </w:tr>
      <w:tr>
        <w:trPr/>
        <w:tc>
          <w:tcPr>
            <w:tcW w:w="2372" w:type="dxa"/>
            <w:tcBorders/>
            <w:vAlign w:val="center"/>
          </w:tcPr>
          <w:p>
            <w:pPr>
              <w:pStyle w:val="TableContents"/>
              <w:bidi w:val="0"/>
              <w:spacing w:before="0" w:after="283"/>
              <w:jc w:val="left"/>
              <w:rPr/>
            </w:pPr>
            <w:r>
              <w:rPr/>
              <w:t>Combined ratio</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95.2%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134.0%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126.2%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74.5%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111.0%</w:t>
            </w:r>
          </w:p>
        </w:tc>
        <w:tc>
          <w:tcPr>
            <w:tcW w:w="174" w:type="dxa"/>
            <w:tcBorders/>
            <w:vAlign w:val="center"/>
          </w:tcPr>
          <w:p>
            <w:pPr>
              <w:pStyle w:val="TableContents"/>
              <w:bidi w:val="0"/>
              <w:spacing w:before="0" w:after="283"/>
              <w:ind w:left="0" w:right="0" w:hanging="216"/>
              <w:jc w:val="left"/>
              <w:rPr/>
            </w:pPr>
            <w:r>
              <w:rPr/>
              <w:t> </w:t>
            </w:r>
          </w:p>
        </w:tc>
      </w:tr>
      <w:tr>
        <w:trPr/>
        <w:tc>
          <w:tcPr>
            <w:tcW w:w="237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ind w:left="0" w:right="0" w:hanging="216"/>
              <w:jc w:val="left"/>
              <w:rPr/>
            </w:pPr>
            <w:r>
              <w:rPr/>
              <w:t> </w:t>
            </w:r>
          </w:p>
        </w:tc>
      </w:tr>
      <w:tr>
        <w:trPr/>
        <w:tc>
          <w:tcPr>
            <w:tcW w:w="237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ind w:left="0" w:right="0" w:hanging="216"/>
              <w:jc w:val="left"/>
              <w:rPr/>
            </w:pPr>
            <w:r>
              <w:rPr/>
              <w:t> </w:t>
            </w:r>
          </w:p>
        </w:tc>
      </w:tr>
      <w:tr>
        <w:trPr/>
        <w:tc>
          <w:tcPr>
            <w:tcW w:w="2372" w:type="dxa"/>
            <w:tcBorders/>
            <w:shd w:fill="CCEEFF" w:val="clear"/>
            <w:vAlign w:val="center"/>
          </w:tcPr>
          <w:p>
            <w:pPr>
              <w:pStyle w:val="TableContents"/>
              <w:bidi w:val="0"/>
              <w:spacing w:before="0" w:after="283"/>
              <w:jc w:val="left"/>
              <w:rPr/>
            </w:pPr>
            <w:r>
              <w:rPr/>
              <w:t>Balances at September 30, 2024:</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2372" w:type="dxa"/>
            <w:tcBorders/>
            <w:vAlign w:val="center"/>
          </w:tcPr>
          <w:p>
            <w:pPr>
              <w:pStyle w:val="TableContents"/>
              <w:bidi w:val="0"/>
              <w:spacing w:before="0" w:after="283"/>
              <w:jc w:val="left"/>
              <w:rPr/>
            </w:pPr>
            <w:r>
              <w:rPr/>
              <w:t>Premiums and agents’ balances receivable</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990" w:type="dxa"/>
            <w:tcBorders/>
            <w:vAlign w:val="center"/>
          </w:tcPr>
          <w:p>
            <w:pPr>
              <w:pStyle w:val="TableContents"/>
              <w:bidi w:val="0"/>
              <w:spacing w:before="0" w:after="283"/>
              <w:jc w:val="right"/>
              <w:rPr/>
            </w:pPr>
            <w:r>
              <w:rPr/>
              <w:t>26,863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w:t>
            </w:r>
          </w:p>
        </w:tc>
        <w:tc>
          <w:tcPr>
            <w:tcW w:w="1240" w:type="dxa"/>
            <w:tcBorders/>
            <w:vAlign w:val="center"/>
          </w:tcPr>
          <w:p>
            <w:pPr>
              <w:pStyle w:val="TableContents"/>
              <w:bidi w:val="0"/>
              <w:spacing w:before="0" w:after="283"/>
              <w:jc w:val="right"/>
              <w:rPr/>
            </w:pPr>
            <w:r>
              <w:rPr/>
              <w:t>12,076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763" w:type="dxa"/>
            <w:tcBorders/>
            <w:vAlign w:val="center"/>
          </w:tcPr>
          <w:p>
            <w:pPr>
              <w:pStyle w:val="TableContents"/>
              <w:bidi w:val="0"/>
              <w:spacing w:before="0" w:after="283"/>
              <w:jc w:val="right"/>
              <w:rPr/>
            </w:pPr>
            <w:r>
              <w:rPr/>
              <w:t>11,043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32,751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738" w:type="dxa"/>
            <w:tcBorders/>
            <w:vAlign w:val="center"/>
          </w:tcPr>
          <w:p>
            <w:pPr>
              <w:pStyle w:val="TableContents"/>
              <w:bidi w:val="0"/>
              <w:spacing w:before="0" w:after="283"/>
              <w:jc w:val="right"/>
              <w:rPr/>
            </w:pPr>
            <w:r>
              <w:rPr/>
              <w:t>2,582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85,315</w:t>
            </w:r>
          </w:p>
        </w:tc>
        <w:tc>
          <w:tcPr>
            <w:tcW w:w="174" w:type="dxa"/>
            <w:tcBorders/>
            <w:vAlign w:val="center"/>
          </w:tcPr>
          <w:p>
            <w:pPr>
              <w:pStyle w:val="TableContents"/>
              <w:bidi w:val="0"/>
              <w:spacing w:before="0" w:after="283"/>
              <w:jc w:val="left"/>
              <w:rPr/>
            </w:pPr>
            <w:r>
              <w:rPr/>
              <w:t> </w:t>
            </w:r>
          </w:p>
        </w:tc>
      </w:tr>
      <w:tr>
        <w:trPr/>
        <w:tc>
          <w:tcPr>
            <w:tcW w:w="2372" w:type="dxa"/>
            <w:tcBorders/>
            <w:shd w:fill="CCEEFF" w:val="clear"/>
            <w:vAlign w:val="center"/>
          </w:tcPr>
          <w:p>
            <w:pPr>
              <w:pStyle w:val="TableContents"/>
              <w:bidi w:val="0"/>
              <w:spacing w:before="0" w:after="283"/>
              <w:jc w:val="left"/>
              <w:rPr/>
            </w:pPr>
            <w:r>
              <w:rPr/>
              <w:t>Deferred policy acquisition costs</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6,636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9,279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9,620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1,150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27,471</w:t>
            </w:r>
          </w:p>
        </w:tc>
        <w:tc>
          <w:tcPr>
            <w:tcW w:w="174" w:type="dxa"/>
            <w:tcBorders/>
            <w:shd w:fill="CCEEFF" w:val="clear"/>
            <w:vAlign w:val="center"/>
          </w:tcPr>
          <w:p>
            <w:pPr>
              <w:pStyle w:val="TableContents"/>
              <w:bidi w:val="0"/>
              <w:spacing w:before="0" w:after="283"/>
              <w:ind w:left="0" w:right="0" w:hanging="216"/>
              <w:jc w:val="left"/>
              <w:rPr/>
            </w:pPr>
            <w:r>
              <w:rPr/>
              <w:t> </w:t>
            </w:r>
          </w:p>
        </w:tc>
      </w:tr>
      <w:tr>
        <w:trPr/>
        <w:tc>
          <w:tcPr>
            <w:tcW w:w="2372" w:type="dxa"/>
            <w:tcBorders/>
            <w:vAlign w:val="center"/>
          </w:tcPr>
          <w:p>
            <w:pPr>
              <w:pStyle w:val="TableContents"/>
              <w:bidi w:val="0"/>
              <w:spacing w:before="0" w:after="283"/>
              <w:jc w:val="left"/>
              <w:rPr/>
            </w:pPr>
            <w:r>
              <w:rPr/>
              <w:t>Reinsurance recoverables on losses</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2,142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3,648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3,532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4,999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14,321</w:t>
            </w:r>
          </w:p>
        </w:tc>
        <w:tc>
          <w:tcPr>
            <w:tcW w:w="174" w:type="dxa"/>
            <w:tcBorders/>
            <w:vAlign w:val="center"/>
          </w:tcPr>
          <w:p>
            <w:pPr>
              <w:pStyle w:val="TableContents"/>
              <w:bidi w:val="0"/>
              <w:spacing w:before="0" w:after="283"/>
              <w:ind w:left="0" w:right="0" w:firstLine="18"/>
              <w:jc w:val="left"/>
              <w:rPr/>
            </w:pPr>
            <w:r>
              <w:rPr/>
              <w:t> </w:t>
            </w:r>
          </w:p>
        </w:tc>
      </w:tr>
      <w:tr>
        <w:trPr/>
        <w:tc>
          <w:tcPr>
            <w:tcW w:w="2372" w:type="dxa"/>
            <w:tcBorders/>
            <w:shd w:fill="CCEEFF" w:val="clear"/>
            <w:vAlign w:val="center"/>
          </w:tcPr>
          <w:p>
            <w:pPr>
              <w:pStyle w:val="TableContents"/>
              <w:bidi w:val="0"/>
              <w:spacing w:before="0" w:after="283"/>
              <w:jc w:val="left"/>
              <w:rPr/>
            </w:pPr>
            <w:r>
              <w:rPr/>
              <w:t>Receivable from Federal Crop Insurance Corporation</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19,605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19,605</w:t>
            </w:r>
          </w:p>
        </w:tc>
        <w:tc>
          <w:tcPr>
            <w:tcW w:w="174" w:type="dxa"/>
            <w:tcBorders/>
            <w:shd w:fill="CCEEFF" w:val="clear"/>
            <w:vAlign w:val="center"/>
          </w:tcPr>
          <w:p>
            <w:pPr>
              <w:pStyle w:val="TableContents"/>
              <w:bidi w:val="0"/>
              <w:spacing w:before="0" w:after="283"/>
              <w:jc w:val="left"/>
              <w:rPr/>
            </w:pPr>
            <w:r>
              <w:rPr/>
              <w:t> </w:t>
            </w:r>
          </w:p>
        </w:tc>
      </w:tr>
      <w:tr>
        <w:trPr/>
        <w:tc>
          <w:tcPr>
            <w:tcW w:w="2372" w:type="dxa"/>
            <w:tcBorders/>
            <w:vAlign w:val="center"/>
          </w:tcPr>
          <w:p>
            <w:pPr>
              <w:pStyle w:val="TableContents"/>
              <w:bidi w:val="0"/>
              <w:spacing w:before="0" w:after="283"/>
              <w:jc w:val="left"/>
              <w:rPr/>
            </w:pPr>
            <w:r>
              <w:rPr/>
              <w:t>Goodwill and other intangibles</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2,728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2,728</w:t>
            </w:r>
          </w:p>
        </w:tc>
        <w:tc>
          <w:tcPr>
            <w:tcW w:w="174" w:type="dxa"/>
            <w:tcBorders/>
            <w:vAlign w:val="center"/>
          </w:tcPr>
          <w:p>
            <w:pPr>
              <w:pStyle w:val="TableContents"/>
              <w:bidi w:val="0"/>
              <w:spacing w:before="0" w:after="283"/>
              <w:ind w:left="0" w:right="0" w:firstLine="18"/>
              <w:jc w:val="left"/>
              <w:rPr/>
            </w:pPr>
            <w:r>
              <w:rPr/>
              <w:t> </w:t>
            </w:r>
          </w:p>
        </w:tc>
      </w:tr>
      <w:tr>
        <w:trPr/>
        <w:tc>
          <w:tcPr>
            <w:tcW w:w="2372" w:type="dxa"/>
            <w:tcBorders/>
            <w:shd w:fill="CCEEFF" w:val="clear"/>
            <w:vAlign w:val="center"/>
          </w:tcPr>
          <w:p>
            <w:pPr>
              <w:pStyle w:val="TableContents"/>
              <w:bidi w:val="0"/>
              <w:spacing w:before="0" w:after="283"/>
              <w:jc w:val="left"/>
              <w:rPr/>
            </w:pPr>
            <w:r>
              <w:rPr/>
              <w:t>Unpaid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34,777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73,447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23,947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16,493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10,405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159,069</w:t>
            </w:r>
          </w:p>
        </w:tc>
        <w:tc>
          <w:tcPr>
            <w:tcW w:w="174" w:type="dxa"/>
            <w:tcBorders/>
            <w:shd w:fill="CCEEFF" w:val="clear"/>
            <w:vAlign w:val="center"/>
          </w:tcPr>
          <w:p>
            <w:pPr>
              <w:pStyle w:val="TableContents"/>
              <w:bidi w:val="0"/>
              <w:spacing w:before="0" w:after="283"/>
              <w:ind w:left="0" w:right="0" w:hanging="216"/>
              <w:jc w:val="left"/>
              <w:rPr/>
            </w:pPr>
            <w:r>
              <w:rPr/>
              <w:t> </w:t>
            </w:r>
          </w:p>
        </w:tc>
      </w:tr>
      <w:tr>
        <w:trPr/>
        <w:tc>
          <w:tcPr>
            <w:tcW w:w="2372" w:type="dxa"/>
            <w:tcBorders/>
            <w:vAlign w:val="center"/>
          </w:tcPr>
          <w:p>
            <w:pPr>
              <w:pStyle w:val="TableContents"/>
              <w:bidi w:val="0"/>
              <w:spacing w:before="0" w:after="283"/>
              <w:jc w:val="left"/>
              <w:rPr/>
            </w:pPr>
            <w:r>
              <w:rPr/>
              <w:t>Unearned premiums</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38,309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28,725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54,409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8,614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6,823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136,880</w:t>
            </w:r>
          </w:p>
        </w:tc>
        <w:tc>
          <w:tcPr>
            <w:tcW w:w="17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Other underwriting and general expenses for each segment include expenses related to compensation, vendor services, and other administrative items.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6"/>
        <w:gridCol w:w="90"/>
        <w:gridCol w:w="238"/>
        <w:gridCol w:w="999"/>
        <w:gridCol w:w="125"/>
        <w:gridCol w:w="90"/>
        <w:gridCol w:w="270"/>
        <w:gridCol w:w="1250"/>
        <w:gridCol w:w="125"/>
        <w:gridCol w:w="90"/>
        <w:gridCol w:w="177"/>
        <w:gridCol w:w="820"/>
        <w:gridCol w:w="125"/>
        <w:gridCol w:w="90"/>
        <w:gridCol w:w="170"/>
        <w:gridCol w:w="710"/>
        <w:gridCol w:w="125"/>
        <w:gridCol w:w="90"/>
        <w:gridCol w:w="177"/>
        <w:gridCol w:w="740"/>
        <w:gridCol w:w="125"/>
        <w:gridCol w:w="90"/>
        <w:gridCol w:w="170"/>
        <w:gridCol w:w="830"/>
        <w:gridCol w:w="173"/>
      </w:tblGrid>
      <w:tr>
        <w:trPr/>
        <w:tc>
          <w:tcPr>
            <w:tcW w:w="23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26"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 2025</w:t>
            </w:r>
          </w:p>
        </w:tc>
        <w:tc>
          <w:tcPr>
            <w:tcW w:w="173" w:type="dxa"/>
            <w:tcBorders/>
            <w:vAlign w:val="center"/>
          </w:tcPr>
          <w:p>
            <w:pPr>
              <w:pStyle w:val="TableContents"/>
              <w:bidi w:val="0"/>
              <w:spacing w:before="0" w:after="283"/>
              <w:jc w:val="left"/>
              <w:rPr/>
            </w:pPr>
            <w:r>
              <w:rPr/>
              <w:t> </w:t>
            </w:r>
          </w:p>
        </w:tc>
      </w:tr>
      <w:tr>
        <w:trPr/>
        <w:tc>
          <w:tcPr>
            <w:tcW w:w="23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Private </w:t>
              <w:br/>
              <w:t>Passenger Auto</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Non-Standard</w:t>
              <w:br/>
              <w:t>Auto</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Home and</w:t>
              <w:br/>
              <w:t>Farm</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Crop</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73" w:type="dxa"/>
            <w:tcBorders/>
            <w:vAlign w:val="center"/>
          </w:tcPr>
          <w:p>
            <w:pPr>
              <w:pStyle w:val="TableContents"/>
              <w:bidi w:val="0"/>
              <w:spacing w:before="0" w:after="283"/>
              <w:jc w:val="left"/>
              <w:rPr/>
            </w:pPr>
            <w:r>
              <w:rPr/>
              <w:t> </w:t>
            </w:r>
          </w:p>
        </w:tc>
      </w:tr>
      <w:tr>
        <w:trPr/>
        <w:tc>
          <w:tcPr>
            <w:tcW w:w="2316" w:type="dxa"/>
            <w:tcBorders/>
            <w:shd w:fill="CCEEFF" w:val="clear"/>
            <w:vAlign w:val="center"/>
          </w:tcPr>
          <w:p>
            <w:pPr>
              <w:pStyle w:val="TableContents"/>
              <w:bidi w:val="0"/>
              <w:spacing w:before="0" w:after="283"/>
              <w:jc w:val="left"/>
              <w:rPr/>
            </w:pPr>
            <w:r>
              <w:rPr/>
              <w:t>Direct premiums earned</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jc w:val="right"/>
              <w:rPr/>
            </w:pPr>
            <w:r>
              <w:rPr/>
              <w:t>72,238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43,678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82,400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26,803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11,404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236,523</w:t>
            </w:r>
          </w:p>
        </w:tc>
        <w:tc>
          <w:tcPr>
            <w:tcW w:w="173" w:type="dxa"/>
            <w:tcBorders/>
            <w:shd w:fill="CCEEFF" w:val="clear"/>
            <w:vAlign w:val="center"/>
          </w:tcPr>
          <w:p>
            <w:pPr>
              <w:pStyle w:val="TableContents"/>
              <w:bidi w:val="0"/>
              <w:spacing w:before="0" w:after="283"/>
              <w:jc w:val="left"/>
              <w:rPr/>
            </w:pPr>
            <w:r>
              <w:rPr/>
              <w:t> </w:t>
            </w:r>
          </w:p>
        </w:tc>
      </w:tr>
      <w:tr>
        <w:trPr/>
        <w:tc>
          <w:tcPr>
            <w:tcW w:w="2316" w:type="dxa"/>
            <w:tcBorders/>
            <w:vAlign w:val="center"/>
          </w:tcPr>
          <w:p>
            <w:pPr>
              <w:pStyle w:val="TableContents"/>
              <w:bidi w:val="0"/>
              <w:spacing w:before="0" w:after="283"/>
              <w:jc w:val="left"/>
              <w:rPr/>
            </w:pPr>
            <w:r>
              <w:rPr/>
              <w:t>Assumed premiums earned</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2,140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336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2,476</w:t>
            </w:r>
          </w:p>
        </w:tc>
        <w:tc>
          <w:tcPr>
            <w:tcW w:w="173" w:type="dxa"/>
            <w:tcBorders/>
            <w:vAlign w:val="center"/>
          </w:tcPr>
          <w:p>
            <w:pPr>
              <w:pStyle w:val="TableContents"/>
              <w:bidi w:val="0"/>
              <w:spacing w:before="0" w:after="283"/>
              <w:jc w:val="left"/>
              <w:rPr/>
            </w:pPr>
            <w:r>
              <w:rPr/>
              <w:t> </w:t>
            </w:r>
          </w:p>
        </w:tc>
      </w:tr>
      <w:tr>
        <w:trPr/>
        <w:tc>
          <w:tcPr>
            <w:tcW w:w="2316" w:type="dxa"/>
            <w:tcBorders/>
            <w:shd w:fill="CCEEFF" w:val="clear"/>
            <w:vAlign w:val="center"/>
          </w:tcPr>
          <w:p>
            <w:pPr>
              <w:pStyle w:val="TableContents"/>
              <w:bidi w:val="0"/>
              <w:spacing w:before="0" w:after="283"/>
              <w:jc w:val="left"/>
              <w:rPr/>
            </w:pPr>
            <w:r>
              <w:rPr/>
              <w:t>Ceded premiums earned</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pPr>
            <w:r>
              <w:rPr/>
              <w:t>(3,451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(61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(13,727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(8,246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(1,107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(26,592</w:t>
            </w:r>
          </w:p>
        </w:tc>
        <w:tc>
          <w:tcPr>
            <w:tcW w:w="173" w:type="dxa"/>
            <w:tcBorders/>
            <w:shd w:fill="CCEEFF" w:val="clear"/>
            <w:vAlign w:val="center"/>
          </w:tcPr>
          <w:p>
            <w:pPr>
              <w:pStyle w:val="TableContents"/>
              <w:bidi w:val="0"/>
              <w:spacing w:before="0" w:after="283"/>
              <w:jc w:val="left"/>
              <w:rPr/>
            </w:pPr>
            <w:r>
              <w:rPr/>
              <w:t>)</w:t>
            </w:r>
          </w:p>
        </w:tc>
      </w:tr>
      <w:tr>
        <w:trPr/>
        <w:tc>
          <w:tcPr>
            <w:tcW w:w="2316" w:type="dxa"/>
            <w:tcBorders/>
            <w:vAlign w:val="center"/>
          </w:tcPr>
          <w:p>
            <w:pPr>
              <w:pStyle w:val="TableContents"/>
              <w:bidi w:val="0"/>
              <w:spacing w:before="0" w:after="283"/>
              <w:jc w:val="left"/>
              <w:rPr/>
            </w:pPr>
            <w:r>
              <w:rPr/>
              <w:t>Net premiums earned</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68,787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43,617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68,673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20,697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10,633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212,407</w:t>
            </w:r>
          </w:p>
        </w:tc>
        <w:tc>
          <w:tcPr>
            <w:tcW w:w="173" w:type="dxa"/>
            <w:tcBorders/>
            <w:vAlign w:val="center"/>
          </w:tcPr>
          <w:p>
            <w:pPr>
              <w:pStyle w:val="TableContents"/>
              <w:bidi w:val="0"/>
              <w:spacing w:before="0" w:after="283"/>
              <w:jc w:val="left"/>
              <w:rPr/>
            </w:pPr>
            <w:r>
              <w:rPr/>
              <w:t> </w:t>
            </w:r>
          </w:p>
        </w:tc>
      </w:tr>
      <w:tr>
        <w:trPr/>
        <w:tc>
          <w:tcPr>
            <w:tcW w:w="231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2316" w:type="dxa"/>
            <w:tcBorders/>
            <w:vAlign w:val="center"/>
          </w:tcPr>
          <w:p>
            <w:pPr>
              <w:pStyle w:val="TableContents"/>
              <w:bidi w:val="0"/>
              <w:spacing w:before="0" w:after="283"/>
              <w:jc w:val="left"/>
              <w:rPr/>
            </w:pPr>
            <w:r>
              <w:rPr/>
              <w:t>Direct losses and loss adjustment expenses</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43,779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46,777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90,886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17,429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8,718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207,589</w:t>
            </w:r>
          </w:p>
        </w:tc>
        <w:tc>
          <w:tcPr>
            <w:tcW w:w="173" w:type="dxa"/>
            <w:tcBorders/>
            <w:vAlign w:val="center"/>
          </w:tcPr>
          <w:p>
            <w:pPr>
              <w:pStyle w:val="TableContents"/>
              <w:bidi w:val="0"/>
              <w:spacing w:before="0" w:after="283"/>
              <w:jc w:val="left"/>
              <w:rPr/>
            </w:pPr>
            <w:r>
              <w:rPr/>
              <w:t> </w:t>
            </w:r>
          </w:p>
        </w:tc>
      </w:tr>
      <w:tr>
        <w:trPr/>
        <w:tc>
          <w:tcPr>
            <w:tcW w:w="2316" w:type="dxa"/>
            <w:tcBorders/>
            <w:shd w:fill="CCEEFF" w:val="clear"/>
            <w:vAlign w:val="center"/>
          </w:tcPr>
          <w:p>
            <w:pPr>
              <w:pStyle w:val="TableContents"/>
              <w:bidi w:val="0"/>
              <w:spacing w:before="0" w:after="283"/>
              <w:jc w:val="left"/>
              <w:rPr/>
            </w:pPr>
            <w:r>
              <w:rPr/>
              <w:t>Assumed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903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574</w:t>
            </w:r>
          </w:p>
        </w:tc>
        <w:tc>
          <w:tcPr>
            <w:tcW w:w="173" w:type="dxa"/>
            <w:tcBorders/>
            <w:shd w:fill="CCEEFF" w:val="clear"/>
            <w:vAlign w:val="center"/>
          </w:tcPr>
          <w:p>
            <w:pPr>
              <w:pStyle w:val="TableContents"/>
              <w:bidi w:val="0"/>
              <w:spacing w:before="0" w:after="283"/>
              <w:jc w:val="left"/>
              <w:rPr/>
            </w:pPr>
            <w:r>
              <w:rPr/>
              <w:t> </w:t>
            </w:r>
          </w:p>
        </w:tc>
      </w:tr>
      <w:tr>
        <w:trPr/>
        <w:tc>
          <w:tcPr>
            <w:tcW w:w="2316" w:type="dxa"/>
            <w:tcBorders/>
            <w:vAlign w:val="center"/>
          </w:tcPr>
          <w:p>
            <w:pPr>
              <w:pStyle w:val="TableContents"/>
              <w:bidi w:val="0"/>
              <w:spacing w:before="0" w:after="283"/>
              <w:jc w:val="left"/>
              <w:rPr/>
            </w:pPr>
            <w:r>
              <w:rPr/>
              <w:t>Ceded losses and loss adjustment expenses</w:t>
            </w:r>
          </w:p>
        </w:tc>
        <w:tc>
          <w:tcPr>
            <w:tcW w:w="90" w:type="dxa"/>
            <w:tcBorders/>
            <w:vAlign w:val="center"/>
          </w:tcPr>
          <w:p>
            <w:pPr>
              <w:pStyle w:val="TableContents"/>
              <w:bidi w:val="0"/>
              <w:spacing w:before="0" w:after="283"/>
              <w:jc w:val="left"/>
              <w:rPr/>
            </w:pPr>
            <w:r>
              <w:rPr/>
              <w:t> </w:t>
            </w:r>
          </w:p>
        </w:tc>
        <w:tc>
          <w:tcPr>
            <w:tcW w:w="238" w:type="dxa"/>
            <w:tcBorders>
              <w:bottom w:val="single" w:sz="8" w:space="0" w:color="000000"/>
            </w:tcBorders>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tcMar>
              <w:bottom w:w="28" w:type="dxa"/>
            </w:tcMar>
            <w:vAlign w:val="center"/>
          </w:tcPr>
          <w:p>
            <w:pPr>
              <w:pStyle w:val="TableContents"/>
              <w:bidi w:val="0"/>
              <w:spacing w:before="0" w:after="283"/>
              <w:jc w:val="right"/>
              <w:rPr/>
            </w:pPr>
            <w:r>
              <w:rPr/>
              <w:t>(2,470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tcMar>
              <w:bottom w:w="28" w:type="dxa"/>
            </w:tcMar>
            <w:vAlign w:val="center"/>
          </w:tcPr>
          <w:p>
            <w:pPr>
              <w:pStyle w:val="TableContents"/>
              <w:bidi w:val="0"/>
              <w:spacing w:before="0" w:after="283"/>
              <w:jc w:val="right"/>
              <w:rPr/>
            </w:pPr>
            <w:r>
              <w:rPr/>
              <w:t>(35,531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(5,026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right"/>
              <w:rPr/>
            </w:pPr>
            <w:r>
              <w:rPr/>
              <w:t>(3,807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(46,834</w:t>
            </w:r>
          </w:p>
        </w:tc>
        <w:tc>
          <w:tcPr>
            <w:tcW w:w="173" w:type="dxa"/>
            <w:tcBorders/>
            <w:vAlign w:val="center"/>
          </w:tcPr>
          <w:p>
            <w:pPr>
              <w:pStyle w:val="TableContents"/>
              <w:bidi w:val="0"/>
              <w:spacing w:before="0" w:after="283"/>
              <w:jc w:val="left"/>
              <w:rPr/>
            </w:pPr>
            <w:r>
              <w:rPr/>
              <w:t>)</w:t>
            </w:r>
          </w:p>
        </w:tc>
      </w:tr>
      <w:tr>
        <w:trPr/>
        <w:tc>
          <w:tcPr>
            <w:tcW w:w="2316" w:type="dxa"/>
            <w:tcBorders/>
            <w:shd w:fill="CCEEFF" w:val="clear"/>
            <w:vAlign w:val="center"/>
          </w:tcPr>
          <w:p>
            <w:pPr>
              <w:pStyle w:val="TableContents"/>
              <w:bidi w:val="0"/>
              <w:spacing w:before="0" w:after="283"/>
              <w:jc w:val="left"/>
              <w:rPr/>
            </w:pPr>
            <w:r>
              <w:rPr/>
              <w:t>Net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41,309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46,777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55,355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13,306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4,582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161,329</w:t>
            </w:r>
          </w:p>
        </w:tc>
        <w:tc>
          <w:tcPr>
            <w:tcW w:w="173" w:type="dxa"/>
            <w:tcBorders/>
            <w:shd w:fill="CCEEFF" w:val="clear"/>
            <w:vAlign w:val="center"/>
          </w:tcPr>
          <w:p>
            <w:pPr>
              <w:pStyle w:val="TableContents"/>
              <w:bidi w:val="0"/>
              <w:spacing w:before="0" w:after="283"/>
              <w:jc w:val="left"/>
              <w:rPr/>
            </w:pPr>
            <w:r>
              <w:rPr/>
              <w:t> </w:t>
            </w:r>
          </w:p>
        </w:tc>
      </w:tr>
      <w:tr>
        <w:trPr/>
        <w:tc>
          <w:tcPr>
            <w:tcW w:w="23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bottom w:val="single" w:sz="8" w:space="0" w:color="000000"/>
            </w:tcBorders>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2316" w:type="dxa"/>
            <w:tcBorders/>
            <w:shd w:fill="CCEEFF" w:val="clear"/>
            <w:vAlign w:val="center"/>
          </w:tcPr>
          <w:p>
            <w:pPr>
              <w:pStyle w:val="TableContents"/>
              <w:bidi w:val="0"/>
              <w:spacing w:before="0" w:after="283"/>
              <w:jc w:val="left"/>
              <w:rPr/>
            </w:pPr>
            <w:r>
              <w:rPr/>
              <w:t>Gross margin</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pPr>
            <w:r>
              <w:rPr/>
              <w:t>27,478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(3,160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13,318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7,391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6,051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51,078</w:t>
            </w:r>
          </w:p>
        </w:tc>
        <w:tc>
          <w:tcPr>
            <w:tcW w:w="173" w:type="dxa"/>
            <w:tcBorders/>
            <w:shd w:fill="CCEEFF" w:val="clear"/>
            <w:vAlign w:val="center"/>
          </w:tcPr>
          <w:p>
            <w:pPr>
              <w:pStyle w:val="TableContents"/>
              <w:bidi w:val="0"/>
              <w:spacing w:before="0" w:after="283"/>
              <w:jc w:val="left"/>
              <w:rPr/>
            </w:pPr>
            <w:r>
              <w:rPr/>
              <w:t> </w:t>
            </w:r>
          </w:p>
        </w:tc>
      </w:tr>
      <w:tr>
        <w:trPr/>
        <w:tc>
          <w:tcPr>
            <w:tcW w:w="23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2316" w:type="dxa"/>
            <w:tcBorders/>
            <w:shd w:fill="CCEEFF" w:val="clear"/>
            <w:vAlign w:val="center"/>
          </w:tcPr>
          <w:p>
            <w:pPr>
              <w:pStyle w:val="TableContents"/>
              <w:bidi w:val="0"/>
              <w:spacing w:before="0" w:after="283"/>
              <w:jc w:val="left"/>
              <w:rPr/>
            </w:pPr>
            <w:r>
              <w:rPr/>
              <w:t>Amortization of deferred policy acquisition costs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13,342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13,642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15,110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2,469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2,064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46,627</w:t>
            </w:r>
          </w:p>
        </w:tc>
        <w:tc>
          <w:tcPr>
            <w:tcW w:w="173" w:type="dxa"/>
            <w:tcBorders/>
            <w:shd w:fill="CCEEFF" w:val="clear"/>
            <w:vAlign w:val="center"/>
          </w:tcPr>
          <w:p>
            <w:pPr>
              <w:pStyle w:val="TableContents"/>
              <w:bidi w:val="0"/>
              <w:spacing w:before="0" w:after="283"/>
              <w:jc w:val="left"/>
              <w:rPr/>
            </w:pPr>
            <w:r>
              <w:rPr/>
              <w:t> </w:t>
            </w:r>
          </w:p>
        </w:tc>
      </w:tr>
      <w:tr>
        <w:trPr/>
        <w:tc>
          <w:tcPr>
            <w:tcW w:w="2316" w:type="dxa"/>
            <w:tcBorders/>
            <w:vAlign w:val="center"/>
          </w:tcPr>
          <w:p>
            <w:pPr>
              <w:pStyle w:val="TableContents"/>
              <w:bidi w:val="0"/>
              <w:spacing w:before="0" w:after="283"/>
              <w:jc w:val="left"/>
              <w:rPr>
                <w:sz w:val="20"/>
              </w:rPr>
            </w:pPr>
            <w:r>
              <w:rPr>
                <w:sz w:val="20"/>
              </w:rPr>
              <w:t xml:space="preserve">Other underwriting and general expenses </w:t>
            </w:r>
            <w:r>
              <w:rPr>
                <w:position w:val="7"/>
                <w:sz w:val="16"/>
                <w:sz w:val="20"/>
              </w:rPr>
              <w:t>(1)</w:t>
            </w:r>
          </w:p>
        </w:tc>
        <w:tc>
          <w:tcPr>
            <w:tcW w:w="90" w:type="dxa"/>
            <w:tcBorders/>
            <w:vAlign w:val="center"/>
          </w:tcPr>
          <w:p>
            <w:pPr>
              <w:pStyle w:val="TableContents"/>
              <w:bidi w:val="0"/>
              <w:spacing w:before="0" w:after="283"/>
              <w:jc w:val="left"/>
              <w:rPr/>
            </w:pPr>
            <w:r>
              <w:rPr/>
              <w:t> </w:t>
            </w:r>
          </w:p>
        </w:tc>
        <w:tc>
          <w:tcPr>
            <w:tcW w:w="238" w:type="dxa"/>
            <w:tcBorders>
              <w:bottom w:val="single" w:sz="8" w:space="0" w:color="000000"/>
            </w:tcBorders>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tcMar>
              <w:bottom w:w="28" w:type="dxa"/>
            </w:tcMar>
            <w:vAlign w:val="center"/>
          </w:tcPr>
          <w:p>
            <w:pPr>
              <w:pStyle w:val="TableContents"/>
              <w:bidi w:val="0"/>
              <w:spacing w:before="0" w:after="283"/>
              <w:jc w:val="right"/>
              <w:rPr/>
            </w:pPr>
            <w:r>
              <w:rPr/>
              <w:t>7,992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pPr>
            <w:r>
              <w:rPr/>
              <w:t>6,026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tcMar>
              <w:bottom w:w="28" w:type="dxa"/>
            </w:tcMar>
            <w:vAlign w:val="center"/>
          </w:tcPr>
          <w:p>
            <w:pPr>
              <w:pStyle w:val="TableContents"/>
              <w:bidi w:val="0"/>
              <w:spacing w:before="0" w:after="283"/>
              <w:jc w:val="right"/>
              <w:rPr/>
            </w:pPr>
            <w:r>
              <w:rPr/>
              <w:t>9,022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909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right"/>
              <w:rPr/>
            </w:pPr>
            <w:r>
              <w:rPr/>
              <w:t>1,587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25,536</w:t>
            </w:r>
          </w:p>
        </w:tc>
        <w:tc>
          <w:tcPr>
            <w:tcW w:w="173" w:type="dxa"/>
            <w:tcBorders/>
            <w:vAlign w:val="center"/>
          </w:tcPr>
          <w:p>
            <w:pPr>
              <w:pStyle w:val="TableContents"/>
              <w:bidi w:val="0"/>
              <w:spacing w:before="0" w:after="283"/>
              <w:jc w:val="left"/>
              <w:rPr/>
            </w:pPr>
            <w:r>
              <w:rPr/>
              <w:t> </w:t>
            </w:r>
          </w:p>
        </w:tc>
      </w:tr>
      <w:tr>
        <w:trPr/>
        <w:tc>
          <w:tcPr>
            <w:tcW w:w="2316" w:type="dxa"/>
            <w:tcBorders/>
            <w:shd w:fill="CCEEFF" w:val="clear"/>
            <w:vAlign w:val="center"/>
          </w:tcPr>
          <w:p>
            <w:pPr>
              <w:pStyle w:val="TableContents"/>
              <w:bidi w:val="0"/>
              <w:spacing w:before="0" w:after="283"/>
              <w:jc w:val="left"/>
              <w:rPr/>
            </w:pPr>
            <w:r>
              <w:rPr/>
              <w:t>Underwriting and general expenses</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pPr>
            <w:r>
              <w:rPr/>
              <w:t>21,334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19,668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24,132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3,378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3,651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72,163</w:t>
            </w:r>
          </w:p>
        </w:tc>
        <w:tc>
          <w:tcPr>
            <w:tcW w:w="173" w:type="dxa"/>
            <w:tcBorders/>
            <w:shd w:fill="CCEEFF" w:val="clear"/>
            <w:vAlign w:val="center"/>
          </w:tcPr>
          <w:p>
            <w:pPr>
              <w:pStyle w:val="TableContents"/>
              <w:bidi w:val="0"/>
              <w:spacing w:before="0" w:after="283"/>
              <w:jc w:val="left"/>
              <w:rPr/>
            </w:pPr>
            <w:r>
              <w:rPr/>
              <w:t> </w:t>
            </w:r>
          </w:p>
        </w:tc>
      </w:tr>
      <w:tr>
        <w:trPr/>
        <w:tc>
          <w:tcPr>
            <w:tcW w:w="2316" w:type="dxa"/>
            <w:tcBorders/>
            <w:vAlign w:val="center"/>
          </w:tcPr>
          <w:p>
            <w:pPr>
              <w:pStyle w:val="TableContents"/>
              <w:bidi w:val="0"/>
              <w:spacing w:before="0" w:after="283"/>
              <w:jc w:val="left"/>
              <w:rPr/>
            </w:pPr>
            <w:r>
              <w:rPr/>
              <w:t>Underwriting gain (loss)</w:t>
            </w:r>
          </w:p>
        </w:tc>
        <w:tc>
          <w:tcPr>
            <w:tcW w:w="90" w:type="dxa"/>
            <w:tcBorders/>
            <w:vAlign w:val="center"/>
          </w:tcPr>
          <w:p>
            <w:pPr>
              <w:pStyle w:val="TableContents"/>
              <w:bidi w:val="0"/>
              <w:spacing w:before="0" w:after="283"/>
              <w:jc w:val="left"/>
              <w:rPr/>
            </w:pPr>
            <w:r>
              <w:rPr/>
              <w:t> </w:t>
            </w:r>
          </w:p>
        </w:tc>
        <w:tc>
          <w:tcPr>
            <w:tcW w:w="238" w:type="dxa"/>
            <w:tcBorders>
              <w:bottom w:val="single" w:sz="8" w:space="0" w:color="000000"/>
            </w:tcBorders>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tcMar>
              <w:bottom w:w="28" w:type="dxa"/>
            </w:tcMar>
            <w:vAlign w:val="center"/>
          </w:tcPr>
          <w:p>
            <w:pPr>
              <w:pStyle w:val="TableContents"/>
              <w:bidi w:val="0"/>
              <w:spacing w:before="0" w:after="283"/>
              <w:jc w:val="right"/>
              <w:rPr/>
            </w:pPr>
            <w:r>
              <w:rPr/>
              <w:t>6,144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pPr>
            <w:r>
              <w:rPr/>
              <w:t>(22,828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tcMar>
              <w:bottom w:w="28" w:type="dxa"/>
            </w:tcMar>
            <w:vAlign w:val="center"/>
          </w:tcPr>
          <w:p>
            <w:pPr>
              <w:pStyle w:val="TableContents"/>
              <w:bidi w:val="0"/>
              <w:spacing w:before="0" w:after="283"/>
              <w:jc w:val="right"/>
              <w:rPr/>
            </w:pPr>
            <w:r>
              <w:rPr/>
              <w:t>(10,814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4,013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right"/>
              <w:rPr/>
            </w:pPr>
            <w:r>
              <w:rPr/>
              <w:t>2,400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(21,085</w:t>
            </w:r>
          </w:p>
        </w:tc>
        <w:tc>
          <w:tcPr>
            <w:tcW w:w="173" w:type="dxa"/>
            <w:tcBorders/>
            <w:vAlign w:val="center"/>
          </w:tcPr>
          <w:p>
            <w:pPr>
              <w:pStyle w:val="TableContents"/>
              <w:bidi w:val="0"/>
              <w:spacing w:before="0" w:after="283"/>
              <w:jc w:val="left"/>
              <w:rPr/>
            </w:pPr>
            <w:r>
              <w:rPr/>
              <w:t>)</w:t>
            </w:r>
          </w:p>
        </w:tc>
      </w:tr>
      <w:tr>
        <w:trPr/>
        <w:tc>
          <w:tcPr>
            <w:tcW w:w="231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2316" w:type="dxa"/>
            <w:tcBorders/>
            <w:vAlign w:val="center"/>
          </w:tcPr>
          <w:p>
            <w:pPr>
              <w:pStyle w:val="TableContents"/>
              <w:bidi w:val="0"/>
              <w:spacing w:before="0" w:after="283"/>
              <w:jc w:val="left"/>
              <w:rPr/>
            </w:pPr>
            <w:r>
              <w:rPr/>
              <w:t>Fee and other income</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807</w:t>
            </w:r>
          </w:p>
        </w:tc>
        <w:tc>
          <w:tcPr>
            <w:tcW w:w="173" w:type="dxa"/>
            <w:tcBorders/>
            <w:vAlign w:val="center"/>
          </w:tcPr>
          <w:p>
            <w:pPr>
              <w:pStyle w:val="TableContents"/>
              <w:bidi w:val="0"/>
              <w:spacing w:before="0" w:after="283"/>
              <w:jc w:val="left"/>
              <w:rPr/>
            </w:pPr>
            <w:r>
              <w:rPr/>
              <w:t> </w:t>
            </w:r>
          </w:p>
        </w:tc>
      </w:tr>
      <w:tr>
        <w:trPr/>
        <w:tc>
          <w:tcPr>
            <w:tcW w:w="2316" w:type="dxa"/>
            <w:tcBorders/>
            <w:shd w:fill="CCEEFF" w:val="clear"/>
            <w:vAlign w:val="center"/>
          </w:tcPr>
          <w:p>
            <w:pPr>
              <w:pStyle w:val="TableContents"/>
              <w:bidi w:val="0"/>
              <w:spacing w:before="0" w:after="283"/>
              <w:jc w:val="left"/>
              <w:rPr/>
            </w:pPr>
            <w:r>
              <w:rPr/>
              <w:t>Net investment income</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9,024</w:t>
            </w:r>
          </w:p>
        </w:tc>
        <w:tc>
          <w:tcPr>
            <w:tcW w:w="173" w:type="dxa"/>
            <w:tcBorders/>
            <w:shd w:fill="CCEEFF" w:val="clear"/>
            <w:vAlign w:val="center"/>
          </w:tcPr>
          <w:p>
            <w:pPr>
              <w:pStyle w:val="TableContents"/>
              <w:bidi w:val="0"/>
              <w:spacing w:before="0" w:after="283"/>
              <w:jc w:val="left"/>
              <w:rPr/>
            </w:pPr>
            <w:r>
              <w:rPr/>
              <w:t> </w:t>
            </w:r>
          </w:p>
        </w:tc>
      </w:tr>
      <w:tr>
        <w:trPr/>
        <w:tc>
          <w:tcPr>
            <w:tcW w:w="2316" w:type="dxa"/>
            <w:tcBorders/>
            <w:vAlign w:val="center"/>
          </w:tcPr>
          <w:p>
            <w:pPr>
              <w:pStyle w:val="TableContents"/>
              <w:bidi w:val="0"/>
              <w:spacing w:before="0" w:after="283"/>
              <w:jc w:val="left"/>
              <w:rPr/>
            </w:pPr>
            <w:r>
              <w:rPr/>
              <w:t>Net investment gains</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1,821</w:t>
            </w:r>
          </w:p>
        </w:tc>
        <w:tc>
          <w:tcPr>
            <w:tcW w:w="173" w:type="dxa"/>
            <w:tcBorders/>
            <w:vAlign w:val="center"/>
          </w:tcPr>
          <w:p>
            <w:pPr>
              <w:pStyle w:val="TableContents"/>
              <w:bidi w:val="0"/>
              <w:spacing w:before="0" w:after="283"/>
              <w:jc w:val="left"/>
              <w:rPr/>
            </w:pPr>
            <w:r>
              <w:rPr/>
              <w:t> </w:t>
            </w:r>
          </w:p>
        </w:tc>
      </w:tr>
      <w:tr>
        <w:trPr/>
        <w:tc>
          <w:tcPr>
            <w:tcW w:w="2316" w:type="dxa"/>
            <w:tcBorders/>
            <w:shd w:fill="CCEEFF" w:val="clear"/>
            <w:vAlign w:val="center"/>
          </w:tcPr>
          <w:p>
            <w:pPr>
              <w:pStyle w:val="TableContents"/>
              <w:bidi w:val="0"/>
              <w:spacing w:before="0" w:after="283"/>
              <w:jc w:val="left"/>
              <w:rPr/>
            </w:pPr>
            <w:r>
              <w:rPr/>
              <w:t>Loss before income taxes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(9,433</w:t>
            </w:r>
          </w:p>
        </w:tc>
        <w:tc>
          <w:tcPr>
            <w:tcW w:w="173" w:type="dxa"/>
            <w:tcBorders/>
            <w:shd w:fill="CCEEFF" w:val="clear"/>
            <w:vAlign w:val="center"/>
          </w:tcPr>
          <w:p>
            <w:pPr>
              <w:pStyle w:val="TableContents"/>
              <w:bidi w:val="0"/>
              <w:spacing w:before="0" w:after="283"/>
              <w:jc w:val="left"/>
              <w:rPr/>
            </w:pPr>
            <w:r>
              <w:rPr/>
              <w:t>)</w:t>
            </w:r>
          </w:p>
        </w:tc>
      </w:tr>
      <w:tr>
        <w:trPr/>
        <w:tc>
          <w:tcPr>
            <w:tcW w:w="2316" w:type="dxa"/>
            <w:tcBorders/>
            <w:vAlign w:val="center"/>
          </w:tcPr>
          <w:p>
            <w:pPr>
              <w:pStyle w:val="TableContents"/>
              <w:bidi w:val="0"/>
              <w:spacing w:before="0" w:after="283"/>
              <w:jc w:val="left"/>
              <w:rPr/>
            </w:pPr>
            <w:r>
              <w:rPr/>
              <w:t>Income tax benefit</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(2,176</w:t>
            </w:r>
          </w:p>
        </w:tc>
        <w:tc>
          <w:tcPr>
            <w:tcW w:w="173" w:type="dxa"/>
            <w:tcBorders/>
            <w:vAlign w:val="center"/>
          </w:tcPr>
          <w:p>
            <w:pPr>
              <w:pStyle w:val="TableContents"/>
              <w:bidi w:val="0"/>
              <w:spacing w:before="0" w:after="283"/>
              <w:jc w:val="left"/>
              <w:rPr/>
            </w:pPr>
            <w:r>
              <w:rPr/>
              <w:t>)</w:t>
            </w:r>
          </w:p>
        </w:tc>
      </w:tr>
      <w:tr>
        <w:trPr/>
        <w:tc>
          <w:tcPr>
            <w:tcW w:w="2316"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(7,257</w:t>
            </w:r>
          </w:p>
        </w:tc>
        <w:tc>
          <w:tcPr>
            <w:tcW w:w="173" w:type="dxa"/>
            <w:tcBorders/>
            <w:shd w:fill="CCEEFF" w:val="clear"/>
            <w:vAlign w:val="center"/>
          </w:tcPr>
          <w:p>
            <w:pPr>
              <w:pStyle w:val="TableContents"/>
              <w:bidi w:val="0"/>
              <w:spacing w:before="0" w:after="283"/>
              <w:ind w:left="0" w:right="0" w:hanging="216"/>
              <w:jc w:val="left"/>
              <w:rPr/>
            </w:pPr>
            <w:r>
              <w:rPr/>
              <w:t>)</w:t>
            </w:r>
          </w:p>
        </w:tc>
      </w:tr>
      <w:tr>
        <w:trPr/>
        <w:tc>
          <w:tcPr>
            <w:tcW w:w="23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ind w:left="0" w:right="0" w:hanging="216"/>
              <w:jc w:val="left"/>
              <w:rPr/>
            </w:pPr>
            <w:r>
              <w:rPr/>
              <w:t> </w:t>
            </w:r>
          </w:p>
        </w:tc>
      </w:tr>
      <w:tr>
        <w:trPr/>
        <w:tc>
          <w:tcPr>
            <w:tcW w:w="2316" w:type="dxa"/>
            <w:tcBorders/>
            <w:shd w:fill="CCEEFF" w:val="clear"/>
            <w:vAlign w:val="center"/>
          </w:tcPr>
          <w:p>
            <w:pPr>
              <w:pStyle w:val="TableContents"/>
              <w:bidi w:val="0"/>
              <w:spacing w:before="0" w:after="283"/>
              <w:jc w:val="left"/>
              <w:rPr/>
            </w:pPr>
            <w:r>
              <w:rPr/>
              <w:t>Operating Ratios: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ind w:left="0" w:right="0" w:firstLine="18"/>
              <w:jc w:val="left"/>
              <w:rPr/>
            </w:pPr>
            <w:r>
              <w:rPr/>
              <w:t> </w:t>
            </w:r>
          </w:p>
        </w:tc>
      </w:tr>
      <w:tr>
        <w:trPr/>
        <w:tc>
          <w:tcPr>
            <w:tcW w:w="2316" w:type="dxa"/>
            <w:tcBorders/>
            <w:vAlign w:val="center"/>
          </w:tcPr>
          <w:p>
            <w:pPr>
              <w:pStyle w:val="TableContents"/>
              <w:bidi w:val="0"/>
              <w:spacing w:before="0" w:after="283"/>
              <w:jc w:val="left"/>
              <w:rPr/>
            </w:pPr>
            <w:r>
              <w:rPr/>
              <w:t>Loss and loss adjustment expense ratio</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60.1%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107.2%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80.6%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43.1%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76.0%</w:t>
            </w:r>
          </w:p>
        </w:tc>
        <w:tc>
          <w:tcPr>
            <w:tcW w:w="173" w:type="dxa"/>
            <w:tcBorders/>
            <w:vAlign w:val="center"/>
          </w:tcPr>
          <w:p>
            <w:pPr>
              <w:pStyle w:val="TableContents"/>
              <w:bidi w:val="0"/>
              <w:spacing w:before="0" w:after="283"/>
              <w:ind w:left="0" w:right="0" w:hanging="216"/>
              <w:jc w:val="left"/>
              <w:rPr/>
            </w:pPr>
            <w:r>
              <w:rPr/>
              <w:t> </w:t>
            </w:r>
          </w:p>
        </w:tc>
      </w:tr>
      <w:tr>
        <w:trPr/>
        <w:tc>
          <w:tcPr>
            <w:tcW w:w="2316" w:type="dxa"/>
            <w:tcBorders/>
            <w:shd w:fill="CCEEFF" w:val="clear"/>
            <w:vAlign w:val="center"/>
          </w:tcPr>
          <w:p>
            <w:pPr>
              <w:pStyle w:val="TableContents"/>
              <w:bidi w:val="0"/>
              <w:spacing w:before="0" w:after="283"/>
              <w:jc w:val="left"/>
              <w:rPr/>
            </w:pPr>
            <w:r>
              <w:rPr/>
              <w:t>Expense ratio</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31.0%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35.1%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34.0%</w:t>
            </w:r>
          </w:p>
        </w:tc>
        <w:tc>
          <w:tcPr>
            <w:tcW w:w="173" w:type="dxa"/>
            <w:tcBorders/>
            <w:shd w:fill="CCEEFF" w:val="clear"/>
            <w:vAlign w:val="center"/>
          </w:tcPr>
          <w:p>
            <w:pPr>
              <w:pStyle w:val="TableContents"/>
              <w:bidi w:val="0"/>
              <w:spacing w:before="0" w:after="283"/>
              <w:ind w:left="0" w:right="0" w:hanging="216"/>
              <w:jc w:val="left"/>
              <w:rPr/>
            </w:pPr>
            <w:r>
              <w:rPr/>
              <w:t> </w:t>
            </w:r>
          </w:p>
        </w:tc>
      </w:tr>
      <w:tr>
        <w:trPr/>
        <w:tc>
          <w:tcPr>
            <w:tcW w:w="2316" w:type="dxa"/>
            <w:tcBorders/>
            <w:vAlign w:val="center"/>
          </w:tcPr>
          <w:p>
            <w:pPr>
              <w:pStyle w:val="TableContents"/>
              <w:bidi w:val="0"/>
              <w:spacing w:before="0" w:after="283"/>
              <w:jc w:val="left"/>
              <w:rPr/>
            </w:pPr>
            <w:r>
              <w:rPr/>
              <w:t>Combined ratio</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91.1%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152.3%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115.7%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80.6%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77.4%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110.0%</w:t>
            </w:r>
          </w:p>
        </w:tc>
        <w:tc>
          <w:tcPr>
            <w:tcW w:w="17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Other underwriting and general expenses for each segment include expenses related to compensation, vendor services, and other administrative items.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4"/>
        <w:gridCol w:w="90"/>
        <w:gridCol w:w="238"/>
        <w:gridCol w:w="999"/>
        <w:gridCol w:w="125"/>
        <w:gridCol w:w="90"/>
        <w:gridCol w:w="272"/>
        <w:gridCol w:w="1264"/>
        <w:gridCol w:w="125"/>
        <w:gridCol w:w="90"/>
        <w:gridCol w:w="180"/>
        <w:gridCol w:w="834"/>
        <w:gridCol w:w="125"/>
        <w:gridCol w:w="90"/>
        <w:gridCol w:w="170"/>
        <w:gridCol w:w="710"/>
        <w:gridCol w:w="125"/>
        <w:gridCol w:w="90"/>
        <w:gridCol w:w="180"/>
        <w:gridCol w:w="705"/>
        <w:gridCol w:w="125"/>
        <w:gridCol w:w="90"/>
        <w:gridCol w:w="170"/>
        <w:gridCol w:w="830"/>
        <w:gridCol w:w="174"/>
      </w:tblGrid>
      <w:tr>
        <w:trPr/>
        <w:tc>
          <w:tcPr>
            <w:tcW w:w="23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27"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 2024</w:t>
            </w:r>
          </w:p>
        </w:tc>
        <w:tc>
          <w:tcPr>
            <w:tcW w:w="174" w:type="dxa"/>
            <w:tcBorders/>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Private </w:t>
              <w:br/>
              <w:t>Passenger Auto</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Non-Standard </w:t>
              <w:br/>
              <w:t>Auto</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Home and </w:t>
              <w:br/>
              <w:t>Farm</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Crop</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74" w:type="dxa"/>
            <w:tcBorders/>
            <w:vAlign w:val="center"/>
          </w:tcPr>
          <w:p>
            <w:pPr>
              <w:pStyle w:val="TableContents"/>
              <w:bidi w:val="0"/>
              <w:spacing w:before="0" w:after="283"/>
              <w:jc w:val="left"/>
              <w:rPr/>
            </w:pPr>
            <w:r>
              <w:rPr/>
              <w:t> </w:t>
            </w:r>
          </w:p>
        </w:tc>
      </w:tr>
      <w:tr>
        <w:trPr/>
        <w:tc>
          <w:tcPr>
            <w:tcW w:w="2314" w:type="dxa"/>
            <w:tcBorders/>
            <w:shd w:fill="CCEEFF" w:val="clear"/>
            <w:vAlign w:val="center"/>
          </w:tcPr>
          <w:p>
            <w:pPr>
              <w:pStyle w:val="TableContents"/>
              <w:bidi w:val="0"/>
              <w:spacing w:before="0" w:after="283"/>
              <w:jc w:val="left"/>
              <w:rPr/>
            </w:pPr>
            <w:r>
              <w:rPr/>
              <w:t>Direct premiums earned</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jc w:val="right"/>
              <w:rPr/>
            </w:pPr>
            <w:r>
              <w:rPr/>
              <w:t>70,600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74,947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834" w:type="dxa"/>
            <w:tcBorders/>
            <w:shd w:fill="CCEEFF" w:val="clear"/>
            <w:vAlign w:val="center"/>
          </w:tcPr>
          <w:p>
            <w:pPr>
              <w:pStyle w:val="TableContents"/>
              <w:bidi w:val="0"/>
              <w:spacing w:before="0" w:after="283"/>
              <w:jc w:val="right"/>
              <w:rPr/>
            </w:pPr>
            <w:r>
              <w:rPr/>
              <w:t>75,336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26,565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9,576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257,024</w:t>
            </w:r>
          </w:p>
        </w:tc>
        <w:tc>
          <w:tcPr>
            <w:tcW w:w="174" w:type="dxa"/>
            <w:tcBorders/>
            <w:shd w:fill="CCEEFF" w:val="clear"/>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left"/>
              <w:rPr/>
            </w:pPr>
            <w:r>
              <w:rPr/>
              <w:t>Assumed premiums earned</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2,113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571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2,684</w:t>
            </w:r>
          </w:p>
        </w:tc>
        <w:tc>
          <w:tcPr>
            <w:tcW w:w="174" w:type="dxa"/>
            <w:tcBorders/>
            <w:vAlign w:val="center"/>
          </w:tcPr>
          <w:p>
            <w:pPr>
              <w:pStyle w:val="TableContents"/>
              <w:bidi w:val="0"/>
              <w:spacing w:before="0" w:after="283"/>
              <w:jc w:val="left"/>
              <w:rPr/>
            </w:pPr>
            <w:r>
              <w:rPr/>
              <w:t> </w:t>
            </w:r>
          </w:p>
        </w:tc>
      </w:tr>
      <w:tr>
        <w:trPr/>
        <w:tc>
          <w:tcPr>
            <w:tcW w:w="2314" w:type="dxa"/>
            <w:tcBorders/>
            <w:shd w:fill="CCEEFF" w:val="clear"/>
            <w:vAlign w:val="center"/>
          </w:tcPr>
          <w:p>
            <w:pPr>
              <w:pStyle w:val="TableContents"/>
              <w:bidi w:val="0"/>
              <w:spacing w:before="0" w:after="283"/>
              <w:jc w:val="left"/>
              <w:rPr/>
            </w:pPr>
            <w:r>
              <w:rPr/>
              <w:t>Ceded premiums earned</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pPr>
            <w:r>
              <w:rPr/>
              <w:t>(3,415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CCEEFF" w:val="clear"/>
            <w:tcMar>
              <w:bottom w:w="28" w:type="dxa"/>
            </w:tcMar>
            <w:vAlign w:val="center"/>
          </w:tcPr>
          <w:p>
            <w:pPr>
              <w:pStyle w:val="TableContents"/>
              <w:bidi w:val="0"/>
              <w:spacing w:before="0" w:after="283"/>
              <w:jc w:val="right"/>
              <w:rPr/>
            </w:pPr>
            <w:r>
              <w:rPr/>
              <w:t>(214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pPr>
            <w:r>
              <w:rPr/>
              <w:t>(8,519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(8,363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(874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(21,385</w:t>
            </w:r>
          </w:p>
        </w:tc>
        <w:tc>
          <w:tcPr>
            <w:tcW w:w="174" w:type="dxa"/>
            <w:tcBorders/>
            <w:shd w:fill="CCEEFF" w:val="clear"/>
            <w:vAlign w:val="center"/>
          </w:tcPr>
          <w:p>
            <w:pPr>
              <w:pStyle w:val="TableContents"/>
              <w:bidi w:val="0"/>
              <w:spacing w:before="0" w:after="283"/>
              <w:jc w:val="left"/>
              <w:rPr/>
            </w:pPr>
            <w:r>
              <w:rPr/>
              <w:t>)</w:t>
            </w:r>
          </w:p>
        </w:tc>
      </w:tr>
      <w:tr>
        <w:trPr/>
        <w:tc>
          <w:tcPr>
            <w:tcW w:w="2314" w:type="dxa"/>
            <w:tcBorders/>
            <w:vAlign w:val="center"/>
          </w:tcPr>
          <w:p>
            <w:pPr>
              <w:pStyle w:val="TableContents"/>
              <w:bidi w:val="0"/>
              <w:spacing w:before="0" w:after="283"/>
              <w:jc w:val="left"/>
              <w:rPr/>
            </w:pPr>
            <w:r>
              <w:rPr/>
              <w:t>Net premiums earned</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67,185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74,733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66,817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20,315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9,273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238,323</w:t>
            </w:r>
          </w:p>
        </w:tc>
        <w:tc>
          <w:tcPr>
            <w:tcW w:w="174" w:type="dxa"/>
            <w:tcBorders/>
            <w:vAlign w:val="center"/>
          </w:tcPr>
          <w:p>
            <w:pPr>
              <w:pStyle w:val="TableContents"/>
              <w:bidi w:val="0"/>
              <w:spacing w:before="0" w:after="283"/>
              <w:jc w:val="left"/>
              <w:rPr/>
            </w:pPr>
            <w:r>
              <w:rPr/>
              <w:t> </w:t>
            </w:r>
          </w:p>
        </w:tc>
      </w:tr>
      <w:tr>
        <w:trPr/>
        <w:tc>
          <w:tcPr>
            <w:tcW w:w="231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left"/>
              <w:rPr/>
            </w:pPr>
            <w:r>
              <w:rPr/>
              <w:t>Direct losses and loss adjustment expenses</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47,608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56,687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58,604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14,542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7,120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184,561</w:t>
            </w:r>
          </w:p>
        </w:tc>
        <w:tc>
          <w:tcPr>
            <w:tcW w:w="174" w:type="dxa"/>
            <w:tcBorders/>
            <w:vAlign w:val="center"/>
          </w:tcPr>
          <w:p>
            <w:pPr>
              <w:pStyle w:val="TableContents"/>
              <w:bidi w:val="0"/>
              <w:spacing w:before="0" w:after="283"/>
              <w:jc w:val="left"/>
              <w:rPr/>
            </w:pPr>
            <w:r>
              <w:rPr/>
              <w:t> </w:t>
            </w:r>
          </w:p>
        </w:tc>
      </w:tr>
      <w:tr>
        <w:trPr/>
        <w:tc>
          <w:tcPr>
            <w:tcW w:w="2314" w:type="dxa"/>
            <w:tcBorders/>
            <w:shd w:fill="CCEEFF" w:val="clear"/>
            <w:vAlign w:val="center"/>
          </w:tcPr>
          <w:p>
            <w:pPr>
              <w:pStyle w:val="TableContents"/>
              <w:bidi w:val="0"/>
              <w:spacing w:before="0" w:after="283"/>
              <w:jc w:val="left"/>
              <w:rPr/>
            </w:pPr>
            <w:r>
              <w:rPr/>
              <w:t>Assumed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199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886</w:t>
            </w:r>
          </w:p>
        </w:tc>
        <w:tc>
          <w:tcPr>
            <w:tcW w:w="174" w:type="dxa"/>
            <w:tcBorders/>
            <w:shd w:fill="CCEEFF" w:val="clear"/>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left"/>
              <w:rPr/>
            </w:pPr>
            <w:r>
              <w:rPr/>
              <w:t>Ceded losses and loss adjustment expenses</w:t>
            </w:r>
          </w:p>
        </w:tc>
        <w:tc>
          <w:tcPr>
            <w:tcW w:w="90" w:type="dxa"/>
            <w:tcBorders/>
            <w:vAlign w:val="center"/>
          </w:tcPr>
          <w:p>
            <w:pPr>
              <w:pStyle w:val="TableContents"/>
              <w:bidi w:val="0"/>
              <w:spacing w:before="0" w:after="283"/>
              <w:jc w:val="left"/>
              <w:rPr/>
            </w:pPr>
            <w:r>
              <w:rPr/>
              <w:t> </w:t>
            </w:r>
          </w:p>
        </w:tc>
        <w:tc>
          <w:tcPr>
            <w:tcW w:w="238" w:type="dxa"/>
            <w:tcBorders>
              <w:bottom w:val="single" w:sz="8" w:space="0" w:color="000000"/>
            </w:tcBorders>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tcMar>
              <w:bottom w:w="28" w:type="dxa"/>
            </w:tcMar>
            <w:vAlign w:val="center"/>
          </w:tcPr>
          <w:p>
            <w:pPr>
              <w:pStyle w:val="TableContents"/>
              <w:bidi w:val="0"/>
              <w:spacing w:before="0" w:after="283"/>
              <w:jc w:val="right"/>
              <w:rPr/>
            </w:pPr>
            <w:r>
              <w:rPr/>
              <w:t>(2,316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2" w:type="dxa"/>
            <w:tcBorders>
              <w:bottom w:val="single" w:sz="8" w:space="0" w:color="000000"/>
            </w:tcBorders>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tcMar>
              <w:bottom w:w="28" w:type="dxa"/>
            </w:tcMar>
            <w:vAlign w:val="center"/>
          </w:tcPr>
          <w:p>
            <w:pPr>
              <w:pStyle w:val="TableContents"/>
              <w:bidi w:val="0"/>
              <w:spacing w:before="0" w:after="283"/>
              <w:jc w:val="right"/>
              <w:rPr/>
            </w:pPr>
            <w:r>
              <w:rPr/>
              <w:t>(2,374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(3,285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tcMar>
              <w:bottom w:w="28" w:type="dxa"/>
            </w:tcMar>
            <w:vAlign w:val="center"/>
          </w:tcPr>
          <w:p>
            <w:pPr>
              <w:pStyle w:val="TableContents"/>
              <w:bidi w:val="0"/>
              <w:spacing w:before="0" w:after="283"/>
              <w:jc w:val="right"/>
              <w:rPr/>
            </w:pPr>
            <w:r>
              <w:rPr/>
              <w:t>(2,870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(10,845</w:t>
            </w:r>
          </w:p>
        </w:tc>
        <w:tc>
          <w:tcPr>
            <w:tcW w:w="174" w:type="dxa"/>
            <w:tcBorders/>
            <w:vAlign w:val="center"/>
          </w:tcPr>
          <w:p>
            <w:pPr>
              <w:pStyle w:val="TableContents"/>
              <w:bidi w:val="0"/>
              <w:spacing w:before="0" w:after="283"/>
              <w:jc w:val="left"/>
              <w:rPr/>
            </w:pPr>
            <w:r>
              <w:rPr/>
              <w:t>)</w:t>
            </w:r>
          </w:p>
        </w:tc>
      </w:tr>
      <w:tr>
        <w:trPr/>
        <w:tc>
          <w:tcPr>
            <w:tcW w:w="2314" w:type="dxa"/>
            <w:tcBorders/>
            <w:shd w:fill="CCEEFF" w:val="clear"/>
            <w:vAlign w:val="center"/>
          </w:tcPr>
          <w:p>
            <w:pPr>
              <w:pStyle w:val="TableContents"/>
              <w:bidi w:val="0"/>
              <w:spacing w:before="0" w:after="283"/>
              <w:jc w:val="left"/>
              <w:rPr/>
            </w:pPr>
            <w:r>
              <w:rPr/>
              <w:t>Net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45,292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56,687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56,230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11,944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4,449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174,602</w:t>
            </w:r>
          </w:p>
        </w:tc>
        <w:tc>
          <w:tcPr>
            <w:tcW w:w="174" w:type="dxa"/>
            <w:tcBorders/>
            <w:shd w:fill="CCEEFF" w:val="clear"/>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bottom w:val="single" w:sz="8" w:space="0" w:color="000000"/>
            </w:tcBorders>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bottom w:val="single" w:sz="8" w:space="0" w:color="000000"/>
            </w:tcBorders>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2314" w:type="dxa"/>
            <w:tcBorders/>
            <w:shd w:fill="CCEEFF" w:val="clear"/>
            <w:vAlign w:val="center"/>
          </w:tcPr>
          <w:p>
            <w:pPr>
              <w:pStyle w:val="TableContents"/>
              <w:bidi w:val="0"/>
              <w:spacing w:before="0" w:after="283"/>
              <w:jc w:val="left"/>
              <w:rPr/>
            </w:pPr>
            <w:r>
              <w:rPr/>
              <w:t>Gross margin</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pPr>
            <w:r>
              <w:rPr/>
              <w:t>21,893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CCEEFF" w:val="clear"/>
            <w:tcMar>
              <w:bottom w:w="28" w:type="dxa"/>
            </w:tcMar>
            <w:vAlign w:val="center"/>
          </w:tcPr>
          <w:p>
            <w:pPr>
              <w:pStyle w:val="TableContents"/>
              <w:bidi w:val="0"/>
              <w:spacing w:before="0" w:after="283"/>
              <w:jc w:val="right"/>
              <w:rPr/>
            </w:pPr>
            <w:r>
              <w:rPr/>
              <w:t>18,046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pPr>
            <w:r>
              <w:rPr/>
              <w:t>10,587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8,371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4,824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63,721</w:t>
            </w:r>
          </w:p>
        </w:tc>
        <w:tc>
          <w:tcPr>
            <w:tcW w:w="174" w:type="dxa"/>
            <w:tcBorders/>
            <w:shd w:fill="CCEEFF" w:val="clear"/>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2314" w:type="dxa"/>
            <w:tcBorders/>
            <w:shd w:fill="CCEEFF" w:val="clear"/>
            <w:vAlign w:val="center"/>
          </w:tcPr>
          <w:p>
            <w:pPr>
              <w:pStyle w:val="TableContents"/>
              <w:bidi w:val="0"/>
              <w:spacing w:before="0" w:after="283"/>
              <w:jc w:val="left"/>
              <w:rPr/>
            </w:pPr>
            <w:r>
              <w:rPr/>
              <w:t>Amortization of deferred policy acquisition costs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12,687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23,944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13,107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2,344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1,641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53,723</w:t>
            </w:r>
          </w:p>
        </w:tc>
        <w:tc>
          <w:tcPr>
            <w:tcW w:w="174" w:type="dxa"/>
            <w:tcBorders/>
            <w:shd w:fill="CCEEFF" w:val="clear"/>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left"/>
              <w:rPr>
                <w:sz w:val="20"/>
              </w:rPr>
            </w:pPr>
            <w:r>
              <w:rPr>
                <w:sz w:val="20"/>
              </w:rPr>
              <w:t xml:space="preserve">Other underwriting and general expenses </w:t>
            </w:r>
            <w:r>
              <w:rPr>
                <w:position w:val="7"/>
                <w:sz w:val="16"/>
                <w:sz w:val="20"/>
              </w:rPr>
              <w:t>(1)</w:t>
            </w:r>
          </w:p>
        </w:tc>
        <w:tc>
          <w:tcPr>
            <w:tcW w:w="90" w:type="dxa"/>
            <w:tcBorders/>
            <w:vAlign w:val="center"/>
          </w:tcPr>
          <w:p>
            <w:pPr>
              <w:pStyle w:val="TableContents"/>
              <w:bidi w:val="0"/>
              <w:spacing w:before="0" w:after="283"/>
              <w:jc w:val="left"/>
              <w:rPr/>
            </w:pPr>
            <w:r>
              <w:rPr/>
              <w:t> </w:t>
            </w:r>
          </w:p>
        </w:tc>
        <w:tc>
          <w:tcPr>
            <w:tcW w:w="238" w:type="dxa"/>
            <w:tcBorders>
              <w:bottom w:val="single" w:sz="8" w:space="0" w:color="000000"/>
            </w:tcBorders>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tcMar>
              <w:bottom w:w="28" w:type="dxa"/>
            </w:tcMar>
            <w:vAlign w:val="center"/>
          </w:tcPr>
          <w:p>
            <w:pPr>
              <w:pStyle w:val="TableContents"/>
              <w:bidi w:val="0"/>
              <w:spacing w:before="0" w:after="283"/>
              <w:jc w:val="right"/>
              <w:rPr/>
            </w:pPr>
            <w:r>
              <w:rPr/>
              <w:t>8,640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bottom w:val="single" w:sz="8" w:space="0" w:color="000000"/>
            </w:tcBorders>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tcMar>
              <w:bottom w:w="28" w:type="dxa"/>
            </w:tcMar>
            <w:vAlign w:val="center"/>
          </w:tcPr>
          <w:p>
            <w:pPr>
              <w:pStyle w:val="TableContents"/>
              <w:bidi w:val="0"/>
              <w:spacing w:before="0" w:after="283"/>
              <w:jc w:val="right"/>
              <w:rPr/>
            </w:pPr>
            <w:r>
              <w:rPr/>
              <w:t>6,948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tcMar>
              <w:bottom w:w="28" w:type="dxa"/>
            </w:tcMar>
            <w:vAlign w:val="center"/>
          </w:tcPr>
          <w:p>
            <w:pPr>
              <w:pStyle w:val="TableContents"/>
              <w:bidi w:val="0"/>
              <w:spacing w:before="0" w:after="283"/>
              <w:jc w:val="right"/>
              <w:rPr/>
            </w:pPr>
            <w:r>
              <w:rPr/>
              <w:t>8,454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1,150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tcMar>
              <w:bottom w:w="28" w:type="dxa"/>
            </w:tcMar>
            <w:vAlign w:val="center"/>
          </w:tcPr>
          <w:p>
            <w:pPr>
              <w:pStyle w:val="TableContents"/>
              <w:bidi w:val="0"/>
              <w:spacing w:before="0" w:after="283"/>
              <w:jc w:val="right"/>
              <w:rPr/>
            </w:pPr>
            <w:r>
              <w:rPr/>
              <w:t>1,466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26,658</w:t>
            </w:r>
          </w:p>
        </w:tc>
        <w:tc>
          <w:tcPr>
            <w:tcW w:w="174" w:type="dxa"/>
            <w:tcBorders/>
            <w:vAlign w:val="center"/>
          </w:tcPr>
          <w:p>
            <w:pPr>
              <w:pStyle w:val="TableContents"/>
              <w:bidi w:val="0"/>
              <w:spacing w:before="0" w:after="283"/>
              <w:jc w:val="left"/>
              <w:rPr/>
            </w:pPr>
            <w:r>
              <w:rPr/>
              <w:t> </w:t>
            </w:r>
          </w:p>
        </w:tc>
      </w:tr>
      <w:tr>
        <w:trPr/>
        <w:tc>
          <w:tcPr>
            <w:tcW w:w="2314" w:type="dxa"/>
            <w:tcBorders/>
            <w:shd w:fill="CCEEFF" w:val="clear"/>
            <w:vAlign w:val="center"/>
          </w:tcPr>
          <w:p>
            <w:pPr>
              <w:pStyle w:val="TableContents"/>
              <w:bidi w:val="0"/>
              <w:spacing w:before="0" w:after="283"/>
              <w:jc w:val="left"/>
              <w:rPr/>
            </w:pPr>
            <w:r>
              <w:rPr/>
              <w:t>Underwriting and general expenses</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pPr>
            <w:r>
              <w:rPr/>
              <w:t>21,327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CCEEFF" w:val="clear"/>
            <w:tcMar>
              <w:bottom w:w="28" w:type="dxa"/>
            </w:tcMar>
            <w:vAlign w:val="center"/>
          </w:tcPr>
          <w:p>
            <w:pPr>
              <w:pStyle w:val="TableContents"/>
              <w:bidi w:val="0"/>
              <w:spacing w:before="0" w:after="283"/>
              <w:jc w:val="right"/>
              <w:rPr/>
            </w:pPr>
            <w:r>
              <w:rPr/>
              <w:t>30,892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pPr>
            <w:r>
              <w:rPr/>
              <w:t>21,561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3,494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3,107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80,381</w:t>
            </w:r>
          </w:p>
        </w:tc>
        <w:tc>
          <w:tcPr>
            <w:tcW w:w="174" w:type="dxa"/>
            <w:tcBorders/>
            <w:shd w:fill="CCEEFF" w:val="clear"/>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left"/>
              <w:rPr/>
            </w:pPr>
            <w:r>
              <w:rPr/>
              <w:t>Underwriting gain (loss)</w:t>
            </w:r>
          </w:p>
        </w:tc>
        <w:tc>
          <w:tcPr>
            <w:tcW w:w="90" w:type="dxa"/>
            <w:tcBorders/>
            <w:vAlign w:val="center"/>
          </w:tcPr>
          <w:p>
            <w:pPr>
              <w:pStyle w:val="TableContents"/>
              <w:bidi w:val="0"/>
              <w:spacing w:before="0" w:after="283"/>
              <w:jc w:val="left"/>
              <w:rPr/>
            </w:pPr>
            <w:r>
              <w:rPr/>
              <w:t> </w:t>
            </w:r>
          </w:p>
        </w:tc>
        <w:tc>
          <w:tcPr>
            <w:tcW w:w="238" w:type="dxa"/>
            <w:tcBorders>
              <w:bottom w:val="single" w:sz="8" w:space="0" w:color="000000"/>
            </w:tcBorders>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tcMar>
              <w:bottom w:w="28" w:type="dxa"/>
            </w:tcMar>
            <w:vAlign w:val="center"/>
          </w:tcPr>
          <w:p>
            <w:pPr>
              <w:pStyle w:val="TableContents"/>
              <w:bidi w:val="0"/>
              <w:spacing w:before="0" w:after="283"/>
              <w:jc w:val="right"/>
              <w:rPr/>
            </w:pPr>
            <w:r>
              <w:rPr/>
              <w:t>566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bottom w:val="single" w:sz="8" w:space="0" w:color="000000"/>
            </w:tcBorders>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tcMar>
              <w:bottom w:w="28" w:type="dxa"/>
            </w:tcMar>
            <w:vAlign w:val="center"/>
          </w:tcPr>
          <w:p>
            <w:pPr>
              <w:pStyle w:val="TableContents"/>
              <w:bidi w:val="0"/>
              <w:spacing w:before="0" w:after="283"/>
              <w:jc w:val="right"/>
              <w:rPr/>
            </w:pPr>
            <w:r>
              <w:rPr/>
              <w:t>(12,846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tcMar>
              <w:bottom w:w="28" w:type="dxa"/>
            </w:tcMar>
            <w:vAlign w:val="center"/>
          </w:tcPr>
          <w:p>
            <w:pPr>
              <w:pStyle w:val="TableContents"/>
              <w:bidi w:val="0"/>
              <w:spacing w:before="0" w:after="283"/>
              <w:jc w:val="right"/>
              <w:rPr/>
            </w:pPr>
            <w:r>
              <w:rPr/>
              <w:t>(10,974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4,877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tcMar>
              <w:bottom w:w="28" w:type="dxa"/>
            </w:tcMar>
            <w:vAlign w:val="center"/>
          </w:tcPr>
          <w:p>
            <w:pPr>
              <w:pStyle w:val="TableContents"/>
              <w:bidi w:val="0"/>
              <w:spacing w:before="0" w:after="283"/>
              <w:jc w:val="right"/>
              <w:rPr/>
            </w:pPr>
            <w:r>
              <w:rPr/>
              <w:t>1,717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(16,660</w:t>
            </w:r>
          </w:p>
        </w:tc>
        <w:tc>
          <w:tcPr>
            <w:tcW w:w="174" w:type="dxa"/>
            <w:tcBorders/>
            <w:vAlign w:val="center"/>
          </w:tcPr>
          <w:p>
            <w:pPr>
              <w:pStyle w:val="TableContents"/>
              <w:bidi w:val="0"/>
              <w:spacing w:before="0" w:after="283"/>
              <w:jc w:val="left"/>
              <w:rPr/>
            </w:pPr>
            <w:r>
              <w:rPr/>
              <w:t>)</w:t>
            </w:r>
          </w:p>
        </w:tc>
      </w:tr>
      <w:tr>
        <w:trPr/>
        <w:tc>
          <w:tcPr>
            <w:tcW w:w="231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left"/>
              <w:rPr/>
            </w:pPr>
            <w:r>
              <w:rPr/>
              <w:t>Fee and other income</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1,590</w:t>
            </w:r>
          </w:p>
        </w:tc>
        <w:tc>
          <w:tcPr>
            <w:tcW w:w="174" w:type="dxa"/>
            <w:tcBorders/>
            <w:vAlign w:val="center"/>
          </w:tcPr>
          <w:p>
            <w:pPr>
              <w:pStyle w:val="TableContents"/>
              <w:bidi w:val="0"/>
              <w:spacing w:before="0" w:after="283"/>
              <w:jc w:val="left"/>
              <w:rPr/>
            </w:pPr>
            <w:r>
              <w:rPr/>
              <w:t> </w:t>
            </w:r>
          </w:p>
        </w:tc>
      </w:tr>
      <w:tr>
        <w:trPr/>
        <w:tc>
          <w:tcPr>
            <w:tcW w:w="2314" w:type="dxa"/>
            <w:tcBorders/>
            <w:shd w:fill="CCEEFF" w:val="clear"/>
            <w:vAlign w:val="center"/>
          </w:tcPr>
          <w:p>
            <w:pPr>
              <w:pStyle w:val="TableContents"/>
              <w:bidi w:val="0"/>
              <w:spacing w:before="0" w:after="283"/>
              <w:jc w:val="left"/>
              <w:rPr/>
            </w:pPr>
            <w:r>
              <w:rPr/>
              <w:t>Net investment income</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8,089</w:t>
            </w:r>
          </w:p>
        </w:tc>
        <w:tc>
          <w:tcPr>
            <w:tcW w:w="174" w:type="dxa"/>
            <w:tcBorders/>
            <w:shd w:fill="CCEEFF" w:val="clear"/>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left"/>
              <w:rPr/>
            </w:pPr>
            <w:r>
              <w:rPr/>
              <w:t>Net investment gains</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3,288</w:t>
            </w:r>
          </w:p>
        </w:tc>
        <w:tc>
          <w:tcPr>
            <w:tcW w:w="174" w:type="dxa"/>
            <w:tcBorders/>
            <w:vAlign w:val="center"/>
          </w:tcPr>
          <w:p>
            <w:pPr>
              <w:pStyle w:val="TableContents"/>
              <w:bidi w:val="0"/>
              <w:spacing w:before="0" w:after="283"/>
              <w:jc w:val="left"/>
              <w:rPr/>
            </w:pPr>
            <w:r>
              <w:rPr/>
              <w:t> </w:t>
            </w:r>
          </w:p>
        </w:tc>
      </w:tr>
      <w:tr>
        <w:trPr/>
        <w:tc>
          <w:tcPr>
            <w:tcW w:w="2314" w:type="dxa"/>
            <w:tcBorders/>
            <w:shd w:fill="CCEEFF" w:val="clear"/>
            <w:vAlign w:val="center"/>
          </w:tcPr>
          <w:p>
            <w:pPr>
              <w:pStyle w:val="TableContents"/>
              <w:bidi w:val="0"/>
              <w:spacing w:before="0" w:after="283"/>
              <w:jc w:val="left"/>
              <w:rPr/>
            </w:pPr>
            <w:r>
              <w:rPr/>
              <w:t>Loss before income taxes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(3,693</w:t>
            </w:r>
          </w:p>
        </w:tc>
        <w:tc>
          <w:tcPr>
            <w:tcW w:w="174" w:type="dxa"/>
            <w:tcBorders/>
            <w:shd w:fill="CCEEFF" w:val="clear"/>
            <w:vAlign w:val="center"/>
          </w:tcPr>
          <w:p>
            <w:pPr>
              <w:pStyle w:val="TableContents"/>
              <w:bidi w:val="0"/>
              <w:spacing w:before="0" w:after="283"/>
              <w:jc w:val="left"/>
              <w:rPr/>
            </w:pPr>
            <w:r>
              <w:rPr/>
              <w:t>)</w:t>
            </w:r>
          </w:p>
        </w:tc>
      </w:tr>
      <w:tr>
        <w:trPr/>
        <w:tc>
          <w:tcPr>
            <w:tcW w:w="2314" w:type="dxa"/>
            <w:tcBorders/>
            <w:vAlign w:val="center"/>
          </w:tcPr>
          <w:p>
            <w:pPr>
              <w:pStyle w:val="TableContents"/>
              <w:bidi w:val="0"/>
              <w:spacing w:before="0" w:after="283"/>
              <w:jc w:val="left"/>
              <w:rPr/>
            </w:pPr>
            <w:r>
              <w:rPr/>
              <w:t>Income tax benefit</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(445</w:t>
            </w:r>
          </w:p>
        </w:tc>
        <w:tc>
          <w:tcPr>
            <w:tcW w:w="174" w:type="dxa"/>
            <w:tcBorders/>
            <w:vAlign w:val="center"/>
          </w:tcPr>
          <w:p>
            <w:pPr>
              <w:pStyle w:val="TableContents"/>
              <w:bidi w:val="0"/>
              <w:spacing w:before="0" w:after="283"/>
              <w:jc w:val="left"/>
              <w:rPr/>
            </w:pPr>
            <w:r>
              <w:rPr/>
              <w:t>)</w:t>
            </w:r>
          </w:p>
        </w:tc>
      </w:tr>
      <w:tr>
        <w:trPr/>
        <w:tc>
          <w:tcPr>
            <w:tcW w:w="2314"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(3,248</w:t>
            </w:r>
          </w:p>
        </w:tc>
        <w:tc>
          <w:tcPr>
            <w:tcW w:w="174" w:type="dxa"/>
            <w:tcBorders/>
            <w:shd w:fill="CCEEFF" w:val="clear"/>
            <w:vAlign w:val="center"/>
          </w:tcPr>
          <w:p>
            <w:pPr>
              <w:pStyle w:val="TableContents"/>
              <w:bidi w:val="0"/>
              <w:spacing w:before="0" w:after="283"/>
              <w:ind w:left="0" w:right="0" w:hanging="216"/>
              <w:jc w:val="left"/>
              <w:rPr/>
            </w:pPr>
            <w:r>
              <w:rPr/>
              <w:t>)</w:t>
            </w:r>
          </w:p>
        </w:tc>
      </w:tr>
      <w:tr>
        <w:trPr/>
        <w:tc>
          <w:tcPr>
            <w:tcW w:w="23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ind w:left="0" w:right="0" w:hanging="216"/>
              <w:jc w:val="left"/>
              <w:rPr/>
            </w:pPr>
            <w:r>
              <w:rPr/>
              <w:t> </w:t>
            </w:r>
          </w:p>
        </w:tc>
      </w:tr>
      <w:tr>
        <w:trPr/>
        <w:tc>
          <w:tcPr>
            <w:tcW w:w="2314" w:type="dxa"/>
            <w:tcBorders/>
            <w:shd w:fill="CCEEFF" w:val="clear"/>
            <w:vAlign w:val="center"/>
          </w:tcPr>
          <w:p>
            <w:pPr>
              <w:pStyle w:val="TableContents"/>
              <w:bidi w:val="0"/>
              <w:spacing w:before="0" w:after="283"/>
              <w:jc w:val="left"/>
              <w:rPr/>
            </w:pPr>
            <w:r>
              <w:rPr/>
              <w:t>Operating Ratios: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ind w:left="0" w:right="0" w:firstLine="18"/>
              <w:jc w:val="left"/>
              <w:rPr/>
            </w:pPr>
            <w:r>
              <w:rPr/>
              <w:t> </w:t>
            </w:r>
          </w:p>
        </w:tc>
      </w:tr>
      <w:tr>
        <w:trPr/>
        <w:tc>
          <w:tcPr>
            <w:tcW w:w="2314" w:type="dxa"/>
            <w:tcBorders/>
            <w:vAlign w:val="center"/>
          </w:tcPr>
          <w:p>
            <w:pPr>
              <w:pStyle w:val="TableContents"/>
              <w:bidi w:val="0"/>
              <w:spacing w:before="0" w:after="283"/>
              <w:jc w:val="left"/>
              <w:rPr/>
            </w:pPr>
            <w:r>
              <w:rPr/>
              <w:t>Loss and loss adjustment expense ratio</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67.4%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75.9%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84.2%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48.0%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73.3%</w:t>
            </w:r>
          </w:p>
        </w:tc>
        <w:tc>
          <w:tcPr>
            <w:tcW w:w="174" w:type="dxa"/>
            <w:tcBorders/>
            <w:vAlign w:val="center"/>
          </w:tcPr>
          <w:p>
            <w:pPr>
              <w:pStyle w:val="TableContents"/>
              <w:bidi w:val="0"/>
              <w:spacing w:before="0" w:after="283"/>
              <w:ind w:left="0" w:right="0" w:hanging="216"/>
              <w:jc w:val="left"/>
              <w:rPr/>
            </w:pPr>
            <w:r>
              <w:rPr/>
              <w:t> </w:t>
            </w:r>
          </w:p>
        </w:tc>
      </w:tr>
      <w:tr>
        <w:trPr/>
        <w:tc>
          <w:tcPr>
            <w:tcW w:w="2314" w:type="dxa"/>
            <w:tcBorders/>
            <w:shd w:fill="CCEEFF" w:val="clear"/>
            <w:vAlign w:val="center"/>
          </w:tcPr>
          <w:p>
            <w:pPr>
              <w:pStyle w:val="TableContents"/>
              <w:bidi w:val="0"/>
              <w:spacing w:before="0" w:after="283"/>
              <w:jc w:val="left"/>
              <w:rPr/>
            </w:pPr>
            <w:r>
              <w:rPr/>
              <w:t>Expense ratio</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31.7%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41.3%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32.3%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33.5%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33.7%</w:t>
            </w:r>
          </w:p>
        </w:tc>
        <w:tc>
          <w:tcPr>
            <w:tcW w:w="174" w:type="dxa"/>
            <w:tcBorders/>
            <w:shd w:fill="CCEEFF" w:val="clear"/>
            <w:vAlign w:val="center"/>
          </w:tcPr>
          <w:p>
            <w:pPr>
              <w:pStyle w:val="TableContents"/>
              <w:bidi w:val="0"/>
              <w:spacing w:before="0" w:after="283"/>
              <w:ind w:left="0" w:right="0" w:hanging="216"/>
              <w:jc w:val="left"/>
              <w:rPr/>
            </w:pPr>
            <w:r>
              <w:rPr/>
              <w:t> </w:t>
            </w:r>
          </w:p>
        </w:tc>
      </w:tr>
      <w:tr>
        <w:trPr/>
        <w:tc>
          <w:tcPr>
            <w:tcW w:w="2314" w:type="dxa"/>
            <w:tcBorders/>
            <w:vAlign w:val="center"/>
          </w:tcPr>
          <w:p>
            <w:pPr>
              <w:pStyle w:val="TableContents"/>
              <w:bidi w:val="0"/>
              <w:spacing w:before="0" w:after="283"/>
              <w:jc w:val="left"/>
              <w:rPr/>
            </w:pPr>
            <w:r>
              <w:rPr/>
              <w:t>Combined ratio</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99.1%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117.2%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116.5%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81.5%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107.0%</w:t>
            </w:r>
          </w:p>
        </w:tc>
        <w:tc>
          <w:tcPr>
            <w:tcW w:w="174"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Other underwriting and general expenses for each segment include expenses related to compensation, vendor services, and other administrative items.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12" w:name="a_009"/>
      <w:bookmarkEnd w:id="12"/>
      <w:r>
        <w:rPr>
          <w:rFonts w:ascii="Times New Roman;Times;Serif" w:hAnsi="Times New Roman;Times;Serif"/>
          <w:b/>
          <w:i w:val="false"/>
          <w:caps w:val="false"/>
          <w:smallCaps w:val="false"/>
          <w:sz w:val="20"/>
        </w:rPr>
        <w:t>Item 2. - Management’s Discussion and Analysis of Financial Condition and Results of Operations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intended to provide a more comprehensive review of our operating results and financial condition than can be obtained from reading the unaudited consolidated financial statements alone. Unless otherwise noted, the information in the following discussion is being presented for our continuing operations. This discussion should be read in conjunction with the unaudited consolidated financial statements and the notes thereto included in Part I, Item 1, “Financial Statements.” Some of the information contained in this discussion and analysis or set forth elsewhere in this Form 10-Q constitutes forward-looking statements that involve risks and uncertainties. Please see “Forward-Looking Statements” included elsewhere in this Form 10-Q. Part I, Item 1A, “Risk Factors” included in our 2024 Annual Report and Part II, Item 1A “Risk Factors” included in this Form 10-Q, should also be reviewed for a discussion of important factors that could cause actual results to differ materially from the results described, or implied by, the forward-looking statements contained herein.</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dollar amounts included in Item 2 herein, except per share data, are in thousands.</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Third Quarter Consolidated Results of Operations</w:t>
      </w:r>
    </w:p>
    <w:tbl>
      <w:tblPr>
        <w:tblW w:w="7398" w:type="dxa"/>
        <w:jc w:val="left"/>
        <w:tblInd w:w="0" w:type="dxa"/>
        <w:tblLayout w:type="fixed"/>
        <w:tblCellMar>
          <w:top w:w="0" w:type="dxa"/>
          <w:left w:w="0" w:type="dxa"/>
          <w:bottom w:w="0" w:type="dxa"/>
          <w:right w:w="0" w:type="dxa"/>
        </w:tblCellMar>
      </w:tblPr>
      <w:tblGrid>
        <w:gridCol w:w="68"/>
        <w:gridCol w:w="200"/>
        <w:gridCol w:w="71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left"/>
              <w:rPr/>
            </w:pPr>
            <w:r>
              <w:rPr/>
              <w:t>Net loss of $1,666, or ($0.08) per share basic and ($0.08) per share diluted</w:t>
            </w:r>
          </w:p>
        </w:tc>
      </w:tr>
    </w:tbl>
    <w:tbl>
      <w:tblPr>
        <w:tblW w:w="3483" w:type="dxa"/>
        <w:jc w:val="left"/>
        <w:tblInd w:w="0" w:type="dxa"/>
        <w:tblLayout w:type="fixed"/>
        <w:tblCellMar>
          <w:top w:w="0" w:type="dxa"/>
          <w:left w:w="0" w:type="dxa"/>
          <w:bottom w:w="0" w:type="dxa"/>
          <w:right w:w="0" w:type="dxa"/>
        </w:tblCellMar>
      </w:tblPr>
      <w:tblGrid>
        <w:gridCol w:w="68"/>
        <w:gridCol w:w="200"/>
        <w:gridCol w:w="32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left"/>
              <w:rPr/>
            </w:pPr>
            <w:r>
              <w:rPr/>
              <w:t>Net premiums earned of $71,905</w:t>
            </w:r>
          </w:p>
        </w:tc>
      </w:tr>
    </w:tbl>
    <w:tbl>
      <w:tblPr>
        <w:tblW w:w="3513" w:type="dxa"/>
        <w:jc w:val="left"/>
        <w:tblInd w:w="0" w:type="dxa"/>
        <w:tblLayout w:type="fixed"/>
        <w:tblCellMar>
          <w:top w:w="0" w:type="dxa"/>
          <w:left w:w="0" w:type="dxa"/>
          <w:bottom w:w="0" w:type="dxa"/>
          <w:right w:w="0" w:type="dxa"/>
        </w:tblCellMar>
      </w:tblPr>
      <w:tblGrid>
        <w:gridCol w:w="68"/>
        <w:gridCol w:w="200"/>
        <w:gridCol w:w="32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left"/>
              <w:rPr/>
            </w:pPr>
            <w:r>
              <w:rPr/>
              <w:t>Net investment income of $3,040</w:t>
            </w:r>
          </w:p>
        </w:tc>
      </w:tr>
    </w:tbl>
    <w:tbl>
      <w:tblPr>
        <w:tblW w:w="5853" w:type="dxa"/>
        <w:jc w:val="left"/>
        <w:tblInd w:w="0" w:type="dxa"/>
        <w:tblLayout w:type="fixed"/>
        <w:tblCellMar>
          <w:top w:w="0" w:type="dxa"/>
          <w:left w:w="0" w:type="dxa"/>
          <w:bottom w:w="0" w:type="dxa"/>
          <w:right w:w="0" w:type="dxa"/>
        </w:tblCellMar>
      </w:tblPr>
      <w:tblGrid>
        <w:gridCol w:w="68"/>
        <w:gridCol w:w="200"/>
        <w:gridCol w:w="55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left"/>
              <w:rPr/>
            </w:pPr>
            <w:r>
              <w:rPr/>
              <w:t>Net unfavorable prior year reserve development of $8,554</w:t>
            </w:r>
          </w:p>
        </w:tc>
      </w:tr>
    </w:tbl>
    <w:tbl>
      <w:tblPr>
        <w:tblW w:w="3033" w:type="dxa"/>
        <w:jc w:val="left"/>
        <w:tblInd w:w="0" w:type="dxa"/>
        <w:tblLayout w:type="fixed"/>
        <w:tblCellMar>
          <w:top w:w="0" w:type="dxa"/>
          <w:left w:w="0" w:type="dxa"/>
          <w:bottom w:w="0" w:type="dxa"/>
          <w:right w:w="0" w:type="dxa"/>
        </w:tblCellMar>
      </w:tblPr>
      <w:tblGrid>
        <w:gridCol w:w="68"/>
        <w:gridCol w:w="200"/>
        <w:gridCol w:w="27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left"/>
              <w:rPr/>
            </w:pPr>
            <w:r>
              <w:rPr/>
              <w:t>Underwriting loss of $6,521</w:t>
            </w:r>
          </w:p>
        </w:tc>
      </w:tr>
    </w:tbl>
    <w:tbl>
      <w:tblPr>
        <w:tblW w:w="2883" w:type="dxa"/>
        <w:jc w:val="left"/>
        <w:tblInd w:w="0" w:type="dxa"/>
        <w:tblLayout w:type="fixed"/>
        <w:tblCellMar>
          <w:top w:w="0" w:type="dxa"/>
          <w:left w:w="0" w:type="dxa"/>
          <w:bottom w:w="0" w:type="dxa"/>
          <w:right w:w="0" w:type="dxa"/>
        </w:tblCellMar>
      </w:tblPr>
      <w:tblGrid>
        <w:gridCol w:w="68"/>
        <w:gridCol w:w="200"/>
        <w:gridCol w:w="26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Combined ratio of 109.1%</w:t>
            </w:r>
          </w:p>
        </w:tc>
      </w:tr>
    </w:tbl>
    <w:tbl>
      <w:tblPr>
        <w:tblW w:w="5000" w:type="pct"/>
        <w:jc w:val="left"/>
        <w:tblInd w:w="0" w:type="dxa"/>
        <w:tblLayout w:type="fixed"/>
        <w:tblCellMar>
          <w:top w:w="0" w:type="dxa"/>
          <w:left w:w="0" w:type="dxa"/>
          <w:bottom w:w="0" w:type="dxa"/>
          <w:right w:w="0" w:type="dxa"/>
        </w:tblCellMar>
      </w:tblPr>
      <w:tblGrid>
        <w:gridCol w:w="191"/>
        <w:gridCol w:w="564"/>
        <w:gridCol w:w="9450"/>
      </w:tblGrid>
      <w:tr>
        <w:trPr/>
        <w:tc>
          <w:tcPr>
            <w:tcW w:w="19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pPr>
            <w:r>
              <w:rPr/>
              <w:t>●</w:t>
            </w:r>
          </w:p>
        </w:tc>
        <w:tc>
          <w:tcPr>
            <w:tcW w:w="9450" w:type="dxa"/>
            <w:tcBorders/>
            <w:vAlign w:val="center"/>
          </w:tcPr>
          <w:p>
            <w:pPr>
              <w:pStyle w:val="TableContents"/>
              <w:bidi w:val="0"/>
              <w:spacing w:before="0" w:after="283"/>
              <w:jc w:val="left"/>
              <w:rPr/>
            </w:pPr>
            <w:r>
              <w:rPr/>
              <w:t>Operating cash flows of ($28,511)</w:t>
            </w:r>
          </w:p>
        </w:tc>
      </w:tr>
    </w:tbl>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Third Quarter Consolidated Financial Condition</w:t>
      </w:r>
    </w:p>
    <w:tbl>
      <w:tblPr>
        <w:tblW w:w="4128" w:type="dxa"/>
        <w:jc w:val="left"/>
        <w:tblInd w:w="0" w:type="dxa"/>
        <w:tblLayout w:type="fixed"/>
        <w:tblCellMar>
          <w:top w:w="0" w:type="dxa"/>
          <w:left w:w="0" w:type="dxa"/>
          <w:bottom w:w="0" w:type="dxa"/>
          <w:right w:w="0" w:type="dxa"/>
        </w:tblCellMar>
      </w:tblPr>
      <w:tblGrid>
        <w:gridCol w:w="68"/>
        <w:gridCol w:w="200"/>
        <w:gridCol w:w="38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left"/>
              <w:rPr/>
            </w:pPr>
            <w:r>
              <w:rPr/>
              <w:t>Total cash and investments of $365,238</w:t>
            </w:r>
          </w:p>
        </w:tc>
      </w:tr>
    </w:tbl>
    <w:tbl>
      <w:tblPr>
        <w:tblW w:w="2673" w:type="dxa"/>
        <w:jc w:val="left"/>
        <w:tblInd w:w="0" w:type="dxa"/>
        <w:tblLayout w:type="fixed"/>
        <w:tblCellMar>
          <w:top w:w="0" w:type="dxa"/>
          <w:left w:w="0" w:type="dxa"/>
          <w:bottom w:w="0" w:type="dxa"/>
          <w:right w:w="0" w:type="dxa"/>
        </w:tblCellMar>
      </w:tblPr>
      <w:tblGrid>
        <w:gridCol w:w="68"/>
        <w:gridCol w:w="200"/>
        <w:gridCol w:w="24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left"/>
              <w:rPr/>
            </w:pPr>
            <w:r>
              <w:rPr/>
              <w:t>Total assets of $543,815</w:t>
            </w:r>
          </w:p>
        </w:tc>
      </w:tr>
    </w:tbl>
    <w:tbl>
      <w:tblPr>
        <w:tblW w:w="5718" w:type="dxa"/>
        <w:jc w:val="left"/>
        <w:tblInd w:w="0" w:type="dxa"/>
        <w:tblLayout w:type="fixed"/>
        <w:tblCellMar>
          <w:top w:w="0" w:type="dxa"/>
          <w:left w:w="0" w:type="dxa"/>
          <w:bottom w:w="0" w:type="dxa"/>
          <w:right w:w="0" w:type="dxa"/>
        </w:tblCellMar>
      </w:tblPr>
      <w:tblGrid>
        <w:gridCol w:w="68"/>
        <w:gridCol w:w="200"/>
        <w:gridCol w:w="54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left"/>
              <w:rPr/>
            </w:pPr>
            <w:r>
              <w:rPr/>
              <w:t>Unpaid losses and loss adjustment expenses of $157,383</w:t>
            </w:r>
          </w:p>
        </w:tc>
      </w:tr>
    </w:tbl>
    <w:tbl>
      <w:tblPr>
        <w:tblW w:w="2973" w:type="dxa"/>
        <w:jc w:val="left"/>
        <w:tblInd w:w="0" w:type="dxa"/>
        <w:tblLayout w:type="fixed"/>
        <w:tblCellMar>
          <w:top w:w="0" w:type="dxa"/>
          <w:left w:w="0" w:type="dxa"/>
          <w:bottom w:w="0" w:type="dxa"/>
          <w:right w:w="0" w:type="dxa"/>
        </w:tblCellMar>
      </w:tblPr>
      <w:tblGrid>
        <w:gridCol w:w="68"/>
        <w:gridCol w:w="200"/>
        <w:gridCol w:w="27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left"/>
              <w:rPr/>
            </w:pPr>
            <w:r>
              <w:rPr/>
              <w:t>Total liabilities of $300,015</w:t>
            </w:r>
          </w:p>
        </w:tc>
      </w:tr>
    </w:tbl>
    <w:tbl>
      <w:tblPr>
        <w:tblW w:w="5000" w:type="pct"/>
        <w:jc w:val="left"/>
        <w:tblInd w:w="0" w:type="dxa"/>
        <w:tblLayout w:type="fixed"/>
        <w:tblCellMar>
          <w:top w:w="0" w:type="dxa"/>
          <w:left w:w="0" w:type="dxa"/>
          <w:bottom w:w="0" w:type="dxa"/>
          <w:right w:w="0" w:type="dxa"/>
        </w:tblCellMar>
      </w:tblPr>
      <w:tblGrid>
        <w:gridCol w:w="196"/>
        <w:gridCol w:w="579"/>
        <w:gridCol w:w="9430"/>
      </w:tblGrid>
      <w:tr>
        <w:trPr/>
        <w:tc>
          <w:tcPr>
            <w:tcW w:w="19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pPr>
            <w:r>
              <w:rPr/>
              <w:t>●</w:t>
            </w:r>
          </w:p>
        </w:tc>
        <w:tc>
          <w:tcPr>
            <w:tcW w:w="9430" w:type="dxa"/>
            <w:tcBorders/>
            <w:vAlign w:val="center"/>
          </w:tcPr>
          <w:p>
            <w:pPr>
              <w:pStyle w:val="TableContents"/>
              <w:bidi w:val="0"/>
              <w:spacing w:before="0" w:after="283"/>
              <w:jc w:val="left"/>
              <w:rPr/>
            </w:pPr>
            <w:r>
              <w:rPr/>
              <w:t>Shareholders’ equity of $243,800</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Continuing Operations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net loss from continuing operations was $1,666 for the three months ended September 30, 2025, compared to net loss from continuing operations of $2,705 for the three months ended September 30, 2024. Our consolidated net loss from continuing operations was $7,257 for the nine months ended September 30, 2025, compared to net loss from continuing operations of $3,248 for the nine months ended September 30, 2024.</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components of our revenues and net loss are shown below:</w:t>
      </w:r>
    </w:p>
    <w:tbl>
      <w:tblPr>
        <w:tblW w:w="10205" w:type="dxa"/>
        <w:jc w:val="left"/>
        <w:tblInd w:w="0" w:type="dxa"/>
        <w:tblLayout w:type="fixed"/>
        <w:tblCellMar>
          <w:top w:w="0" w:type="dxa"/>
          <w:left w:w="0" w:type="dxa"/>
          <w:bottom w:w="0" w:type="dxa"/>
          <w:right w:w="0" w:type="dxa"/>
        </w:tblCellMar>
      </w:tblPr>
      <w:tblGrid>
        <w:gridCol w:w="5400"/>
        <w:gridCol w:w="90"/>
        <w:gridCol w:w="181"/>
        <w:gridCol w:w="760"/>
        <w:gridCol w:w="133"/>
        <w:gridCol w:w="96"/>
        <w:gridCol w:w="181"/>
        <w:gridCol w:w="760"/>
        <w:gridCol w:w="125"/>
        <w:gridCol w:w="90"/>
        <w:gridCol w:w="170"/>
        <w:gridCol w:w="830"/>
        <w:gridCol w:w="125"/>
        <w:gridCol w:w="90"/>
        <w:gridCol w:w="170"/>
        <w:gridCol w:w="830"/>
        <w:gridCol w:w="174"/>
      </w:tblGrid>
      <w:tr>
        <w:trPr/>
        <w:tc>
          <w:tcPr>
            <w:tcW w:w="5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w:t>
              <w:br/>
              <w:t>September 30,</w:t>
            </w:r>
          </w:p>
        </w:tc>
        <w:tc>
          <w:tcPr>
            <w:tcW w:w="174" w:type="dxa"/>
            <w:tcBorders/>
            <w:vAlign w:val="center"/>
          </w:tcPr>
          <w:p>
            <w:pPr>
              <w:pStyle w:val="TableContents"/>
              <w:bidi w:val="0"/>
              <w:spacing w:before="0" w:after="283"/>
              <w:jc w:val="left"/>
              <w:rPr/>
            </w:pPr>
            <w:r>
              <w:rPr/>
              <w:t> </w:t>
            </w:r>
          </w:p>
        </w:tc>
      </w:tr>
      <w:tr>
        <w:trPr/>
        <w:tc>
          <w:tcPr>
            <w:tcW w:w="5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4" w:type="dxa"/>
            <w:tcBorders/>
            <w:vAlign w:val="center"/>
          </w:tcPr>
          <w:p>
            <w:pPr>
              <w:pStyle w:val="TableContents"/>
              <w:bidi w:val="0"/>
              <w:spacing w:before="0" w:after="283"/>
              <w:jc w:val="left"/>
              <w:rPr/>
            </w:pPr>
            <w:r>
              <w:rPr/>
              <w:t> </w:t>
            </w:r>
          </w:p>
        </w:tc>
      </w:tr>
      <w:tr>
        <w:trPr/>
        <w:tc>
          <w:tcPr>
            <w:tcW w:w="5400"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941" w:type="dxa"/>
            <w:gridSpan w:val="2"/>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41" w:type="dxa"/>
            <w:gridSpan w:val="2"/>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0" w:type="dxa"/>
            <w:gridSpan w:val="2"/>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0" w:type="dxa"/>
            <w:gridSpan w:val="2"/>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5400" w:type="dxa"/>
            <w:tcBorders/>
            <w:vAlign w:val="center"/>
          </w:tcPr>
          <w:p>
            <w:pPr>
              <w:pStyle w:val="TableContents"/>
              <w:bidi w:val="0"/>
              <w:spacing w:before="0" w:after="283"/>
              <w:jc w:val="left"/>
              <w:rPr/>
            </w:pPr>
            <w:r>
              <w:rPr/>
              <w:t>Net premiums earned</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760" w:type="dxa"/>
            <w:tcBorders/>
            <w:vAlign w:val="center"/>
          </w:tcPr>
          <w:p>
            <w:pPr>
              <w:pStyle w:val="TableContents"/>
              <w:bidi w:val="0"/>
              <w:spacing w:before="0" w:after="283"/>
              <w:jc w:val="right"/>
              <w:rPr/>
            </w:pPr>
            <w:r>
              <w:rPr/>
              <w:t>71,905</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760" w:type="dxa"/>
            <w:tcBorders/>
            <w:vAlign w:val="center"/>
          </w:tcPr>
          <w:p>
            <w:pPr>
              <w:pStyle w:val="TableContents"/>
              <w:bidi w:val="0"/>
              <w:spacing w:before="0" w:after="283"/>
              <w:jc w:val="right"/>
              <w:rPr/>
            </w:pPr>
            <w:r>
              <w:rPr/>
              <w:t>83,270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212,407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238,323</w:t>
            </w:r>
          </w:p>
        </w:tc>
        <w:tc>
          <w:tcPr>
            <w:tcW w:w="174" w:type="dxa"/>
            <w:tcBorders/>
            <w:vAlign w:val="center"/>
          </w:tcPr>
          <w:p>
            <w:pPr>
              <w:pStyle w:val="TableContents"/>
              <w:bidi w:val="0"/>
              <w:spacing w:before="0" w:after="283"/>
              <w:jc w:val="left"/>
              <w:rPr/>
            </w:pPr>
            <w:r>
              <w:rPr/>
              <w:t> </w:t>
            </w:r>
          </w:p>
        </w:tc>
      </w:tr>
      <w:tr>
        <w:trPr/>
        <w:tc>
          <w:tcPr>
            <w:tcW w:w="5400" w:type="dxa"/>
            <w:tcBorders/>
            <w:shd w:fill="CCEEFF" w:val="clear"/>
            <w:vAlign w:val="center"/>
          </w:tcPr>
          <w:p>
            <w:pPr>
              <w:pStyle w:val="TableContents"/>
              <w:bidi w:val="0"/>
              <w:spacing w:before="0" w:after="283"/>
              <w:jc w:val="left"/>
              <w:rPr/>
            </w:pPr>
            <w:r>
              <w:rPr/>
              <w:t>Fee and other income</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261</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491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1,590</w:t>
            </w:r>
          </w:p>
        </w:tc>
        <w:tc>
          <w:tcPr>
            <w:tcW w:w="174" w:type="dxa"/>
            <w:tcBorders/>
            <w:shd w:fill="CCEEFF" w:val="clear"/>
            <w:vAlign w:val="center"/>
          </w:tcPr>
          <w:p>
            <w:pPr>
              <w:pStyle w:val="TableContents"/>
              <w:bidi w:val="0"/>
              <w:spacing w:before="0" w:after="283"/>
              <w:jc w:val="left"/>
              <w:rPr/>
            </w:pPr>
            <w:r>
              <w:rPr/>
              <w:t> </w:t>
            </w:r>
          </w:p>
        </w:tc>
      </w:tr>
      <w:tr>
        <w:trPr/>
        <w:tc>
          <w:tcPr>
            <w:tcW w:w="5400" w:type="dxa"/>
            <w:tcBorders/>
            <w:vAlign w:val="center"/>
          </w:tcPr>
          <w:p>
            <w:pPr>
              <w:pStyle w:val="TableContents"/>
              <w:bidi w:val="0"/>
              <w:spacing w:before="0" w:after="283"/>
              <w:jc w:val="left"/>
              <w:rPr/>
            </w:pPr>
            <w:r>
              <w:rPr/>
              <w:t>Net investment income</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3,040</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2,811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8,089</w:t>
            </w:r>
          </w:p>
        </w:tc>
        <w:tc>
          <w:tcPr>
            <w:tcW w:w="174" w:type="dxa"/>
            <w:tcBorders/>
            <w:vAlign w:val="center"/>
          </w:tcPr>
          <w:p>
            <w:pPr>
              <w:pStyle w:val="TableContents"/>
              <w:bidi w:val="0"/>
              <w:spacing w:before="0" w:after="283"/>
              <w:jc w:val="left"/>
              <w:rPr/>
            </w:pPr>
            <w:r>
              <w:rPr/>
              <w:t> </w:t>
            </w:r>
          </w:p>
        </w:tc>
      </w:tr>
      <w:tr>
        <w:trPr/>
        <w:tc>
          <w:tcPr>
            <w:tcW w:w="5400" w:type="dxa"/>
            <w:tcBorders/>
            <w:shd w:fill="CCEEFF" w:val="clear"/>
            <w:vAlign w:val="center"/>
          </w:tcPr>
          <w:p>
            <w:pPr>
              <w:pStyle w:val="TableContents"/>
              <w:bidi w:val="0"/>
              <w:spacing w:before="0" w:after="283"/>
              <w:jc w:val="left"/>
              <w:rPr/>
            </w:pPr>
            <w:r>
              <w:rPr/>
              <w:t>Net investment gains</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shd w:fill="CCEEFF" w:val="clear"/>
            <w:tcMar>
              <w:bottom w:w="28" w:type="dxa"/>
            </w:tcMar>
            <w:vAlign w:val="center"/>
          </w:tcPr>
          <w:p>
            <w:pPr>
              <w:pStyle w:val="TableContents"/>
              <w:bidi w:val="0"/>
              <w:spacing w:before="0" w:after="283"/>
              <w:jc w:val="right"/>
              <w:rPr/>
            </w:pPr>
            <w:r>
              <w:rPr/>
              <w:t>1,362</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shd w:fill="CCEEFF" w:val="clear"/>
            <w:tcMar>
              <w:bottom w:w="28" w:type="dxa"/>
            </w:tcMar>
            <w:vAlign w:val="center"/>
          </w:tcPr>
          <w:p>
            <w:pPr>
              <w:pStyle w:val="TableContents"/>
              <w:bidi w:val="0"/>
              <w:spacing w:before="0" w:after="283"/>
              <w:jc w:val="right"/>
              <w:rPr/>
            </w:pPr>
            <w:r>
              <w:rPr/>
              <w:t>2,412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1,821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3,288</w:t>
            </w:r>
          </w:p>
        </w:tc>
        <w:tc>
          <w:tcPr>
            <w:tcW w:w="174" w:type="dxa"/>
            <w:tcBorders/>
            <w:shd w:fill="CCEEFF" w:val="clear"/>
            <w:vAlign w:val="center"/>
          </w:tcPr>
          <w:p>
            <w:pPr>
              <w:pStyle w:val="TableContents"/>
              <w:bidi w:val="0"/>
              <w:spacing w:before="0" w:after="283"/>
              <w:jc w:val="left"/>
              <w:rPr/>
            </w:pPr>
            <w:r>
              <w:rPr/>
              <w:t> </w:t>
            </w:r>
          </w:p>
        </w:tc>
      </w:tr>
      <w:tr>
        <w:trPr/>
        <w:tc>
          <w:tcPr>
            <w:tcW w:w="5400" w:type="dxa"/>
            <w:tcBorders/>
            <w:vAlign w:val="center"/>
          </w:tcPr>
          <w:p>
            <w:pPr>
              <w:pStyle w:val="TableContents"/>
              <w:bidi w:val="0"/>
              <w:spacing w:before="0" w:after="283"/>
              <w:jc w:val="left"/>
              <w:rPr/>
            </w:pPr>
            <w:r>
              <w:rPr/>
              <w:t>Total revenues</w:t>
            </w:r>
          </w:p>
        </w:tc>
        <w:tc>
          <w:tcPr>
            <w:tcW w:w="90" w:type="dxa"/>
            <w:tcBorders/>
            <w:vAlign w:val="center"/>
          </w:tcPr>
          <w:p>
            <w:pPr>
              <w:pStyle w:val="TableContents"/>
              <w:bidi w:val="0"/>
              <w:spacing w:before="0" w:after="283"/>
              <w:jc w:val="left"/>
              <w:rPr/>
            </w:pPr>
            <w:r>
              <w:rPr/>
              <w:t> </w:t>
            </w:r>
          </w:p>
        </w:tc>
        <w:tc>
          <w:tcPr>
            <w:tcW w:w="181" w:type="dxa"/>
            <w:tcBorders>
              <w:bottom w:val="single" w:sz="8" w:space="0" w:color="000000"/>
            </w:tcBorders>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tcMar>
              <w:bottom w:w="28" w:type="dxa"/>
            </w:tcMar>
            <w:vAlign w:val="center"/>
          </w:tcPr>
          <w:p>
            <w:pPr>
              <w:pStyle w:val="TableContents"/>
              <w:bidi w:val="0"/>
              <w:spacing w:before="0" w:after="283"/>
              <w:jc w:val="right"/>
              <w:rPr/>
            </w:pPr>
            <w:r>
              <w:rPr/>
              <w:t>76,568</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1" w:type="dxa"/>
            <w:tcBorders>
              <w:bottom w:val="single" w:sz="8" w:space="0" w:color="000000"/>
            </w:tcBorders>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tcMar>
              <w:bottom w:w="28" w:type="dxa"/>
            </w:tcMar>
            <w:vAlign w:val="center"/>
          </w:tcPr>
          <w:p>
            <w:pPr>
              <w:pStyle w:val="TableContents"/>
              <w:bidi w:val="0"/>
              <w:spacing w:before="0" w:after="283"/>
              <w:jc w:val="right"/>
              <w:rPr/>
            </w:pPr>
            <w:r>
              <w:rPr/>
              <w:t>88,984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224,059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251,290</w:t>
            </w:r>
          </w:p>
        </w:tc>
        <w:tc>
          <w:tcPr>
            <w:tcW w:w="174" w:type="dxa"/>
            <w:tcBorders/>
            <w:vAlign w:val="center"/>
          </w:tcPr>
          <w:p>
            <w:pPr>
              <w:pStyle w:val="TableContents"/>
              <w:bidi w:val="0"/>
              <w:spacing w:before="0" w:after="283"/>
              <w:ind w:left="0" w:right="0" w:hanging="216"/>
              <w:jc w:val="left"/>
              <w:rPr/>
            </w:pPr>
            <w:r>
              <w:rPr/>
              <w:t> </w:t>
            </w:r>
          </w:p>
        </w:tc>
      </w:tr>
      <w:tr>
        <w:trPr/>
        <w:tc>
          <w:tcPr>
            <w:tcW w:w="54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5400" w:type="dxa"/>
            <w:tcBorders/>
            <w:vAlign w:val="center"/>
          </w:tcPr>
          <w:p>
            <w:pPr>
              <w:pStyle w:val="TableContents"/>
              <w:bidi w:val="0"/>
              <w:spacing w:before="0" w:after="283"/>
              <w:jc w:val="left"/>
              <w:rPr/>
            </w:pPr>
            <w:r>
              <w:rPr/>
              <w:t>Components of net loss: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 </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5400" w:type="dxa"/>
            <w:tcBorders/>
            <w:shd w:fill="CCEEFF" w:val="clear"/>
            <w:vAlign w:val="center"/>
          </w:tcPr>
          <w:p>
            <w:pPr>
              <w:pStyle w:val="TableContents"/>
              <w:bidi w:val="0"/>
              <w:spacing w:before="0" w:after="283"/>
              <w:jc w:val="left"/>
              <w:rPr/>
            </w:pPr>
            <w:r>
              <w:rPr/>
              <w:t>Net premiums earned</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71,905</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83,270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212,407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238,323</w:t>
            </w:r>
          </w:p>
        </w:tc>
        <w:tc>
          <w:tcPr>
            <w:tcW w:w="174" w:type="dxa"/>
            <w:tcBorders/>
            <w:shd w:fill="CCEEFF" w:val="clear"/>
            <w:vAlign w:val="center"/>
          </w:tcPr>
          <w:p>
            <w:pPr>
              <w:pStyle w:val="TableContents"/>
              <w:bidi w:val="0"/>
              <w:spacing w:before="0" w:after="283"/>
              <w:jc w:val="left"/>
              <w:rPr/>
            </w:pPr>
            <w:r>
              <w:rPr/>
              <w:t> </w:t>
            </w:r>
          </w:p>
        </w:tc>
      </w:tr>
      <w:tr>
        <w:trPr/>
        <w:tc>
          <w:tcPr>
            <w:tcW w:w="5400" w:type="dxa"/>
            <w:tcBorders/>
            <w:vAlign w:val="center"/>
          </w:tcPr>
          <w:p>
            <w:pPr>
              <w:pStyle w:val="TableContents"/>
              <w:bidi w:val="0"/>
              <w:spacing w:before="0" w:after="283"/>
              <w:jc w:val="left"/>
              <w:rPr/>
            </w:pPr>
            <w:r>
              <w:rPr/>
              <w:t>Losses and loss adjustment expenses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56,197</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65,100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161,329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174,602</w:t>
            </w:r>
          </w:p>
        </w:tc>
        <w:tc>
          <w:tcPr>
            <w:tcW w:w="174" w:type="dxa"/>
            <w:tcBorders/>
            <w:vAlign w:val="center"/>
          </w:tcPr>
          <w:p>
            <w:pPr>
              <w:pStyle w:val="TableContents"/>
              <w:bidi w:val="0"/>
              <w:spacing w:before="0" w:after="283"/>
              <w:jc w:val="left"/>
              <w:rPr/>
            </w:pPr>
            <w:r>
              <w:rPr/>
              <w:t> </w:t>
            </w:r>
          </w:p>
        </w:tc>
      </w:tr>
      <w:tr>
        <w:trPr/>
        <w:tc>
          <w:tcPr>
            <w:tcW w:w="5400" w:type="dxa"/>
            <w:tcBorders/>
            <w:shd w:fill="CCEEFF" w:val="clear"/>
            <w:vAlign w:val="center"/>
          </w:tcPr>
          <w:p>
            <w:pPr>
              <w:pStyle w:val="TableContents"/>
              <w:bidi w:val="0"/>
              <w:spacing w:before="0" w:after="283"/>
              <w:jc w:val="left"/>
              <w:rPr/>
            </w:pPr>
            <w:r>
              <w:rPr/>
              <w:t>Amortization of deferred policy acquisition costs and other underwriting and general expenses</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shd w:fill="CCEEFF" w:val="clear"/>
            <w:tcMar>
              <w:bottom w:w="28" w:type="dxa"/>
            </w:tcMar>
            <w:vAlign w:val="center"/>
          </w:tcPr>
          <w:p>
            <w:pPr>
              <w:pStyle w:val="TableContents"/>
              <w:bidi w:val="0"/>
              <w:spacing w:before="0" w:after="283"/>
              <w:jc w:val="right"/>
              <w:rPr/>
            </w:pPr>
            <w:r>
              <w:rPr/>
              <w:t>22,229</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shd w:fill="CCEEFF" w:val="clear"/>
            <w:tcMar>
              <w:bottom w:w="28" w:type="dxa"/>
            </w:tcMar>
            <w:vAlign w:val="center"/>
          </w:tcPr>
          <w:p>
            <w:pPr>
              <w:pStyle w:val="TableContents"/>
              <w:bidi w:val="0"/>
              <w:spacing w:before="0" w:after="283"/>
              <w:jc w:val="right"/>
              <w:rPr/>
            </w:pPr>
            <w:r>
              <w:rPr/>
              <w:t>27,340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72,163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80,381</w:t>
            </w:r>
          </w:p>
        </w:tc>
        <w:tc>
          <w:tcPr>
            <w:tcW w:w="174" w:type="dxa"/>
            <w:tcBorders/>
            <w:shd w:fill="CCEEFF" w:val="clear"/>
            <w:vAlign w:val="center"/>
          </w:tcPr>
          <w:p>
            <w:pPr>
              <w:pStyle w:val="TableContents"/>
              <w:bidi w:val="0"/>
              <w:spacing w:before="0" w:after="283"/>
              <w:jc w:val="left"/>
              <w:rPr/>
            </w:pPr>
            <w:r>
              <w:rPr/>
              <w:t> </w:t>
            </w:r>
          </w:p>
        </w:tc>
      </w:tr>
      <w:tr>
        <w:trPr/>
        <w:tc>
          <w:tcPr>
            <w:tcW w:w="5400" w:type="dxa"/>
            <w:tcBorders/>
            <w:vAlign w:val="center"/>
          </w:tcPr>
          <w:p>
            <w:pPr>
              <w:pStyle w:val="TableContents"/>
              <w:bidi w:val="0"/>
              <w:spacing w:before="0" w:after="283"/>
              <w:jc w:val="left"/>
              <w:rPr/>
            </w:pPr>
            <w:r>
              <w:rPr/>
              <w:t>Underwriting loss</w:t>
            </w:r>
          </w:p>
        </w:tc>
        <w:tc>
          <w:tcPr>
            <w:tcW w:w="90" w:type="dxa"/>
            <w:tcBorders/>
            <w:vAlign w:val="center"/>
          </w:tcPr>
          <w:p>
            <w:pPr>
              <w:pStyle w:val="TableContents"/>
              <w:bidi w:val="0"/>
              <w:spacing w:before="0" w:after="283"/>
              <w:jc w:val="left"/>
              <w:rPr/>
            </w:pPr>
            <w:r>
              <w:rPr/>
              <w:t> </w:t>
            </w:r>
          </w:p>
        </w:tc>
        <w:tc>
          <w:tcPr>
            <w:tcW w:w="181" w:type="dxa"/>
            <w:tcBorders>
              <w:bottom w:val="single" w:sz="8" w:space="0" w:color="000000"/>
            </w:tcBorders>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tcMar>
              <w:bottom w:w="28" w:type="dxa"/>
            </w:tcMar>
            <w:vAlign w:val="center"/>
          </w:tcPr>
          <w:p>
            <w:pPr>
              <w:pStyle w:val="TableContents"/>
              <w:bidi w:val="0"/>
              <w:spacing w:before="0" w:after="283"/>
              <w:jc w:val="right"/>
              <w:rPr/>
            </w:pPr>
            <w:r>
              <w:rPr/>
              <w:t>(6,521</w:t>
            </w:r>
          </w:p>
        </w:tc>
        <w:tc>
          <w:tcPr>
            <w:tcW w:w="133" w:type="dxa"/>
            <w:tcBorders/>
            <w:vAlign w:val="center"/>
          </w:tcPr>
          <w:p>
            <w:pPr>
              <w:pStyle w:val="TableContents"/>
              <w:bidi w:val="0"/>
              <w:spacing w:before="0" w:after="283"/>
              <w:jc w:val="left"/>
              <w:rPr/>
            </w:pPr>
            <w:r>
              <w:rPr/>
              <w:t>)</w:t>
            </w:r>
          </w:p>
        </w:tc>
        <w:tc>
          <w:tcPr>
            <w:tcW w:w="96" w:type="dxa"/>
            <w:tcBorders/>
            <w:vAlign w:val="center"/>
          </w:tcPr>
          <w:p>
            <w:pPr>
              <w:pStyle w:val="TableContents"/>
              <w:bidi w:val="0"/>
              <w:spacing w:before="0" w:after="283"/>
              <w:jc w:val="left"/>
              <w:rPr/>
            </w:pPr>
            <w:r>
              <w:rPr/>
              <w:t> </w:t>
            </w:r>
          </w:p>
        </w:tc>
        <w:tc>
          <w:tcPr>
            <w:tcW w:w="181" w:type="dxa"/>
            <w:tcBorders>
              <w:bottom w:val="single" w:sz="8" w:space="0" w:color="000000"/>
            </w:tcBorders>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tcMar>
              <w:bottom w:w="28" w:type="dxa"/>
            </w:tcMar>
            <w:vAlign w:val="center"/>
          </w:tcPr>
          <w:p>
            <w:pPr>
              <w:pStyle w:val="TableContents"/>
              <w:bidi w:val="0"/>
              <w:spacing w:before="0" w:after="283"/>
              <w:jc w:val="right"/>
              <w:rPr/>
            </w:pPr>
            <w:r>
              <w:rPr/>
              <w:t>(9,170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(21,085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(16,660</w:t>
            </w:r>
          </w:p>
        </w:tc>
        <w:tc>
          <w:tcPr>
            <w:tcW w:w="174" w:type="dxa"/>
            <w:tcBorders/>
            <w:vAlign w:val="center"/>
          </w:tcPr>
          <w:p>
            <w:pPr>
              <w:pStyle w:val="TableContents"/>
              <w:bidi w:val="0"/>
              <w:spacing w:before="0" w:after="283"/>
              <w:ind w:left="0" w:right="0" w:hanging="216"/>
              <w:jc w:val="left"/>
              <w:rPr/>
            </w:pPr>
            <w:r>
              <w:rPr/>
              <w:t>)</w:t>
            </w:r>
          </w:p>
        </w:tc>
      </w:tr>
      <w:tr>
        <w:trPr/>
        <w:tc>
          <w:tcPr>
            <w:tcW w:w="54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ind w:left="0" w:right="0" w:hanging="216"/>
              <w:jc w:val="left"/>
              <w:rPr/>
            </w:pPr>
            <w:r>
              <w:rPr/>
              <w:t> </w:t>
            </w:r>
          </w:p>
        </w:tc>
      </w:tr>
      <w:tr>
        <w:trPr/>
        <w:tc>
          <w:tcPr>
            <w:tcW w:w="5400" w:type="dxa"/>
            <w:tcBorders/>
            <w:vAlign w:val="center"/>
          </w:tcPr>
          <w:p>
            <w:pPr>
              <w:pStyle w:val="TableContents"/>
              <w:bidi w:val="0"/>
              <w:spacing w:before="0" w:after="283"/>
              <w:jc w:val="left"/>
              <w:rPr/>
            </w:pPr>
            <w:r>
              <w:rPr/>
              <w:t>Fee and other income</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261</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1,590</w:t>
            </w:r>
          </w:p>
        </w:tc>
        <w:tc>
          <w:tcPr>
            <w:tcW w:w="174" w:type="dxa"/>
            <w:tcBorders/>
            <w:vAlign w:val="center"/>
          </w:tcPr>
          <w:p>
            <w:pPr>
              <w:pStyle w:val="TableContents"/>
              <w:bidi w:val="0"/>
              <w:spacing w:before="0" w:after="283"/>
              <w:jc w:val="left"/>
              <w:rPr/>
            </w:pPr>
            <w:r>
              <w:rPr/>
              <w:t> </w:t>
            </w:r>
          </w:p>
        </w:tc>
      </w:tr>
      <w:tr>
        <w:trPr/>
        <w:tc>
          <w:tcPr>
            <w:tcW w:w="5400" w:type="dxa"/>
            <w:tcBorders/>
            <w:shd w:fill="CCEEFF" w:val="clear"/>
            <w:vAlign w:val="center"/>
          </w:tcPr>
          <w:p>
            <w:pPr>
              <w:pStyle w:val="TableContents"/>
              <w:bidi w:val="0"/>
              <w:spacing w:before="0" w:after="283"/>
              <w:jc w:val="left"/>
              <w:rPr/>
            </w:pPr>
            <w:r>
              <w:rPr/>
              <w:t>Net investment income</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3,040</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2,811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9,024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8,089</w:t>
            </w:r>
          </w:p>
        </w:tc>
        <w:tc>
          <w:tcPr>
            <w:tcW w:w="174" w:type="dxa"/>
            <w:tcBorders/>
            <w:shd w:fill="CCEEFF" w:val="clear"/>
            <w:vAlign w:val="center"/>
          </w:tcPr>
          <w:p>
            <w:pPr>
              <w:pStyle w:val="TableContents"/>
              <w:bidi w:val="0"/>
              <w:spacing w:before="0" w:after="283"/>
              <w:jc w:val="left"/>
              <w:rPr/>
            </w:pPr>
            <w:r>
              <w:rPr/>
              <w:t> </w:t>
            </w:r>
          </w:p>
        </w:tc>
      </w:tr>
      <w:tr>
        <w:trPr/>
        <w:tc>
          <w:tcPr>
            <w:tcW w:w="5400" w:type="dxa"/>
            <w:tcBorders/>
            <w:vAlign w:val="center"/>
          </w:tcPr>
          <w:p>
            <w:pPr>
              <w:pStyle w:val="TableContents"/>
              <w:bidi w:val="0"/>
              <w:spacing w:before="0" w:after="283"/>
              <w:jc w:val="left"/>
              <w:rPr/>
            </w:pPr>
            <w:r>
              <w:rPr/>
              <w:t>Net investment gains</w:t>
            </w:r>
          </w:p>
        </w:tc>
        <w:tc>
          <w:tcPr>
            <w:tcW w:w="90" w:type="dxa"/>
            <w:tcBorders/>
            <w:vAlign w:val="center"/>
          </w:tcPr>
          <w:p>
            <w:pPr>
              <w:pStyle w:val="TableContents"/>
              <w:bidi w:val="0"/>
              <w:spacing w:before="0" w:after="283"/>
              <w:jc w:val="left"/>
              <w:rPr/>
            </w:pPr>
            <w:r>
              <w:rPr/>
              <w:t> </w:t>
            </w:r>
          </w:p>
        </w:tc>
        <w:tc>
          <w:tcPr>
            <w:tcW w:w="181" w:type="dxa"/>
            <w:tcBorders>
              <w:bottom w:val="single" w:sz="8" w:space="0" w:color="000000"/>
            </w:tcBorders>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tcMar>
              <w:bottom w:w="28" w:type="dxa"/>
            </w:tcMar>
            <w:vAlign w:val="center"/>
          </w:tcPr>
          <w:p>
            <w:pPr>
              <w:pStyle w:val="TableContents"/>
              <w:bidi w:val="0"/>
              <w:spacing w:before="0" w:after="283"/>
              <w:jc w:val="right"/>
              <w:rPr/>
            </w:pPr>
            <w:r>
              <w:rPr/>
              <w:t>1,362</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1" w:type="dxa"/>
            <w:tcBorders>
              <w:bottom w:val="single" w:sz="8" w:space="0" w:color="000000"/>
            </w:tcBorders>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tcMar>
              <w:bottom w:w="28" w:type="dxa"/>
            </w:tcMar>
            <w:vAlign w:val="center"/>
          </w:tcPr>
          <w:p>
            <w:pPr>
              <w:pStyle w:val="TableContents"/>
              <w:bidi w:val="0"/>
              <w:spacing w:before="0" w:after="283"/>
              <w:jc w:val="right"/>
              <w:rPr/>
            </w:pPr>
            <w:r>
              <w:rPr/>
              <w:t>2,412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1,821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3,288</w:t>
            </w:r>
          </w:p>
        </w:tc>
        <w:tc>
          <w:tcPr>
            <w:tcW w:w="174" w:type="dxa"/>
            <w:tcBorders/>
            <w:vAlign w:val="center"/>
          </w:tcPr>
          <w:p>
            <w:pPr>
              <w:pStyle w:val="TableContents"/>
              <w:bidi w:val="0"/>
              <w:spacing w:before="0" w:after="283"/>
              <w:jc w:val="left"/>
              <w:rPr/>
            </w:pPr>
            <w:r>
              <w:rPr/>
              <w:t> </w:t>
            </w:r>
          </w:p>
        </w:tc>
      </w:tr>
      <w:tr>
        <w:trPr/>
        <w:tc>
          <w:tcPr>
            <w:tcW w:w="5400" w:type="dxa"/>
            <w:tcBorders/>
            <w:shd w:fill="CCEEFF" w:val="clear"/>
            <w:vAlign w:val="center"/>
          </w:tcPr>
          <w:p>
            <w:pPr>
              <w:pStyle w:val="TableContents"/>
              <w:bidi w:val="0"/>
              <w:spacing w:before="0" w:after="283"/>
              <w:jc w:val="left"/>
              <w:rPr/>
            </w:pPr>
            <w:r>
              <w:rPr/>
              <w:t>Loss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(1,858</w:t>
            </w:r>
          </w:p>
        </w:tc>
        <w:tc>
          <w:tcPr>
            <w:tcW w:w="133"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(3,456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(9,433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(3,693</w:t>
            </w:r>
          </w:p>
        </w:tc>
        <w:tc>
          <w:tcPr>
            <w:tcW w:w="174" w:type="dxa"/>
            <w:tcBorders/>
            <w:shd w:fill="CCEEFF" w:val="clear"/>
            <w:vAlign w:val="center"/>
          </w:tcPr>
          <w:p>
            <w:pPr>
              <w:pStyle w:val="TableContents"/>
              <w:bidi w:val="0"/>
              <w:spacing w:before="0" w:after="283"/>
              <w:jc w:val="left"/>
              <w:rPr/>
            </w:pPr>
            <w:r>
              <w:rPr/>
              <w:t>)</w:t>
            </w:r>
          </w:p>
        </w:tc>
      </w:tr>
      <w:tr>
        <w:trPr/>
        <w:tc>
          <w:tcPr>
            <w:tcW w:w="5400" w:type="dxa"/>
            <w:tcBorders/>
            <w:vAlign w:val="center"/>
          </w:tcPr>
          <w:p>
            <w:pPr>
              <w:pStyle w:val="TableContents"/>
              <w:bidi w:val="0"/>
              <w:spacing w:before="0" w:after="283"/>
              <w:jc w:val="left"/>
              <w:rPr/>
            </w:pPr>
            <w:r>
              <w:rPr/>
              <w:t>Income tax benefit</w:t>
            </w:r>
          </w:p>
        </w:tc>
        <w:tc>
          <w:tcPr>
            <w:tcW w:w="90" w:type="dxa"/>
            <w:tcBorders/>
            <w:vAlign w:val="center"/>
          </w:tcPr>
          <w:p>
            <w:pPr>
              <w:pStyle w:val="TableContents"/>
              <w:bidi w:val="0"/>
              <w:spacing w:before="0" w:after="283"/>
              <w:jc w:val="left"/>
              <w:rPr/>
            </w:pPr>
            <w:r>
              <w:rPr/>
              <w:t> </w:t>
            </w:r>
          </w:p>
        </w:tc>
        <w:tc>
          <w:tcPr>
            <w:tcW w:w="181" w:type="dxa"/>
            <w:tcBorders>
              <w:bottom w:val="single" w:sz="8" w:space="0" w:color="000000"/>
            </w:tcBorders>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tcMar>
              <w:bottom w:w="28" w:type="dxa"/>
            </w:tcMar>
            <w:vAlign w:val="center"/>
          </w:tcPr>
          <w:p>
            <w:pPr>
              <w:pStyle w:val="TableContents"/>
              <w:bidi w:val="0"/>
              <w:spacing w:before="0" w:after="283"/>
              <w:jc w:val="right"/>
              <w:rPr/>
            </w:pPr>
            <w:r>
              <w:rPr/>
              <w:t>(192</w:t>
            </w:r>
          </w:p>
        </w:tc>
        <w:tc>
          <w:tcPr>
            <w:tcW w:w="133" w:type="dxa"/>
            <w:tcBorders/>
            <w:vAlign w:val="center"/>
          </w:tcPr>
          <w:p>
            <w:pPr>
              <w:pStyle w:val="TableContents"/>
              <w:bidi w:val="0"/>
              <w:spacing w:before="0" w:after="283"/>
              <w:jc w:val="left"/>
              <w:rPr/>
            </w:pPr>
            <w:r>
              <w:rPr/>
              <w:t>)</w:t>
            </w:r>
          </w:p>
        </w:tc>
        <w:tc>
          <w:tcPr>
            <w:tcW w:w="96" w:type="dxa"/>
            <w:tcBorders/>
            <w:vAlign w:val="center"/>
          </w:tcPr>
          <w:p>
            <w:pPr>
              <w:pStyle w:val="TableContents"/>
              <w:bidi w:val="0"/>
              <w:spacing w:before="0" w:after="283"/>
              <w:jc w:val="left"/>
              <w:rPr/>
            </w:pPr>
            <w:r>
              <w:rPr/>
              <w:t> </w:t>
            </w:r>
          </w:p>
        </w:tc>
        <w:tc>
          <w:tcPr>
            <w:tcW w:w="181" w:type="dxa"/>
            <w:tcBorders>
              <w:bottom w:val="single" w:sz="8" w:space="0" w:color="000000"/>
            </w:tcBorders>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tcMar>
              <w:bottom w:w="28" w:type="dxa"/>
            </w:tcMar>
            <w:vAlign w:val="center"/>
          </w:tcPr>
          <w:p>
            <w:pPr>
              <w:pStyle w:val="TableContents"/>
              <w:bidi w:val="0"/>
              <w:spacing w:before="0" w:after="283"/>
              <w:jc w:val="right"/>
              <w:rPr/>
            </w:pPr>
            <w:r>
              <w:rPr/>
              <w:t>(751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(2,176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(445</w:t>
            </w:r>
          </w:p>
        </w:tc>
        <w:tc>
          <w:tcPr>
            <w:tcW w:w="174" w:type="dxa"/>
            <w:tcBorders/>
            <w:vAlign w:val="center"/>
          </w:tcPr>
          <w:p>
            <w:pPr>
              <w:pStyle w:val="TableContents"/>
              <w:bidi w:val="0"/>
              <w:spacing w:before="0" w:after="283"/>
              <w:jc w:val="left"/>
              <w:rPr/>
            </w:pPr>
            <w:r>
              <w:rPr/>
              <w:t>)</w:t>
            </w:r>
          </w:p>
        </w:tc>
      </w:tr>
      <w:tr>
        <w:trPr/>
        <w:tc>
          <w:tcPr>
            <w:tcW w:w="5400" w:type="dxa"/>
            <w:tcBorders/>
            <w:shd w:fill="CCEEFF" w:val="clear"/>
            <w:vAlign w:val="center"/>
          </w:tcPr>
          <w:p>
            <w:pPr>
              <w:pStyle w:val="TableContents"/>
              <w:bidi w:val="0"/>
              <w:spacing w:before="0" w:after="283"/>
              <w:jc w:val="left"/>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jc w:val="right"/>
              <w:rPr/>
            </w:pPr>
            <w:r>
              <w:rPr/>
              <w:t>(1,666</w:t>
            </w:r>
          </w:p>
        </w:tc>
        <w:tc>
          <w:tcPr>
            <w:tcW w:w="133"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jc w:val="right"/>
              <w:rPr/>
            </w:pPr>
            <w:r>
              <w:rPr/>
              <w:t>(2,705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(7,257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(3,248</w:t>
            </w:r>
          </w:p>
        </w:tc>
        <w:tc>
          <w:tcPr>
            <w:tcW w:w="17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Premiums Earned</w:t>
      </w:r>
    </w:p>
    <w:tbl>
      <w:tblPr>
        <w:tblW w:w="10205" w:type="dxa"/>
        <w:jc w:val="left"/>
        <w:tblInd w:w="0" w:type="dxa"/>
        <w:tblLayout w:type="fixed"/>
        <w:tblCellMar>
          <w:top w:w="0" w:type="dxa"/>
          <w:left w:w="0" w:type="dxa"/>
          <w:bottom w:w="0" w:type="dxa"/>
          <w:right w:w="0" w:type="dxa"/>
        </w:tblCellMar>
      </w:tblPr>
      <w:tblGrid>
        <w:gridCol w:w="2509"/>
        <w:gridCol w:w="90"/>
        <w:gridCol w:w="304"/>
        <w:gridCol w:w="1406"/>
        <w:gridCol w:w="223"/>
        <w:gridCol w:w="160"/>
        <w:gridCol w:w="304"/>
        <w:gridCol w:w="1271"/>
        <w:gridCol w:w="125"/>
        <w:gridCol w:w="90"/>
        <w:gridCol w:w="271"/>
        <w:gridCol w:w="1331"/>
        <w:gridCol w:w="200"/>
        <w:gridCol w:w="144"/>
        <w:gridCol w:w="271"/>
        <w:gridCol w:w="1331"/>
        <w:gridCol w:w="175"/>
      </w:tblGrid>
      <w:tr>
        <w:trPr/>
        <w:tc>
          <w:tcPr>
            <w:tcW w:w="25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6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4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75" w:type="dxa"/>
            <w:tcBorders/>
            <w:vAlign w:val="center"/>
          </w:tcPr>
          <w:p>
            <w:pPr>
              <w:pStyle w:val="TableContents"/>
              <w:bidi w:val="0"/>
              <w:spacing w:before="0" w:after="283"/>
              <w:jc w:val="left"/>
              <w:rPr/>
            </w:pPr>
            <w:r>
              <w:rPr/>
              <w:t> </w:t>
            </w:r>
          </w:p>
        </w:tc>
      </w:tr>
      <w:tr>
        <w:trPr/>
        <w:tc>
          <w:tcPr>
            <w:tcW w:w="25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23"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0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6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5" w:type="dxa"/>
            <w:tcBorders/>
            <w:vAlign w:val="center"/>
          </w:tcPr>
          <w:p>
            <w:pPr>
              <w:pStyle w:val="TableContents"/>
              <w:bidi w:val="0"/>
              <w:spacing w:before="0" w:after="283"/>
              <w:ind w:left="0" w:right="0" w:hanging="216"/>
              <w:jc w:val="left"/>
              <w:rPr/>
            </w:pPr>
            <w:r>
              <w:rPr/>
              <w:t> </w:t>
            </w:r>
          </w:p>
        </w:tc>
      </w:tr>
      <w:tr>
        <w:trPr/>
        <w:tc>
          <w:tcPr>
            <w:tcW w:w="2509" w:type="dxa"/>
            <w:tcBorders/>
            <w:shd w:fill="CCEEFF" w:val="clear"/>
            <w:vAlign w:val="center"/>
          </w:tcPr>
          <w:p>
            <w:pPr>
              <w:pStyle w:val="TableContents"/>
              <w:bidi w:val="0"/>
              <w:spacing w:before="0" w:after="283"/>
              <w:jc w:val="left"/>
              <w:rPr/>
            </w:pPr>
            <w:r>
              <w:rPr/>
              <w:t>Net premiums earned:</w:t>
            </w:r>
          </w:p>
        </w:tc>
        <w:tc>
          <w:tcPr>
            <w:tcW w:w="9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pPr>
            <w:r>
              <w:rPr/>
              <w:t> </w:t>
            </w:r>
          </w:p>
        </w:tc>
        <w:tc>
          <w:tcPr>
            <w:tcW w:w="22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2509" w:type="dxa"/>
            <w:tcBorders/>
            <w:vAlign w:val="center"/>
          </w:tcPr>
          <w:p>
            <w:pPr>
              <w:pStyle w:val="TableContents"/>
              <w:bidi w:val="0"/>
              <w:spacing w:before="0" w:after="283"/>
              <w:jc w:val="left"/>
              <w:rPr/>
            </w:pPr>
            <w:r>
              <w:rPr/>
              <w:t>Direct premium</w:t>
            </w:r>
          </w:p>
        </w:tc>
        <w:tc>
          <w:tcPr>
            <w:tcW w:w="9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1406" w:type="dxa"/>
            <w:tcBorders/>
            <w:vAlign w:val="center"/>
          </w:tcPr>
          <w:p>
            <w:pPr>
              <w:pStyle w:val="TableContents"/>
              <w:bidi w:val="0"/>
              <w:spacing w:before="0" w:after="283"/>
              <w:jc w:val="right"/>
              <w:rPr/>
            </w:pPr>
            <w:r>
              <w:rPr/>
              <w:t>81,819</w:t>
            </w:r>
          </w:p>
        </w:tc>
        <w:tc>
          <w:tcPr>
            <w:tcW w:w="223"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1271" w:type="dxa"/>
            <w:tcBorders/>
            <w:vAlign w:val="center"/>
          </w:tcPr>
          <w:p>
            <w:pPr>
              <w:pStyle w:val="TableContents"/>
              <w:bidi w:val="0"/>
              <w:spacing w:before="0" w:after="283"/>
              <w:jc w:val="right"/>
              <w:rPr/>
            </w:pPr>
            <w:r>
              <w:rPr/>
              <w:t>90,125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w:t>
            </w:r>
          </w:p>
        </w:tc>
        <w:tc>
          <w:tcPr>
            <w:tcW w:w="1331" w:type="dxa"/>
            <w:tcBorders/>
            <w:vAlign w:val="center"/>
          </w:tcPr>
          <w:p>
            <w:pPr>
              <w:pStyle w:val="TableContents"/>
              <w:bidi w:val="0"/>
              <w:spacing w:before="0" w:after="283"/>
              <w:jc w:val="right"/>
              <w:rPr/>
            </w:pPr>
            <w:r>
              <w:rPr/>
              <w:t>236,523</w:t>
            </w:r>
          </w:p>
        </w:tc>
        <w:tc>
          <w:tcPr>
            <w:tcW w:w="20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w:t>
            </w:r>
          </w:p>
        </w:tc>
        <w:tc>
          <w:tcPr>
            <w:tcW w:w="1331" w:type="dxa"/>
            <w:tcBorders/>
            <w:vAlign w:val="center"/>
          </w:tcPr>
          <w:p>
            <w:pPr>
              <w:pStyle w:val="TableContents"/>
              <w:bidi w:val="0"/>
              <w:spacing w:before="0" w:after="283"/>
              <w:jc w:val="right"/>
              <w:rPr/>
            </w:pPr>
            <w:r>
              <w:rPr/>
              <w:t>257,024</w:t>
            </w:r>
          </w:p>
        </w:tc>
        <w:tc>
          <w:tcPr>
            <w:tcW w:w="175" w:type="dxa"/>
            <w:tcBorders/>
            <w:vAlign w:val="center"/>
          </w:tcPr>
          <w:p>
            <w:pPr>
              <w:pStyle w:val="TableContents"/>
              <w:bidi w:val="0"/>
              <w:spacing w:before="0" w:after="283"/>
              <w:jc w:val="left"/>
              <w:rPr/>
            </w:pPr>
            <w:r>
              <w:rPr/>
              <w:t> </w:t>
            </w:r>
          </w:p>
        </w:tc>
      </w:tr>
      <w:tr>
        <w:trPr/>
        <w:tc>
          <w:tcPr>
            <w:tcW w:w="2509" w:type="dxa"/>
            <w:tcBorders/>
            <w:shd w:fill="CCEEFF" w:val="clear"/>
            <w:vAlign w:val="center"/>
          </w:tcPr>
          <w:p>
            <w:pPr>
              <w:pStyle w:val="TableContents"/>
              <w:bidi w:val="0"/>
              <w:spacing w:before="0" w:after="283"/>
              <w:jc w:val="left"/>
              <w:rPr/>
            </w:pPr>
            <w:r>
              <w:rPr/>
              <w:t>Assumed premium</w:t>
            </w:r>
          </w:p>
        </w:tc>
        <w:tc>
          <w:tcPr>
            <w:tcW w:w="9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pPr>
            <w:r>
              <w:rPr/>
              <w:t>1,741</w:t>
            </w:r>
          </w:p>
        </w:tc>
        <w:tc>
          <w:tcPr>
            <w:tcW w:w="22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1,880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2,476</w:t>
            </w:r>
          </w:p>
        </w:tc>
        <w:tc>
          <w:tcPr>
            <w:tcW w:w="20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2,684</w:t>
            </w:r>
          </w:p>
        </w:tc>
        <w:tc>
          <w:tcPr>
            <w:tcW w:w="175" w:type="dxa"/>
            <w:tcBorders/>
            <w:shd w:fill="CCEEFF" w:val="clear"/>
            <w:vAlign w:val="center"/>
          </w:tcPr>
          <w:p>
            <w:pPr>
              <w:pStyle w:val="TableContents"/>
              <w:bidi w:val="0"/>
              <w:spacing w:before="0" w:after="283"/>
              <w:jc w:val="left"/>
              <w:rPr/>
            </w:pPr>
            <w:r>
              <w:rPr/>
              <w:t> </w:t>
            </w:r>
          </w:p>
        </w:tc>
      </w:tr>
      <w:tr>
        <w:trPr/>
        <w:tc>
          <w:tcPr>
            <w:tcW w:w="2509" w:type="dxa"/>
            <w:tcBorders/>
            <w:vAlign w:val="center"/>
          </w:tcPr>
          <w:p>
            <w:pPr>
              <w:pStyle w:val="TableContents"/>
              <w:bidi w:val="0"/>
              <w:spacing w:before="0" w:after="283"/>
              <w:jc w:val="left"/>
              <w:rPr/>
            </w:pPr>
            <w:r>
              <w:rPr/>
              <w:t>Ceded premium</w:t>
            </w:r>
          </w:p>
        </w:tc>
        <w:tc>
          <w:tcPr>
            <w:tcW w:w="90" w:type="dxa"/>
            <w:tcBorders/>
            <w:vAlign w:val="center"/>
          </w:tcPr>
          <w:p>
            <w:pPr>
              <w:pStyle w:val="TableContents"/>
              <w:bidi w:val="0"/>
              <w:spacing w:before="0" w:after="283"/>
              <w:jc w:val="left"/>
              <w:rPr/>
            </w:pPr>
            <w:r>
              <w:rPr/>
              <w:t> </w:t>
            </w:r>
          </w:p>
        </w:tc>
        <w:tc>
          <w:tcPr>
            <w:tcW w:w="304" w:type="dxa"/>
            <w:tcBorders>
              <w:bottom w:val="single" w:sz="8" w:space="0" w:color="000000"/>
            </w:tcBorders>
            <w:tcMar>
              <w:bottom w:w="28" w:type="dxa"/>
            </w:tcMar>
            <w:vAlign w:val="center"/>
          </w:tcPr>
          <w:p>
            <w:pPr>
              <w:pStyle w:val="TableContents"/>
              <w:bidi w:val="0"/>
              <w:spacing w:before="0" w:after="283"/>
              <w:jc w:val="left"/>
              <w:rPr/>
            </w:pPr>
            <w:r>
              <w:rPr/>
              <w:t> </w:t>
            </w:r>
          </w:p>
        </w:tc>
        <w:tc>
          <w:tcPr>
            <w:tcW w:w="1406" w:type="dxa"/>
            <w:tcBorders>
              <w:bottom w:val="single" w:sz="8" w:space="0" w:color="000000"/>
            </w:tcBorders>
            <w:tcMar>
              <w:bottom w:w="28" w:type="dxa"/>
            </w:tcMar>
            <w:vAlign w:val="center"/>
          </w:tcPr>
          <w:p>
            <w:pPr>
              <w:pStyle w:val="TableContents"/>
              <w:bidi w:val="0"/>
              <w:spacing w:before="0" w:after="283"/>
              <w:jc w:val="right"/>
              <w:rPr/>
            </w:pPr>
            <w:r>
              <w:rPr/>
              <w:t>(11,655</w:t>
            </w:r>
          </w:p>
        </w:tc>
        <w:tc>
          <w:tcPr>
            <w:tcW w:w="223"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 </w:t>
            </w:r>
          </w:p>
        </w:tc>
        <w:tc>
          <w:tcPr>
            <w:tcW w:w="304" w:type="dxa"/>
            <w:tcBorders>
              <w:bottom w:val="single" w:sz="8" w:space="0" w:color="000000"/>
            </w:tcBorders>
            <w:tcMar>
              <w:bottom w:w="28" w:type="dxa"/>
            </w:tcMar>
            <w:vAlign w:val="center"/>
          </w:tcPr>
          <w:p>
            <w:pPr>
              <w:pStyle w:val="TableContents"/>
              <w:bidi w:val="0"/>
              <w:spacing w:before="0" w:after="283"/>
              <w:jc w:val="left"/>
              <w:rPr/>
            </w:pPr>
            <w:r>
              <w:rPr/>
              <w:t> </w:t>
            </w:r>
          </w:p>
        </w:tc>
        <w:tc>
          <w:tcPr>
            <w:tcW w:w="1271" w:type="dxa"/>
            <w:tcBorders>
              <w:bottom w:val="single" w:sz="8" w:space="0" w:color="000000"/>
            </w:tcBorders>
            <w:tcMar>
              <w:bottom w:w="28" w:type="dxa"/>
            </w:tcMar>
            <w:vAlign w:val="center"/>
          </w:tcPr>
          <w:p>
            <w:pPr>
              <w:pStyle w:val="TableContents"/>
              <w:bidi w:val="0"/>
              <w:spacing w:before="0" w:after="283"/>
              <w:jc w:val="right"/>
              <w:rPr/>
            </w:pPr>
            <w:r>
              <w:rPr/>
              <w:t>(8,735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1" w:type="dxa"/>
            <w:tcBorders>
              <w:bottom w:val="single" w:sz="8" w:space="0" w:color="000000"/>
            </w:tcBorders>
            <w:tcMar>
              <w:bottom w:w="28" w:type="dxa"/>
            </w:tcMar>
            <w:vAlign w:val="center"/>
          </w:tcPr>
          <w:p>
            <w:pPr>
              <w:pStyle w:val="TableContents"/>
              <w:bidi w:val="0"/>
              <w:spacing w:before="0" w:after="283"/>
              <w:jc w:val="left"/>
              <w:rPr/>
            </w:pPr>
            <w:r>
              <w:rPr/>
              <w:t> </w:t>
            </w:r>
          </w:p>
        </w:tc>
        <w:tc>
          <w:tcPr>
            <w:tcW w:w="1331" w:type="dxa"/>
            <w:tcBorders>
              <w:bottom w:val="single" w:sz="8" w:space="0" w:color="000000"/>
            </w:tcBorders>
            <w:tcMar>
              <w:bottom w:w="28" w:type="dxa"/>
            </w:tcMar>
            <w:vAlign w:val="center"/>
          </w:tcPr>
          <w:p>
            <w:pPr>
              <w:pStyle w:val="TableContents"/>
              <w:bidi w:val="0"/>
              <w:spacing w:before="0" w:after="283"/>
              <w:jc w:val="right"/>
              <w:rPr/>
            </w:pPr>
            <w:r>
              <w:rPr/>
              <w:t>(26,592</w:t>
            </w:r>
          </w:p>
        </w:tc>
        <w:tc>
          <w:tcPr>
            <w:tcW w:w="200" w:type="dxa"/>
            <w:tcBorders/>
            <w:vAlign w:val="center"/>
          </w:tcPr>
          <w:p>
            <w:pPr>
              <w:pStyle w:val="TableContents"/>
              <w:bidi w:val="0"/>
              <w:spacing w:before="0" w:after="283"/>
              <w:jc w:val="left"/>
              <w:rPr/>
            </w:pPr>
            <w:r>
              <w:rPr/>
              <w:t>)</w:t>
            </w:r>
          </w:p>
        </w:tc>
        <w:tc>
          <w:tcPr>
            <w:tcW w:w="144" w:type="dxa"/>
            <w:tcBorders/>
            <w:vAlign w:val="center"/>
          </w:tcPr>
          <w:p>
            <w:pPr>
              <w:pStyle w:val="TableContents"/>
              <w:bidi w:val="0"/>
              <w:spacing w:before="0" w:after="283"/>
              <w:jc w:val="left"/>
              <w:rPr/>
            </w:pPr>
            <w:r>
              <w:rPr/>
              <w:t> </w:t>
            </w:r>
          </w:p>
        </w:tc>
        <w:tc>
          <w:tcPr>
            <w:tcW w:w="271" w:type="dxa"/>
            <w:tcBorders>
              <w:bottom w:val="single" w:sz="8" w:space="0" w:color="000000"/>
            </w:tcBorders>
            <w:tcMar>
              <w:bottom w:w="28" w:type="dxa"/>
            </w:tcMar>
            <w:vAlign w:val="center"/>
          </w:tcPr>
          <w:p>
            <w:pPr>
              <w:pStyle w:val="TableContents"/>
              <w:bidi w:val="0"/>
              <w:spacing w:before="0" w:after="283"/>
              <w:jc w:val="left"/>
              <w:rPr/>
            </w:pPr>
            <w:r>
              <w:rPr/>
              <w:t> </w:t>
            </w:r>
          </w:p>
        </w:tc>
        <w:tc>
          <w:tcPr>
            <w:tcW w:w="1331" w:type="dxa"/>
            <w:tcBorders>
              <w:bottom w:val="single" w:sz="8" w:space="0" w:color="000000"/>
            </w:tcBorders>
            <w:tcMar>
              <w:bottom w:w="28" w:type="dxa"/>
            </w:tcMar>
            <w:vAlign w:val="center"/>
          </w:tcPr>
          <w:p>
            <w:pPr>
              <w:pStyle w:val="TableContents"/>
              <w:bidi w:val="0"/>
              <w:spacing w:before="0" w:after="283"/>
              <w:jc w:val="right"/>
              <w:rPr/>
            </w:pPr>
            <w:r>
              <w:rPr/>
              <w:t>(21,385</w:t>
            </w:r>
          </w:p>
        </w:tc>
        <w:tc>
          <w:tcPr>
            <w:tcW w:w="175" w:type="dxa"/>
            <w:tcBorders/>
            <w:vAlign w:val="center"/>
          </w:tcPr>
          <w:p>
            <w:pPr>
              <w:pStyle w:val="TableContents"/>
              <w:bidi w:val="0"/>
              <w:spacing w:before="0" w:after="283"/>
              <w:jc w:val="left"/>
              <w:rPr/>
            </w:pPr>
            <w:r>
              <w:rPr/>
              <w:t>)</w:t>
            </w:r>
          </w:p>
        </w:tc>
      </w:tr>
      <w:tr>
        <w:trPr/>
        <w:tc>
          <w:tcPr>
            <w:tcW w:w="2509" w:type="dxa"/>
            <w:tcBorders/>
            <w:shd w:fill="CCEEFF" w:val="clear"/>
            <w:vAlign w:val="center"/>
          </w:tcPr>
          <w:p>
            <w:pPr>
              <w:pStyle w:val="TableContents"/>
              <w:bidi w:val="0"/>
              <w:spacing w:before="0" w:after="283"/>
              <w:jc w:val="left"/>
              <w:rPr/>
            </w:pPr>
            <w:r>
              <w:rPr/>
              <w:t>Total net premiums earned</w:t>
            </w:r>
          </w:p>
        </w:tc>
        <w:tc>
          <w:tcPr>
            <w:tcW w:w="90" w:type="dxa"/>
            <w:tcBorders/>
            <w:shd w:fill="CCEEFF" w:val="clear"/>
            <w:vAlign w:val="center"/>
          </w:tcPr>
          <w:p>
            <w:pPr>
              <w:pStyle w:val="TableContents"/>
              <w:bidi w:val="0"/>
              <w:spacing w:before="0" w:after="283"/>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6" w:type="dxa"/>
            <w:tcBorders>
              <w:bottom w:val="double" w:sz="6" w:space="0" w:color="000000"/>
            </w:tcBorders>
            <w:shd w:fill="CCEEFF" w:val="clear"/>
            <w:tcMar>
              <w:bottom w:w="28" w:type="dxa"/>
            </w:tcMar>
            <w:vAlign w:val="center"/>
          </w:tcPr>
          <w:p>
            <w:pPr>
              <w:pStyle w:val="TableContents"/>
              <w:bidi w:val="0"/>
              <w:spacing w:before="0" w:after="283"/>
              <w:jc w:val="right"/>
              <w:rPr/>
            </w:pPr>
            <w:r>
              <w:rPr/>
              <w:t>71,905</w:t>
            </w:r>
          </w:p>
        </w:tc>
        <w:tc>
          <w:tcPr>
            <w:tcW w:w="22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1" w:type="dxa"/>
            <w:tcBorders>
              <w:bottom w:val="double" w:sz="6" w:space="0" w:color="000000"/>
            </w:tcBorders>
            <w:shd w:fill="CCEEFF" w:val="clear"/>
            <w:tcMar>
              <w:bottom w:w="28" w:type="dxa"/>
            </w:tcMar>
            <w:vAlign w:val="center"/>
          </w:tcPr>
          <w:p>
            <w:pPr>
              <w:pStyle w:val="TableContents"/>
              <w:bidi w:val="0"/>
              <w:spacing w:before="0" w:after="283"/>
              <w:jc w:val="right"/>
              <w:rPr/>
            </w:pPr>
            <w:r>
              <w:rPr/>
              <w:t>83,270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1" w:type="dxa"/>
            <w:tcBorders>
              <w:bottom w:val="double" w:sz="6" w:space="0" w:color="000000"/>
            </w:tcBorders>
            <w:shd w:fill="CCEEFF" w:val="clear"/>
            <w:tcMar>
              <w:bottom w:w="28" w:type="dxa"/>
            </w:tcMar>
            <w:vAlign w:val="center"/>
          </w:tcPr>
          <w:p>
            <w:pPr>
              <w:pStyle w:val="TableContents"/>
              <w:bidi w:val="0"/>
              <w:spacing w:before="0" w:after="283"/>
              <w:jc w:val="right"/>
              <w:rPr/>
            </w:pPr>
            <w:r>
              <w:rPr/>
              <w:t>212,407</w:t>
            </w:r>
          </w:p>
        </w:tc>
        <w:tc>
          <w:tcPr>
            <w:tcW w:w="20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1" w:type="dxa"/>
            <w:tcBorders>
              <w:bottom w:val="double" w:sz="6" w:space="0" w:color="000000"/>
            </w:tcBorders>
            <w:shd w:fill="CCEEFF" w:val="clear"/>
            <w:tcMar>
              <w:bottom w:w="28" w:type="dxa"/>
            </w:tcMar>
            <w:vAlign w:val="center"/>
          </w:tcPr>
          <w:p>
            <w:pPr>
              <w:pStyle w:val="TableContents"/>
              <w:bidi w:val="0"/>
              <w:spacing w:before="0" w:after="283"/>
              <w:jc w:val="right"/>
              <w:rPr/>
            </w:pPr>
            <w:r>
              <w:rPr/>
              <w:t>238,323</w:t>
            </w:r>
          </w:p>
        </w:tc>
        <w:tc>
          <w:tcPr>
            <w:tcW w:w="175" w:type="dxa"/>
            <w:tcBorders/>
            <w:shd w:fill="CCEEFF" w:val="clear"/>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premiums earned for the three months ended September 30, 2025, decreased $11,365, or 13.6%, compared to the three months ended September 30, 2024. Net premiums earned for the nine months ended September 30, 2025, decreased 25,916, or 10.9%, compared to the nine months ended September 30, 2024.</w:t>
      </w:r>
    </w:p>
    <w:tbl>
      <w:tblPr>
        <w:tblW w:w="10205" w:type="dxa"/>
        <w:jc w:val="left"/>
        <w:tblInd w:w="0" w:type="dxa"/>
        <w:tblLayout w:type="fixed"/>
        <w:tblCellMar>
          <w:top w:w="0" w:type="dxa"/>
          <w:left w:w="0" w:type="dxa"/>
          <w:bottom w:w="0" w:type="dxa"/>
          <w:right w:w="0" w:type="dxa"/>
        </w:tblCellMar>
      </w:tblPr>
      <w:tblGrid>
        <w:gridCol w:w="2543"/>
        <w:gridCol w:w="90"/>
        <w:gridCol w:w="323"/>
        <w:gridCol w:w="1350"/>
        <w:gridCol w:w="171"/>
        <w:gridCol w:w="171"/>
        <w:gridCol w:w="323"/>
        <w:gridCol w:w="1350"/>
        <w:gridCol w:w="90"/>
        <w:gridCol w:w="90"/>
        <w:gridCol w:w="278"/>
        <w:gridCol w:w="1358"/>
        <w:gridCol w:w="146"/>
        <w:gridCol w:w="146"/>
        <w:gridCol w:w="278"/>
        <w:gridCol w:w="1358"/>
        <w:gridCol w:w="140"/>
      </w:tblGrid>
      <w:tr>
        <w:trPr/>
        <w:tc>
          <w:tcPr>
            <w:tcW w:w="25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6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40" w:type="dxa"/>
            <w:tcBorders/>
            <w:vAlign w:val="center"/>
          </w:tcPr>
          <w:p>
            <w:pPr>
              <w:pStyle w:val="TableContents"/>
              <w:bidi w:val="0"/>
              <w:spacing w:before="0" w:after="283"/>
              <w:jc w:val="left"/>
              <w:rPr/>
            </w:pPr>
            <w:r>
              <w:rPr/>
              <w:t> </w:t>
            </w:r>
          </w:p>
        </w:tc>
      </w:tr>
      <w:tr>
        <w:trPr/>
        <w:tc>
          <w:tcPr>
            <w:tcW w:w="25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6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40" w:type="dxa"/>
            <w:tcBorders/>
            <w:vAlign w:val="center"/>
          </w:tcPr>
          <w:p>
            <w:pPr>
              <w:pStyle w:val="TableContents"/>
              <w:bidi w:val="0"/>
              <w:spacing w:before="0" w:after="283"/>
              <w:ind w:left="0" w:right="0" w:hanging="216"/>
              <w:jc w:val="left"/>
              <w:rPr/>
            </w:pPr>
            <w:r>
              <w:rPr/>
              <w:t> </w:t>
            </w:r>
          </w:p>
        </w:tc>
      </w:tr>
      <w:tr>
        <w:trPr/>
        <w:tc>
          <w:tcPr>
            <w:tcW w:w="2543" w:type="dxa"/>
            <w:tcBorders/>
            <w:shd w:fill="CCEEFF" w:val="clear"/>
            <w:vAlign w:val="center"/>
          </w:tcPr>
          <w:p>
            <w:pPr>
              <w:pStyle w:val="TableContents"/>
              <w:bidi w:val="0"/>
              <w:spacing w:before="0" w:after="283"/>
              <w:jc w:val="left"/>
              <w:rPr/>
            </w:pPr>
            <w:r>
              <w:rPr/>
              <w:t>Net premiums earned:</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350"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3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2543" w:type="dxa"/>
            <w:tcBorders/>
            <w:vAlign w:val="center"/>
          </w:tcPr>
          <w:p>
            <w:pPr>
              <w:pStyle w:val="TableContents"/>
              <w:bidi w:val="0"/>
              <w:spacing w:before="0" w:after="283"/>
              <w:jc w:val="left"/>
              <w:rPr/>
            </w:pPr>
            <w:r>
              <w:rPr/>
              <w:t>Private Passenger Auto</w:t>
            </w:r>
          </w:p>
        </w:tc>
        <w:tc>
          <w:tcPr>
            <w:tcW w:w="9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w:t>
            </w:r>
          </w:p>
        </w:tc>
        <w:tc>
          <w:tcPr>
            <w:tcW w:w="1350" w:type="dxa"/>
            <w:tcBorders/>
            <w:vAlign w:val="center"/>
          </w:tcPr>
          <w:p>
            <w:pPr>
              <w:pStyle w:val="TableContents"/>
              <w:bidi w:val="0"/>
              <w:spacing w:before="0" w:after="283"/>
              <w:jc w:val="right"/>
              <w:rPr/>
            </w:pPr>
            <w:r>
              <w:rPr/>
              <w:t>23,206</w:t>
            </w:r>
          </w:p>
        </w:tc>
        <w:tc>
          <w:tcPr>
            <w:tcW w:w="17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w:t>
            </w:r>
          </w:p>
        </w:tc>
        <w:tc>
          <w:tcPr>
            <w:tcW w:w="1350" w:type="dxa"/>
            <w:tcBorders/>
            <w:vAlign w:val="center"/>
          </w:tcPr>
          <w:p>
            <w:pPr>
              <w:pStyle w:val="TableContents"/>
              <w:bidi w:val="0"/>
              <w:spacing w:before="0" w:after="283"/>
              <w:jc w:val="right"/>
              <w:rPr/>
            </w:pPr>
            <w:r>
              <w:rPr/>
              <w:t>22,612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w:t>
            </w:r>
          </w:p>
        </w:tc>
        <w:tc>
          <w:tcPr>
            <w:tcW w:w="1358" w:type="dxa"/>
            <w:tcBorders/>
            <w:vAlign w:val="center"/>
          </w:tcPr>
          <w:p>
            <w:pPr>
              <w:pStyle w:val="TableContents"/>
              <w:bidi w:val="0"/>
              <w:spacing w:before="0" w:after="283"/>
              <w:jc w:val="right"/>
              <w:rPr/>
            </w:pPr>
            <w:r>
              <w:rPr/>
              <w:t>68,787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w:t>
            </w:r>
          </w:p>
        </w:tc>
        <w:tc>
          <w:tcPr>
            <w:tcW w:w="1358" w:type="dxa"/>
            <w:tcBorders/>
            <w:vAlign w:val="center"/>
          </w:tcPr>
          <w:p>
            <w:pPr>
              <w:pStyle w:val="TableContents"/>
              <w:bidi w:val="0"/>
              <w:spacing w:before="0" w:after="283"/>
              <w:jc w:val="right"/>
              <w:rPr/>
            </w:pPr>
            <w:r>
              <w:rPr/>
              <w:t>67,185</w:t>
            </w:r>
          </w:p>
        </w:tc>
        <w:tc>
          <w:tcPr>
            <w:tcW w:w="140" w:type="dxa"/>
            <w:tcBorders/>
            <w:vAlign w:val="center"/>
          </w:tcPr>
          <w:p>
            <w:pPr>
              <w:pStyle w:val="TableContents"/>
              <w:bidi w:val="0"/>
              <w:spacing w:before="0" w:after="283"/>
              <w:jc w:val="left"/>
              <w:rPr/>
            </w:pPr>
            <w:r>
              <w:rPr/>
              <w:t> </w:t>
            </w:r>
          </w:p>
        </w:tc>
      </w:tr>
      <w:tr>
        <w:trPr/>
        <w:tc>
          <w:tcPr>
            <w:tcW w:w="2543" w:type="dxa"/>
            <w:tcBorders/>
            <w:shd w:fill="CCEEFF" w:val="clear"/>
            <w:vAlign w:val="center"/>
          </w:tcPr>
          <w:p>
            <w:pPr>
              <w:pStyle w:val="TableContents"/>
              <w:bidi w:val="0"/>
              <w:spacing w:before="0" w:after="283"/>
              <w:jc w:val="left"/>
              <w:rPr/>
            </w:pPr>
            <w:r>
              <w:rPr/>
              <w:t>Non-Standard Auto</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350" w:type="dxa"/>
            <w:tcBorders/>
            <w:shd w:fill="CCEEFF" w:val="clear"/>
            <w:vAlign w:val="center"/>
          </w:tcPr>
          <w:p>
            <w:pPr>
              <w:pStyle w:val="TableContents"/>
              <w:bidi w:val="0"/>
              <w:spacing w:before="0" w:after="283"/>
              <w:jc w:val="right"/>
              <w:rPr/>
            </w:pPr>
            <w:r>
              <w:rPr/>
              <w:t>10,859</w:t>
            </w:r>
          </w:p>
        </w:tc>
        <w:tc>
          <w:tcPr>
            <w:tcW w:w="17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350" w:type="dxa"/>
            <w:tcBorders/>
            <w:shd w:fill="CCEEFF" w:val="clear"/>
            <w:vAlign w:val="center"/>
          </w:tcPr>
          <w:p>
            <w:pPr>
              <w:pStyle w:val="TableContents"/>
              <w:bidi w:val="0"/>
              <w:spacing w:before="0" w:after="283"/>
              <w:jc w:val="right"/>
              <w:rPr/>
            </w:pPr>
            <w:r>
              <w:rPr/>
              <w:t>23,001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43,617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74,733</w:t>
            </w:r>
          </w:p>
        </w:tc>
        <w:tc>
          <w:tcPr>
            <w:tcW w:w="140" w:type="dxa"/>
            <w:tcBorders/>
            <w:shd w:fill="CCEEFF" w:val="clear"/>
            <w:vAlign w:val="center"/>
          </w:tcPr>
          <w:p>
            <w:pPr>
              <w:pStyle w:val="TableContents"/>
              <w:bidi w:val="0"/>
              <w:spacing w:before="0" w:after="283"/>
              <w:jc w:val="left"/>
              <w:rPr/>
            </w:pPr>
            <w:r>
              <w:rPr/>
              <w:t> </w:t>
            </w:r>
          </w:p>
        </w:tc>
      </w:tr>
      <w:tr>
        <w:trPr/>
        <w:tc>
          <w:tcPr>
            <w:tcW w:w="2543" w:type="dxa"/>
            <w:tcBorders/>
            <w:vAlign w:val="center"/>
          </w:tcPr>
          <w:p>
            <w:pPr>
              <w:pStyle w:val="TableContents"/>
              <w:bidi w:val="0"/>
              <w:spacing w:before="0" w:after="283"/>
              <w:jc w:val="left"/>
              <w:rPr/>
            </w:pPr>
            <w:r>
              <w:rPr/>
              <w:t>Home and Farm</w:t>
            </w:r>
          </w:p>
        </w:tc>
        <w:tc>
          <w:tcPr>
            <w:tcW w:w="9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350" w:type="dxa"/>
            <w:tcBorders/>
            <w:vAlign w:val="center"/>
          </w:tcPr>
          <w:p>
            <w:pPr>
              <w:pStyle w:val="TableContents"/>
              <w:bidi w:val="0"/>
              <w:spacing w:before="0" w:after="283"/>
              <w:jc w:val="right"/>
              <w:rPr/>
            </w:pPr>
            <w:r>
              <w:rPr/>
              <w:t>23,642</w:t>
            </w:r>
          </w:p>
        </w:tc>
        <w:tc>
          <w:tcPr>
            <w:tcW w:w="17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350" w:type="dxa"/>
            <w:tcBorders/>
            <w:vAlign w:val="center"/>
          </w:tcPr>
          <w:p>
            <w:pPr>
              <w:pStyle w:val="TableContents"/>
              <w:bidi w:val="0"/>
              <w:spacing w:before="0" w:after="283"/>
              <w:jc w:val="right"/>
              <w:rPr/>
            </w:pPr>
            <w:r>
              <w:rPr/>
              <w:t>23,479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68,673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66,817</w:t>
            </w:r>
          </w:p>
        </w:tc>
        <w:tc>
          <w:tcPr>
            <w:tcW w:w="140" w:type="dxa"/>
            <w:tcBorders/>
            <w:vAlign w:val="center"/>
          </w:tcPr>
          <w:p>
            <w:pPr>
              <w:pStyle w:val="TableContents"/>
              <w:bidi w:val="0"/>
              <w:spacing w:before="0" w:after="283"/>
              <w:jc w:val="left"/>
              <w:rPr/>
            </w:pPr>
            <w:r>
              <w:rPr/>
              <w:t> </w:t>
            </w:r>
          </w:p>
        </w:tc>
      </w:tr>
      <w:tr>
        <w:trPr/>
        <w:tc>
          <w:tcPr>
            <w:tcW w:w="2543" w:type="dxa"/>
            <w:tcBorders/>
            <w:shd w:fill="CCEEFF" w:val="clear"/>
            <w:vAlign w:val="center"/>
          </w:tcPr>
          <w:p>
            <w:pPr>
              <w:pStyle w:val="TableContents"/>
              <w:bidi w:val="0"/>
              <w:spacing w:before="0" w:after="283"/>
              <w:jc w:val="left"/>
              <w:rPr/>
            </w:pPr>
            <w:r>
              <w:rPr/>
              <w:t>Crop</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350" w:type="dxa"/>
            <w:tcBorders/>
            <w:shd w:fill="CCEEFF" w:val="clear"/>
            <w:vAlign w:val="center"/>
          </w:tcPr>
          <w:p>
            <w:pPr>
              <w:pStyle w:val="TableContents"/>
              <w:bidi w:val="0"/>
              <w:spacing w:before="0" w:after="283"/>
              <w:jc w:val="right"/>
              <w:rPr/>
            </w:pPr>
            <w:r>
              <w:rPr/>
              <w:t>10,364</w:t>
            </w:r>
          </w:p>
        </w:tc>
        <w:tc>
          <w:tcPr>
            <w:tcW w:w="17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350" w:type="dxa"/>
            <w:tcBorders/>
            <w:shd w:fill="CCEEFF" w:val="clear"/>
            <w:vAlign w:val="center"/>
          </w:tcPr>
          <w:p>
            <w:pPr>
              <w:pStyle w:val="TableContents"/>
              <w:bidi w:val="0"/>
              <w:spacing w:before="0" w:after="283"/>
              <w:jc w:val="right"/>
              <w:rPr/>
            </w:pPr>
            <w:r>
              <w:rPr/>
              <w:t>10,885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20,697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20,315</w:t>
            </w:r>
          </w:p>
        </w:tc>
        <w:tc>
          <w:tcPr>
            <w:tcW w:w="140" w:type="dxa"/>
            <w:tcBorders/>
            <w:shd w:fill="CCEEFF" w:val="clear"/>
            <w:vAlign w:val="center"/>
          </w:tcPr>
          <w:p>
            <w:pPr>
              <w:pStyle w:val="TableContents"/>
              <w:bidi w:val="0"/>
              <w:spacing w:before="0" w:after="283"/>
              <w:jc w:val="left"/>
              <w:rPr/>
            </w:pPr>
            <w:r>
              <w:rPr/>
              <w:t> </w:t>
            </w:r>
          </w:p>
        </w:tc>
      </w:tr>
      <w:tr>
        <w:trPr/>
        <w:tc>
          <w:tcPr>
            <w:tcW w:w="2543" w:type="dxa"/>
            <w:tcBorders/>
            <w:vAlign w:val="center"/>
          </w:tcPr>
          <w:p>
            <w:pPr>
              <w:pStyle w:val="TableContents"/>
              <w:bidi w:val="0"/>
              <w:spacing w:before="0" w:after="283"/>
              <w:jc w:val="left"/>
              <w:rPr/>
            </w:pPr>
            <w:r>
              <w:rPr/>
              <w:t>All Other</w:t>
            </w:r>
          </w:p>
        </w:tc>
        <w:tc>
          <w:tcPr>
            <w:tcW w:w="90" w:type="dxa"/>
            <w:tcBorders/>
            <w:vAlign w:val="center"/>
          </w:tcPr>
          <w:p>
            <w:pPr>
              <w:pStyle w:val="TableContents"/>
              <w:bidi w:val="0"/>
              <w:spacing w:before="0" w:after="283"/>
              <w:jc w:val="left"/>
              <w:rPr/>
            </w:pPr>
            <w:r>
              <w:rPr/>
              <w:t> </w:t>
            </w:r>
          </w:p>
        </w:tc>
        <w:tc>
          <w:tcPr>
            <w:tcW w:w="323" w:type="dxa"/>
            <w:tcBorders>
              <w:bottom w:val="single" w:sz="8" w:space="0" w:color="000000"/>
            </w:tcBorders>
            <w:tcMar>
              <w:bottom w:w="28" w:type="dxa"/>
            </w:tcMar>
            <w:vAlign w:val="center"/>
          </w:tcPr>
          <w:p>
            <w:pPr>
              <w:pStyle w:val="TableContents"/>
              <w:bidi w:val="0"/>
              <w:spacing w:before="0" w:after="283"/>
              <w:jc w:val="left"/>
              <w:rPr/>
            </w:pPr>
            <w:r>
              <w:rPr/>
              <w:t> </w:t>
            </w:r>
          </w:p>
        </w:tc>
        <w:tc>
          <w:tcPr>
            <w:tcW w:w="1350" w:type="dxa"/>
            <w:tcBorders>
              <w:bottom w:val="single" w:sz="8" w:space="0" w:color="000000"/>
            </w:tcBorders>
            <w:tcMar>
              <w:bottom w:w="28" w:type="dxa"/>
            </w:tcMar>
            <w:vAlign w:val="center"/>
          </w:tcPr>
          <w:p>
            <w:pPr>
              <w:pStyle w:val="TableContents"/>
              <w:bidi w:val="0"/>
              <w:spacing w:before="0" w:after="283"/>
              <w:jc w:val="right"/>
              <w:rPr/>
            </w:pPr>
            <w:r>
              <w:rPr/>
              <w:t>3,834</w:t>
            </w:r>
          </w:p>
        </w:tc>
        <w:tc>
          <w:tcPr>
            <w:tcW w:w="17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323" w:type="dxa"/>
            <w:tcBorders>
              <w:bottom w:val="single" w:sz="8" w:space="0" w:color="000000"/>
            </w:tcBorders>
            <w:tcMar>
              <w:bottom w:w="28" w:type="dxa"/>
            </w:tcMar>
            <w:vAlign w:val="center"/>
          </w:tcPr>
          <w:p>
            <w:pPr>
              <w:pStyle w:val="TableContents"/>
              <w:bidi w:val="0"/>
              <w:spacing w:before="0" w:after="283"/>
              <w:jc w:val="left"/>
              <w:rPr/>
            </w:pPr>
            <w:r>
              <w:rPr/>
              <w:t> </w:t>
            </w:r>
          </w:p>
        </w:tc>
        <w:tc>
          <w:tcPr>
            <w:tcW w:w="1350" w:type="dxa"/>
            <w:tcBorders>
              <w:bottom w:val="single" w:sz="8" w:space="0" w:color="000000"/>
            </w:tcBorders>
            <w:tcMar>
              <w:bottom w:w="28" w:type="dxa"/>
            </w:tcMar>
            <w:vAlign w:val="center"/>
          </w:tcPr>
          <w:p>
            <w:pPr>
              <w:pStyle w:val="TableContents"/>
              <w:bidi w:val="0"/>
              <w:spacing w:before="0" w:after="283"/>
              <w:jc w:val="right"/>
              <w:rPr/>
            </w:pPr>
            <w:r>
              <w:rPr/>
              <w:t>3,293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8" w:space="0" w:color="000000"/>
            </w:tcBorders>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tcMar>
              <w:bottom w:w="28" w:type="dxa"/>
            </w:tcMar>
            <w:vAlign w:val="center"/>
          </w:tcPr>
          <w:p>
            <w:pPr>
              <w:pStyle w:val="TableContents"/>
              <w:bidi w:val="0"/>
              <w:spacing w:before="0" w:after="283"/>
              <w:jc w:val="right"/>
              <w:rPr/>
            </w:pPr>
            <w:r>
              <w:rPr/>
              <w:t>10,633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8" w:type="dxa"/>
            <w:tcBorders>
              <w:bottom w:val="single" w:sz="8" w:space="0" w:color="000000"/>
            </w:tcBorders>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tcMar>
              <w:bottom w:w="28" w:type="dxa"/>
            </w:tcMar>
            <w:vAlign w:val="center"/>
          </w:tcPr>
          <w:p>
            <w:pPr>
              <w:pStyle w:val="TableContents"/>
              <w:bidi w:val="0"/>
              <w:spacing w:before="0" w:after="283"/>
              <w:jc w:val="right"/>
              <w:rPr/>
            </w:pPr>
            <w:r>
              <w:rPr/>
              <w:t>9,273</w:t>
            </w:r>
          </w:p>
        </w:tc>
        <w:tc>
          <w:tcPr>
            <w:tcW w:w="140" w:type="dxa"/>
            <w:tcBorders/>
            <w:vAlign w:val="center"/>
          </w:tcPr>
          <w:p>
            <w:pPr>
              <w:pStyle w:val="TableContents"/>
              <w:bidi w:val="0"/>
              <w:spacing w:before="0" w:after="283"/>
              <w:jc w:val="left"/>
              <w:rPr/>
            </w:pPr>
            <w:r>
              <w:rPr/>
              <w:t> </w:t>
            </w:r>
          </w:p>
        </w:tc>
      </w:tr>
      <w:tr>
        <w:trPr/>
        <w:tc>
          <w:tcPr>
            <w:tcW w:w="2543" w:type="dxa"/>
            <w:tcBorders/>
            <w:shd w:fill="CCEEFF" w:val="clear"/>
            <w:vAlign w:val="center"/>
          </w:tcPr>
          <w:p>
            <w:pPr>
              <w:pStyle w:val="TableContents"/>
              <w:bidi w:val="0"/>
              <w:spacing w:before="0" w:after="283"/>
              <w:jc w:val="left"/>
              <w:rPr/>
            </w:pPr>
            <w:r>
              <w:rPr/>
              <w:t>Total net premiums earned</w:t>
            </w:r>
          </w:p>
        </w:tc>
        <w:tc>
          <w:tcPr>
            <w:tcW w:w="90" w:type="dxa"/>
            <w:tcBorders/>
            <w:shd w:fill="CCEEFF" w:val="clear"/>
            <w:vAlign w:val="center"/>
          </w:tcPr>
          <w:p>
            <w:pPr>
              <w:pStyle w:val="TableContents"/>
              <w:bidi w:val="0"/>
              <w:spacing w:before="0" w:after="283"/>
              <w:jc w:val="left"/>
              <w:rPr/>
            </w:pPr>
            <w:r>
              <w:rPr/>
              <w:t> </w:t>
            </w:r>
          </w:p>
        </w:tc>
        <w:tc>
          <w:tcPr>
            <w:tcW w:w="32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0" w:type="dxa"/>
            <w:tcBorders>
              <w:bottom w:val="double" w:sz="6" w:space="0" w:color="000000"/>
            </w:tcBorders>
            <w:shd w:fill="CCEEFF" w:val="clear"/>
            <w:tcMar>
              <w:bottom w:w="28" w:type="dxa"/>
            </w:tcMar>
            <w:vAlign w:val="center"/>
          </w:tcPr>
          <w:p>
            <w:pPr>
              <w:pStyle w:val="TableContents"/>
              <w:bidi w:val="0"/>
              <w:spacing w:before="0" w:after="283"/>
              <w:jc w:val="right"/>
              <w:rPr/>
            </w:pPr>
            <w:r>
              <w:rPr/>
              <w:t>71,905</w:t>
            </w:r>
          </w:p>
        </w:tc>
        <w:tc>
          <w:tcPr>
            <w:tcW w:w="17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32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0" w:type="dxa"/>
            <w:tcBorders>
              <w:bottom w:val="double" w:sz="6" w:space="0" w:color="000000"/>
            </w:tcBorders>
            <w:shd w:fill="CCEEFF" w:val="clear"/>
            <w:tcMar>
              <w:bottom w:w="28" w:type="dxa"/>
            </w:tcMar>
            <w:vAlign w:val="center"/>
          </w:tcPr>
          <w:p>
            <w:pPr>
              <w:pStyle w:val="TableContents"/>
              <w:bidi w:val="0"/>
              <w:spacing w:before="0" w:after="283"/>
              <w:jc w:val="right"/>
              <w:rPr/>
            </w:pPr>
            <w:r>
              <w:rPr/>
              <w:t>83,270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8" w:type="dxa"/>
            <w:tcBorders>
              <w:bottom w:val="double" w:sz="6" w:space="0" w:color="000000"/>
            </w:tcBorders>
            <w:shd w:fill="CCEEFF" w:val="clear"/>
            <w:tcMar>
              <w:bottom w:w="28" w:type="dxa"/>
            </w:tcMar>
            <w:vAlign w:val="center"/>
          </w:tcPr>
          <w:p>
            <w:pPr>
              <w:pStyle w:val="TableContents"/>
              <w:bidi w:val="0"/>
              <w:spacing w:before="0" w:after="283"/>
              <w:jc w:val="right"/>
              <w:rPr/>
            </w:pPr>
            <w:r>
              <w:rPr/>
              <w:t>212,407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8" w:type="dxa"/>
            <w:tcBorders>
              <w:bottom w:val="double" w:sz="6" w:space="0" w:color="000000"/>
            </w:tcBorders>
            <w:shd w:fill="CCEEFF" w:val="clear"/>
            <w:tcMar>
              <w:bottom w:w="28" w:type="dxa"/>
            </w:tcMar>
            <w:vAlign w:val="center"/>
          </w:tcPr>
          <w:p>
            <w:pPr>
              <w:pStyle w:val="TableContents"/>
              <w:bidi w:val="0"/>
              <w:spacing w:before="0" w:after="283"/>
              <w:jc w:val="right"/>
              <w:rPr/>
            </w:pPr>
            <w:r>
              <w:rPr/>
              <w:t>238,323</w:t>
            </w:r>
          </w:p>
        </w:tc>
        <w:tc>
          <w:tcPr>
            <w:tcW w:w="14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comments regarding significant changes in net premiums earned by business segment:</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Private Passenger Auto</w:t>
      </w:r>
      <w:r>
        <w:rPr>
          <w:rFonts w:ascii="Times New Roman;Times;Serif" w:hAnsi="Times New Roman;Times;Serif"/>
          <w:b w:val="false"/>
          <w:i w:val="false"/>
          <w:caps w:val="false"/>
          <w:smallCaps w:val="false"/>
          <w:sz w:val="20"/>
        </w:rPr>
        <w:t xml:space="preserve"> – Net premiums earned for the third quarter of 2025 increased $594, or 2.6%, compared to the same period in 2024. Net premiums earned for the first nine months of 2025 increased $1,602, or 2.4% from the first nine months of 2024. Results were driven by new business growth in North Dakota as well as significant rate increases in South Dakota and Nebraska, partially offset by lower new business and retention levels in South Dakota and Nebraska as a result of underwriting actions taken.</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Non-Standard Auto</w:t>
      </w:r>
      <w:r>
        <w:rPr>
          <w:rFonts w:ascii="Times New Roman;Times;Serif" w:hAnsi="Times New Roman;Times;Serif"/>
          <w:b w:val="false"/>
          <w:i w:val="false"/>
          <w:caps w:val="false"/>
          <w:smallCaps w:val="false"/>
          <w:sz w:val="20"/>
        </w:rPr>
        <w:t xml:space="preserve"> – Net premiums earned for the third quarter of 2025 decreased $12,142, or 52.8%, compared to the same period in 2024. Net premiums earned for the first nine months of 2025 decreased $31,116, or 41.6% from the first nine months of 2024. These decreases were driven by strategic decisions to exit Nevada and significantly reduce written premium in the Chicago market. During the third quarter we also made the strategic decision to stop writing non-standard auto business in Illinois, Arizona, and South Dakota, and existing policies will be non-renewed. We anticipate further reductions in net earned premiums over the next twelve months as a result of the decisions to run off these non-standard auto operations.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Home and Farm</w:t>
      </w:r>
      <w:r>
        <w:rPr>
          <w:rFonts w:ascii="Times New Roman;Times;Serif" w:hAnsi="Times New Roman;Times;Serif"/>
          <w:b w:val="false"/>
          <w:i w:val="false"/>
          <w:caps w:val="false"/>
          <w:smallCaps w:val="false"/>
          <w:sz w:val="20"/>
        </w:rPr>
        <w:t xml:space="preserve"> – Net premiums earned for the third quarter of 2025 increased $163, or 0.7%, compared to the same period in 2024. Net premiums earned for the first nine months of 2025 increased $1,856, or 2.8% from the first nine months of 2024. Results were driven by new business growth in North Dakota, rate increases, and increased insured property values, partially offset by lower retention rates and new business levels in Nebraska as a result of underwriting actions taken to improve profitability. In addition, net premiums earned for the second and third quarter of 2025 were impacted by the recognition of higher ceded premiums earned as a result of a significant catastrophe event in North Dakota during the second quarter of 2025.</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Crop </w:t>
      </w:r>
      <w:r>
        <w:rPr>
          <w:rFonts w:ascii="Times New Roman;Times;Serif" w:hAnsi="Times New Roman;Times;Serif"/>
          <w:b w:val="false"/>
          <w:i w:val="false"/>
          <w:caps w:val="false"/>
          <w:smallCaps w:val="false"/>
          <w:sz w:val="20"/>
        </w:rPr>
        <w:t>– Net premiums earned for the third quarter of 2025, decreased $521, or 4.8%, compared to the same period in 2024. Net premiums earned for the first nine months of 2025 increased $382, or 1.9% from the first nine months of 2024. The decrease in the third quarter of 2025 was driven by lower commodity prices compared to the prior year. The year-to-date increase was driven by the recognition of more favorable premium adjustments, related to the settlement of prior crop year claims, in the first quarter of 2025 compared to the first quarter of 2024.</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 Other</w:t>
      </w:r>
      <w:r>
        <w:rPr>
          <w:rFonts w:ascii="Times New Roman;Times;Serif" w:hAnsi="Times New Roman;Times;Serif"/>
          <w:b w:val="false"/>
          <w:i w:val="false"/>
          <w:caps w:val="false"/>
          <w:smallCaps w:val="false"/>
          <w:sz w:val="20"/>
        </w:rPr>
        <w:t xml:space="preserve"> – Net premiums earned for the third quarter of 2025, increased $541, or 16.4%, compared to the same period in 2024. Net premiums earned for the first nine months of 2025 increased $1,360, or 14.7%, from the first nine months of 2024. Results were driven by rate increases for the North Dakota commercial and excess lines of business.</w:t>
      </w:r>
    </w:p>
    <w:p>
      <w:pPr>
        <w:pStyle w:val="TextBody"/>
        <w:bidi w:val="0"/>
        <w:spacing w:before="0" w:after="1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Losses and Loss Adjustment Expenses</w:t>
      </w:r>
    </w:p>
    <w:tbl>
      <w:tblPr>
        <w:tblW w:w="10205" w:type="dxa"/>
        <w:jc w:val="left"/>
        <w:tblInd w:w="0" w:type="dxa"/>
        <w:tblLayout w:type="fixed"/>
        <w:tblCellMar>
          <w:top w:w="0" w:type="dxa"/>
          <w:left w:w="0" w:type="dxa"/>
          <w:bottom w:w="0" w:type="dxa"/>
          <w:right w:w="0" w:type="dxa"/>
        </w:tblCellMar>
      </w:tblPr>
      <w:tblGrid>
        <w:gridCol w:w="3354"/>
        <w:gridCol w:w="90"/>
        <w:gridCol w:w="275"/>
        <w:gridCol w:w="1149"/>
        <w:gridCol w:w="202"/>
        <w:gridCol w:w="145"/>
        <w:gridCol w:w="275"/>
        <w:gridCol w:w="1149"/>
        <w:gridCol w:w="125"/>
        <w:gridCol w:w="90"/>
        <w:gridCol w:w="243"/>
        <w:gridCol w:w="1191"/>
        <w:gridCol w:w="179"/>
        <w:gridCol w:w="129"/>
        <w:gridCol w:w="243"/>
        <w:gridCol w:w="1191"/>
        <w:gridCol w:w="175"/>
      </w:tblGrid>
      <w:tr>
        <w:trPr/>
        <w:tc>
          <w:tcPr>
            <w:tcW w:w="33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7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75" w:type="dxa"/>
            <w:tcBorders/>
            <w:vAlign w:val="center"/>
          </w:tcPr>
          <w:p>
            <w:pPr>
              <w:pStyle w:val="TableContents"/>
              <w:bidi w:val="0"/>
              <w:spacing w:before="0" w:after="283"/>
              <w:jc w:val="left"/>
              <w:rPr/>
            </w:pPr>
            <w:r>
              <w:rPr/>
              <w:t> </w:t>
            </w:r>
          </w:p>
        </w:tc>
      </w:tr>
      <w:tr>
        <w:trPr/>
        <w:tc>
          <w:tcPr>
            <w:tcW w:w="33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0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5" w:type="dxa"/>
            <w:tcBorders/>
            <w:vAlign w:val="center"/>
          </w:tcPr>
          <w:p>
            <w:pPr>
              <w:pStyle w:val="TableContents"/>
              <w:bidi w:val="0"/>
              <w:spacing w:before="0" w:after="283"/>
              <w:ind w:left="0" w:right="0" w:hanging="216"/>
              <w:jc w:val="left"/>
              <w:rPr/>
            </w:pPr>
            <w:r>
              <w:rPr/>
              <w:t> </w:t>
            </w:r>
          </w:p>
        </w:tc>
      </w:tr>
      <w:tr>
        <w:trPr/>
        <w:tc>
          <w:tcPr>
            <w:tcW w:w="3354" w:type="dxa"/>
            <w:tcBorders/>
            <w:shd w:fill="CCEEFF" w:val="clear"/>
            <w:vAlign w:val="center"/>
          </w:tcPr>
          <w:p>
            <w:pPr>
              <w:pStyle w:val="TableContents"/>
              <w:bidi w:val="0"/>
              <w:spacing w:before="0" w:after="283"/>
              <w:jc w:val="left"/>
              <w:rPr/>
            </w:pPr>
            <w:r>
              <w:rPr/>
              <w:t>Net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3354" w:type="dxa"/>
            <w:tcBorders/>
            <w:vAlign w:val="center"/>
          </w:tcPr>
          <w:p>
            <w:pPr>
              <w:pStyle w:val="TableContents"/>
              <w:bidi w:val="0"/>
              <w:spacing w:before="0" w:after="283"/>
              <w:jc w:val="left"/>
              <w:rPr/>
            </w:pPr>
            <w:r>
              <w:rPr/>
              <w:t>Direct losses and loss adjustment expenses</w:t>
            </w:r>
          </w:p>
        </w:tc>
        <w:tc>
          <w:tcPr>
            <w:tcW w:w="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w:t>
            </w:r>
          </w:p>
        </w:tc>
        <w:tc>
          <w:tcPr>
            <w:tcW w:w="1149" w:type="dxa"/>
            <w:tcBorders/>
            <w:vAlign w:val="center"/>
          </w:tcPr>
          <w:p>
            <w:pPr>
              <w:pStyle w:val="TableContents"/>
              <w:bidi w:val="0"/>
              <w:spacing w:before="0" w:after="283"/>
              <w:jc w:val="right"/>
              <w:rPr/>
            </w:pPr>
            <w:r>
              <w:rPr/>
              <w:t>57,828</w:t>
            </w:r>
          </w:p>
        </w:tc>
        <w:tc>
          <w:tcPr>
            <w:tcW w:w="20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w:t>
            </w:r>
          </w:p>
        </w:tc>
        <w:tc>
          <w:tcPr>
            <w:tcW w:w="1149" w:type="dxa"/>
            <w:tcBorders/>
            <w:vAlign w:val="center"/>
          </w:tcPr>
          <w:p>
            <w:pPr>
              <w:pStyle w:val="TableContents"/>
              <w:bidi w:val="0"/>
              <w:spacing w:before="0" w:after="283"/>
              <w:jc w:val="right"/>
              <w:rPr/>
            </w:pPr>
            <w:r>
              <w:rPr/>
              <w:t>69,692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1191" w:type="dxa"/>
            <w:tcBorders/>
            <w:vAlign w:val="center"/>
          </w:tcPr>
          <w:p>
            <w:pPr>
              <w:pStyle w:val="TableContents"/>
              <w:bidi w:val="0"/>
              <w:spacing w:before="0" w:after="283"/>
              <w:jc w:val="right"/>
              <w:rPr/>
            </w:pPr>
            <w:r>
              <w:rPr/>
              <w:t>207,589</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1191" w:type="dxa"/>
            <w:tcBorders/>
            <w:vAlign w:val="center"/>
          </w:tcPr>
          <w:p>
            <w:pPr>
              <w:pStyle w:val="TableContents"/>
              <w:bidi w:val="0"/>
              <w:spacing w:before="0" w:after="283"/>
              <w:jc w:val="right"/>
              <w:rPr/>
            </w:pPr>
            <w:r>
              <w:rPr/>
              <w:t>184,561</w:t>
            </w:r>
          </w:p>
        </w:tc>
        <w:tc>
          <w:tcPr>
            <w:tcW w:w="175" w:type="dxa"/>
            <w:tcBorders/>
            <w:vAlign w:val="center"/>
          </w:tcPr>
          <w:p>
            <w:pPr>
              <w:pStyle w:val="TableContents"/>
              <w:bidi w:val="0"/>
              <w:spacing w:before="0" w:after="283"/>
              <w:jc w:val="left"/>
              <w:rPr/>
            </w:pPr>
            <w:r>
              <w:rPr/>
              <w:t> </w:t>
            </w:r>
          </w:p>
        </w:tc>
      </w:tr>
      <w:tr>
        <w:trPr/>
        <w:tc>
          <w:tcPr>
            <w:tcW w:w="3354" w:type="dxa"/>
            <w:tcBorders/>
            <w:shd w:fill="CCEEFF" w:val="clear"/>
            <w:vAlign w:val="center"/>
          </w:tcPr>
          <w:p>
            <w:pPr>
              <w:pStyle w:val="TableContents"/>
              <w:bidi w:val="0"/>
              <w:spacing w:before="0" w:after="283"/>
              <w:jc w:val="left"/>
              <w:rPr/>
            </w:pPr>
            <w:r>
              <w:rPr/>
              <w:t>Assumed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523</w:t>
            </w:r>
          </w:p>
        </w:tc>
        <w:tc>
          <w:tcPr>
            <w:tcW w:w="20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617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574</w:t>
            </w:r>
          </w:p>
        </w:tc>
        <w:tc>
          <w:tcPr>
            <w:tcW w:w="17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886</w:t>
            </w:r>
          </w:p>
        </w:tc>
        <w:tc>
          <w:tcPr>
            <w:tcW w:w="175" w:type="dxa"/>
            <w:tcBorders/>
            <w:shd w:fill="CCEEFF" w:val="clear"/>
            <w:vAlign w:val="center"/>
          </w:tcPr>
          <w:p>
            <w:pPr>
              <w:pStyle w:val="TableContents"/>
              <w:bidi w:val="0"/>
              <w:spacing w:before="0" w:after="283"/>
              <w:jc w:val="left"/>
              <w:rPr/>
            </w:pPr>
            <w:r>
              <w:rPr/>
              <w:t> </w:t>
            </w:r>
          </w:p>
        </w:tc>
      </w:tr>
      <w:tr>
        <w:trPr/>
        <w:tc>
          <w:tcPr>
            <w:tcW w:w="3354" w:type="dxa"/>
            <w:tcBorders/>
            <w:vAlign w:val="center"/>
          </w:tcPr>
          <w:p>
            <w:pPr>
              <w:pStyle w:val="TableContents"/>
              <w:bidi w:val="0"/>
              <w:spacing w:before="0" w:after="283"/>
              <w:jc w:val="left"/>
              <w:rPr/>
            </w:pPr>
            <w:r>
              <w:rPr/>
              <w:t>Ceded losses and loss adjustment expenses</w:t>
            </w:r>
          </w:p>
        </w:tc>
        <w:tc>
          <w:tcPr>
            <w:tcW w:w="90" w:type="dxa"/>
            <w:tcBorders/>
            <w:vAlign w:val="center"/>
          </w:tcPr>
          <w:p>
            <w:pPr>
              <w:pStyle w:val="TableContents"/>
              <w:bidi w:val="0"/>
              <w:spacing w:before="0" w:after="283"/>
              <w:jc w:val="left"/>
              <w:rPr/>
            </w:pPr>
            <w:r>
              <w:rPr/>
              <w:t> </w:t>
            </w:r>
          </w:p>
        </w:tc>
        <w:tc>
          <w:tcPr>
            <w:tcW w:w="275" w:type="dxa"/>
            <w:tcBorders>
              <w:bottom w:val="single" w:sz="8" w:space="0" w:color="000000"/>
            </w:tcBorders>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tcMar>
              <w:bottom w:w="28" w:type="dxa"/>
            </w:tcMar>
            <w:vAlign w:val="center"/>
          </w:tcPr>
          <w:p>
            <w:pPr>
              <w:pStyle w:val="TableContents"/>
              <w:bidi w:val="0"/>
              <w:spacing w:before="0" w:after="283"/>
              <w:jc w:val="right"/>
              <w:rPr/>
            </w:pPr>
            <w:r>
              <w:rPr/>
              <w:t>(2,154</w:t>
            </w:r>
          </w:p>
        </w:tc>
        <w:tc>
          <w:tcPr>
            <w:tcW w:w="202"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 </w:t>
            </w:r>
          </w:p>
        </w:tc>
        <w:tc>
          <w:tcPr>
            <w:tcW w:w="275" w:type="dxa"/>
            <w:tcBorders>
              <w:bottom w:val="single" w:sz="8" w:space="0" w:color="000000"/>
            </w:tcBorders>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tcMar>
              <w:bottom w:w="28" w:type="dxa"/>
            </w:tcMar>
            <w:vAlign w:val="center"/>
          </w:tcPr>
          <w:p>
            <w:pPr>
              <w:pStyle w:val="TableContents"/>
              <w:bidi w:val="0"/>
              <w:spacing w:before="0" w:after="283"/>
              <w:jc w:val="right"/>
              <w:rPr/>
            </w:pPr>
            <w:r>
              <w:rPr/>
              <w:t>(5,209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3" w:type="dxa"/>
            <w:tcBorders>
              <w:bottom w:val="single" w:sz="8" w:space="0" w:color="000000"/>
            </w:tcBorders>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tcMar>
              <w:bottom w:w="28" w:type="dxa"/>
            </w:tcMar>
            <w:vAlign w:val="center"/>
          </w:tcPr>
          <w:p>
            <w:pPr>
              <w:pStyle w:val="TableContents"/>
              <w:bidi w:val="0"/>
              <w:spacing w:before="0" w:after="283"/>
              <w:jc w:val="right"/>
              <w:rPr/>
            </w:pPr>
            <w:r>
              <w:rPr/>
              <w:t>(46,834</w:t>
            </w:r>
          </w:p>
        </w:tc>
        <w:tc>
          <w:tcPr>
            <w:tcW w:w="17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 </w:t>
            </w:r>
          </w:p>
        </w:tc>
        <w:tc>
          <w:tcPr>
            <w:tcW w:w="243" w:type="dxa"/>
            <w:tcBorders>
              <w:bottom w:val="single" w:sz="8" w:space="0" w:color="000000"/>
            </w:tcBorders>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tcMar>
              <w:bottom w:w="28" w:type="dxa"/>
            </w:tcMar>
            <w:vAlign w:val="center"/>
          </w:tcPr>
          <w:p>
            <w:pPr>
              <w:pStyle w:val="TableContents"/>
              <w:bidi w:val="0"/>
              <w:spacing w:before="0" w:after="283"/>
              <w:jc w:val="right"/>
              <w:rPr/>
            </w:pPr>
            <w:r>
              <w:rPr/>
              <w:t>(10,845</w:t>
            </w:r>
          </w:p>
        </w:tc>
        <w:tc>
          <w:tcPr>
            <w:tcW w:w="175" w:type="dxa"/>
            <w:tcBorders/>
            <w:vAlign w:val="center"/>
          </w:tcPr>
          <w:p>
            <w:pPr>
              <w:pStyle w:val="TableContents"/>
              <w:bidi w:val="0"/>
              <w:spacing w:before="0" w:after="283"/>
              <w:jc w:val="left"/>
              <w:rPr/>
            </w:pPr>
            <w:r>
              <w:rPr/>
              <w:t>)</w:t>
            </w:r>
          </w:p>
        </w:tc>
      </w:tr>
      <w:tr>
        <w:trPr/>
        <w:tc>
          <w:tcPr>
            <w:tcW w:w="3354" w:type="dxa"/>
            <w:tcBorders/>
            <w:shd w:fill="CCEEFF" w:val="clear"/>
            <w:vAlign w:val="center"/>
          </w:tcPr>
          <w:p>
            <w:pPr>
              <w:pStyle w:val="TableContents"/>
              <w:bidi w:val="0"/>
              <w:spacing w:before="0" w:after="283"/>
              <w:jc w:val="left"/>
              <w:rPr/>
            </w:pPr>
            <w:r>
              <w:rPr/>
              <w:t>Total net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9" w:type="dxa"/>
            <w:tcBorders>
              <w:bottom w:val="double" w:sz="6" w:space="0" w:color="000000"/>
            </w:tcBorders>
            <w:shd w:fill="CCEEFF" w:val="clear"/>
            <w:tcMar>
              <w:bottom w:w="28" w:type="dxa"/>
            </w:tcMar>
            <w:vAlign w:val="center"/>
          </w:tcPr>
          <w:p>
            <w:pPr>
              <w:pStyle w:val="TableContents"/>
              <w:bidi w:val="0"/>
              <w:spacing w:before="0" w:after="283"/>
              <w:jc w:val="right"/>
              <w:rPr/>
            </w:pPr>
            <w:r>
              <w:rPr/>
              <w:t>56,197</w:t>
            </w:r>
          </w:p>
        </w:tc>
        <w:tc>
          <w:tcPr>
            <w:tcW w:w="20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9" w:type="dxa"/>
            <w:tcBorders>
              <w:bottom w:val="double" w:sz="6" w:space="0" w:color="000000"/>
            </w:tcBorders>
            <w:shd w:fill="CCEEFF" w:val="clear"/>
            <w:tcMar>
              <w:bottom w:w="28" w:type="dxa"/>
            </w:tcMar>
            <w:vAlign w:val="center"/>
          </w:tcPr>
          <w:p>
            <w:pPr>
              <w:pStyle w:val="TableContents"/>
              <w:bidi w:val="0"/>
              <w:spacing w:before="0" w:after="283"/>
              <w:jc w:val="right"/>
              <w:rPr/>
            </w:pPr>
            <w:r>
              <w:rPr/>
              <w:t>65,100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pPr>
            <w:r>
              <w:rPr/>
              <w:t>161,329</w:t>
            </w:r>
          </w:p>
        </w:tc>
        <w:tc>
          <w:tcPr>
            <w:tcW w:w="17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pPr>
            <w:r>
              <w:rPr/>
              <w:t>174,602</w:t>
            </w:r>
          </w:p>
        </w:tc>
        <w:tc>
          <w:tcPr>
            <w:tcW w:w="175" w:type="dxa"/>
            <w:tcBorders/>
            <w:shd w:fill="CCEEFF" w:val="clear"/>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losses and loss adjustment expenses for the three months ended September 30, 2025, decreased $8,903, or 13.7%, compared to the three months ended September 30, 2024. Our net losses and loss adjustment expenses for the nine months ended September 30, 2025, decreased $13,273, or 7.6%, compared to the nine months ended September 30, 2024.</w:t>
      </w:r>
    </w:p>
    <w:tbl>
      <w:tblPr>
        <w:tblW w:w="10205" w:type="dxa"/>
        <w:jc w:val="left"/>
        <w:tblInd w:w="0" w:type="dxa"/>
        <w:tblLayout w:type="fixed"/>
        <w:tblCellMar>
          <w:top w:w="0" w:type="dxa"/>
          <w:left w:w="0" w:type="dxa"/>
          <w:bottom w:w="0" w:type="dxa"/>
          <w:right w:w="0" w:type="dxa"/>
        </w:tblCellMar>
      </w:tblPr>
      <w:tblGrid>
        <w:gridCol w:w="3432"/>
        <w:gridCol w:w="90"/>
        <w:gridCol w:w="279"/>
        <w:gridCol w:w="1168"/>
        <w:gridCol w:w="148"/>
        <w:gridCol w:w="148"/>
        <w:gridCol w:w="279"/>
        <w:gridCol w:w="1168"/>
        <w:gridCol w:w="90"/>
        <w:gridCol w:w="90"/>
        <w:gridCol w:w="247"/>
        <w:gridCol w:w="1208"/>
        <w:gridCol w:w="130"/>
        <w:gridCol w:w="130"/>
        <w:gridCol w:w="247"/>
        <w:gridCol w:w="1208"/>
        <w:gridCol w:w="143"/>
      </w:tblGrid>
      <w:tr>
        <w:trPr/>
        <w:tc>
          <w:tcPr>
            <w:tcW w:w="34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43" w:type="dxa"/>
            <w:tcBorders/>
            <w:vAlign w:val="center"/>
          </w:tcPr>
          <w:p>
            <w:pPr>
              <w:pStyle w:val="TableContents"/>
              <w:bidi w:val="0"/>
              <w:spacing w:before="0" w:after="283"/>
              <w:jc w:val="left"/>
              <w:rPr/>
            </w:pPr>
            <w:r>
              <w:rPr/>
              <w:t> </w:t>
            </w:r>
          </w:p>
        </w:tc>
      </w:tr>
      <w:tr>
        <w:trPr/>
        <w:tc>
          <w:tcPr>
            <w:tcW w:w="34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43" w:type="dxa"/>
            <w:tcBorders/>
            <w:vAlign w:val="center"/>
          </w:tcPr>
          <w:p>
            <w:pPr>
              <w:pStyle w:val="TableContents"/>
              <w:bidi w:val="0"/>
              <w:spacing w:before="0" w:after="283"/>
              <w:ind w:left="0" w:right="0" w:hanging="216"/>
              <w:jc w:val="left"/>
              <w:rPr/>
            </w:pPr>
            <w:r>
              <w:rPr/>
              <w:t> </w:t>
            </w:r>
          </w:p>
        </w:tc>
      </w:tr>
      <w:tr>
        <w:trPr/>
        <w:tc>
          <w:tcPr>
            <w:tcW w:w="3432" w:type="dxa"/>
            <w:tcBorders/>
            <w:shd w:fill="CCEEFF" w:val="clear"/>
            <w:vAlign w:val="center"/>
          </w:tcPr>
          <w:p>
            <w:pPr>
              <w:pStyle w:val="TableContents"/>
              <w:bidi w:val="0"/>
              <w:spacing w:before="0" w:after="283"/>
              <w:jc w:val="left"/>
              <w:rPr/>
            </w:pPr>
            <w:r>
              <w:rPr/>
              <w:t>Net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r>
      <w:tr>
        <w:trPr/>
        <w:tc>
          <w:tcPr>
            <w:tcW w:w="3432" w:type="dxa"/>
            <w:tcBorders/>
            <w:vAlign w:val="center"/>
          </w:tcPr>
          <w:p>
            <w:pPr>
              <w:pStyle w:val="TableContents"/>
              <w:bidi w:val="0"/>
              <w:spacing w:before="0" w:after="283"/>
              <w:jc w:val="left"/>
              <w:rPr/>
            </w:pPr>
            <w:r>
              <w:rPr/>
              <w:t>Private Passenger Auto</w:t>
            </w:r>
          </w:p>
        </w:tc>
        <w:tc>
          <w:tcPr>
            <w:tcW w:w="9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14,114</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14,070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208" w:type="dxa"/>
            <w:tcBorders/>
            <w:vAlign w:val="center"/>
          </w:tcPr>
          <w:p>
            <w:pPr>
              <w:pStyle w:val="TableContents"/>
              <w:bidi w:val="0"/>
              <w:spacing w:before="0" w:after="283"/>
              <w:jc w:val="right"/>
              <w:rPr/>
            </w:pPr>
            <w:r>
              <w:rPr/>
              <w:t>41,309</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208" w:type="dxa"/>
            <w:tcBorders/>
            <w:vAlign w:val="center"/>
          </w:tcPr>
          <w:p>
            <w:pPr>
              <w:pStyle w:val="TableContents"/>
              <w:bidi w:val="0"/>
              <w:spacing w:before="0" w:after="283"/>
              <w:jc w:val="right"/>
              <w:rPr/>
            </w:pPr>
            <w:r>
              <w:rPr/>
              <w:t>45,292</w:t>
            </w:r>
          </w:p>
        </w:tc>
        <w:tc>
          <w:tcPr>
            <w:tcW w:w="143" w:type="dxa"/>
            <w:tcBorders/>
            <w:vAlign w:val="center"/>
          </w:tcPr>
          <w:p>
            <w:pPr>
              <w:pStyle w:val="TableContents"/>
              <w:bidi w:val="0"/>
              <w:spacing w:before="0" w:after="283"/>
              <w:jc w:val="left"/>
              <w:rPr/>
            </w:pPr>
            <w:r>
              <w:rPr/>
              <w:t> </w:t>
            </w:r>
          </w:p>
        </w:tc>
      </w:tr>
      <w:tr>
        <w:trPr/>
        <w:tc>
          <w:tcPr>
            <w:tcW w:w="3432" w:type="dxa"/>
            <w:tcBorders/>
            <w:shd w:fill="CCEEFF" w:val="clear"/>
            <w:vAlign w:val="center"/>
          </w:tcPr>
          <w:p>
            <w:pPr>
              <w:pStyle w:val="TableContents"/>
              <w:bidi w:val="0"/>
              <w:spacing w:before="0" w:after="283"/>
              <w:jc w:val="left"/>
              <w:rPr/>
            </w:pPr>
            <w:r>
              <w:rPr/>
              <w:t>Non-Standard Auto</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15,380</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20,504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46,777</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56,687</w:t>
            </w:r>
          </w:p>
        </w:tc>
        <w:tc>
          <w:tcPr>
            <w:tcW w:w="143" w:type="dxa"/>
            <w:tcBorders/>
            <w:shd w:fill="CCEEFF" w:val="clear"/>
            <w:vAlign w:val="center"/>
          </w:tcPr>
          <w:p>
            <w:pPr>
              <w:pStyle w:val="TableContents"/>
              <w:bidi w:val="0"/>
              <w:spacing w:before="0" w:after="283"/>
              <w:jc w:val="left"/>
              <w:rPr/>
            </w:pPr>
            <w:r>
              <w:rPr/>
              <w:t> </w:t>
            </w:r>
          </w:p>
        </w:tc>
      </w:tr>
      <w:tr>
        <w:trPr/>
        <w:tc>
          <w:tcPr>
            <w:tcW w:w="3432" w:type="dxa"/>
            <w:tcBorders/>
            <w:vAlign w:val="center"/>
          </w:tcPr>
          <w:p>
            <w:pPr>
              <w:pStyle w:val="TableContents"/>
              <w:bidi w:val="0"/>
              <w:spacing w:before="0" w:after="283"/>
              <w:jc w:val="left"/>
              <w:rPr/>
            </w:pPr>
            <w:r>
              <w:rPr/>
              <w:t>Home and Farm</w:t>
            </w:r>
          </w:p>
        </w:tc>
        <w:tc>
          <w:tcPr>
            <w:tcW w:w="9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18,556</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22,023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55,355</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56,230</w:t>
            </w:r>
          </w:p>
        </w:tc>
        <w:tc>
          <w:tcPr>
            <w:tcW w:w="143" w:type="dxa"/>
            <w:tcBorders/>
            <w:vAlign w:val="center"/>
          </w:tcPr>
          <w:p>
            <w:pPr>
              <w:pStyle w:val="TableContents"/>
              <w:bidi w:val="0"/>
              <w:spacing w:before="0" w:after="283"/>
              <w:jc w:val="left"/>
              <w:rPr/>
            </w:pPr>
            <w:r>
              <w:rPr/>
              <w:t> </w:t>
            </w:r>
          </w:p>
        </w:tc>
      </w:tr>
      <w:tr>
        <w:trPr/>
        <w:tc>
          <w:tcPr>
            <w:tcW w:w="3432" w:type="dxa"/>
            <w:tcBorders/>
            <w:shd w:fill="CCEEFF" w:val="clear"/>
            <w:vAlign w:val="center"/>
          </w:tcPr>
          <w:p>
            <w:pPr>
              <w:pStyle w:val="TableContents"/>
              <w:bidi w:val="0"/>
              <w:spacing w:before="0" w:after="283"/>
              <w:jc w:val="left"/>
              <w:rPr/>
            </w:pPr>
            <w:r>
              <w:rPr/>
              <w:t>Crop</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5,339</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6,190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13,306</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11,944</w:t>
            </w:r>
          </w:p>
        </w:tc>
        <w:tc>
          <w:tcPr>
            <w:tcW w:w="143" w:type="dxa"/>
            <w:tcBorders/>
            <w:shd w:fill="CCEEFF" w:val="clear"/>
            <w:vAlign w:val="center"/>
          </w:tcPr>
          <w:p>
            <w:pPr>
              <w:pStyle w:val="TableContents"/>
              <w:bidi w:val="0"/>
              <w:spacing w:before="0" w:after="283"/>
              <w:jc w:val="left"/>
              <w:rPr/>
            </w:pPr>
            <w:r>
              <w:rPr/>
              <w:t> </w:t>
            </w:r>
          </w:p>
        </w:tc>
      </w:tr>
      <w:tr>
        <w:trPr/>
        <w:tc>
          <w:tcPr>
            <w:tcW w:w="3432" w:type="dxa"/>
            <w:tcBorders/>
            <w:vAlign w:val="center"/>
          </w:tcPr>
          <w:p>
            <w:pPr>
              <w:pStyle w:val="TableContents"/>
              <w:bidi w:val="0"/>
              <w:spacing w:before="0" w:after="283"/>
              <w:jc w:val="left"/>
              <w:rPr/>
            </w:pPr>
            <w:r>
              <w:rPr/>
              <w:t>All Other</w:t>
            </w:r>
          </w:p>
        </w:tc>
        <w:tc>
          <w:tcPr>
            <w:tcW w:w="90" w:type="dxa"/>
            <w:tcBorders/>
            <w:vAlign w:val="center"/>
          </w:tcPr>
          <w:p>
            <w:pPr>
              <w:pStyle w:val="TableContents"/>
              <w:bidi w:val="0"/>
              <w:spacing w:before="0" w:after="283"/>
              <w:jc w:val="left"/>
              <w:rPr/>
            </w:pPr>
            <w:r>
              <w:rPr/>
              <w:t> </w:t>
            </w:r>
          </w:p>
        </w:tc>
        <w:tc>
          <w:tcPr>
            <w:tcW w:w="279" w:type="dxa"/>
            <w:tcBorders>
              <w:bottom w:val="single" w:sz="8" w:space="0" w:color="000000"/>
            </w:tcBorders>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tcMar>
              <w:bottom w:w="28" w:type="dxa"/>
            </w:tcMar>
            <w:vAlign w:val="center"/>
          </w:tcPr>
          <w:p>
            <w:pPr>
              <w:pStyle w:val="TableContents"/>
              <w:bidi w:val="0"/>
              <w:spacing w:before="0" w:after="283"/>
              <w:jc w:val="right"/>
              <w:rPr/>
            </w:pPr>
            <w:r>
              <w:rPr/>
              <w:t>2,808</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79" w:type="dxa"/>
            <w:tcBorders>
              <w:bottom w:val="single" w:sz="8" w:space="0" w:color="000000"/>
            </w:tcBorders>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tcMar>
              <w:bottom w:w="28" w:type="dxa"/>
            </w:tcMar>
            <w:vAlign w:val="center"/>
          </w:tcPr>
          <w:p>
            <w:pPr>
              <w:pStyle w:val="TableContents"/>
              <w:bidi w:val="0"/>
              <w:spacing w:before="0" w:after="283"/>
              <w:jc w:val="right"/>
              <w:rPr/>
            </w:pPr>
            <w:r>
              <w:rPr/>
              <w:t>2,313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bottom w:val="single" w:sz="8" w:space="0" w:color="000000"/>
            </w:tcBorders>
            <w:tcMar>
              <w:bottom w:w="28" w:type="dxa"/>
            </w:tcMar>
            <w:vAlign w:val="center"/>
          </w:tcPr>
          <w:p>
            <w:pPr>
              <w:pStyle w:val="TableContents"/>
              <w:bidi w:val="0"/>
              <w:spacing w:before="0" w:after="283"/>
              <w:jc w:val="left"/>
              <w:rPr/>
            </w:pPr>
            <w:r>
              <w:rPr/>
              <w:t> </w:t>
            </w:r>
          </w:p>
        </w:tc>
        <w:tc>
          <w:tcPr>
            <w:tcW w:w="1208" w:type="dxa"/>
            <w:tcBorders>
              <w:bottom w:val="single" w:sz="8" w:space="0" w:color="000000"/>
            </w:tcBorders>
            <w:tcMar>
              <w:bottom w:w="28" w:type="dxa"/>
            </w:tcMar>
            <w:vAlign w:val="center"/>
          </w:tcPr>
          <w:p>
            <w:pPr>
              <w:pStyle w:val="TableContents"/>
              <w:bidi w:val="0"/>
              <w:spacing w:before="0" w:after="283"/>
              <w:jc w:val="right"/>
              <w:rPr/>
            </w:pPr>
            <w:r>
              <w:rPr/>
              <w:t>4,582</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247" w:type="dxa"/>
            <w:tcBorders>
              <w:bottom w:val="single" w:sz="8" w:space="0" w:color="000000"/>
            </w:tcBorders>
            <w:tcMar>
              <w:bottom w:w="28" w:type="dxa"/>
            </w:tcMar>
            <w:vAlign w:val="center"/>
          </w:tcPr>
          <w:p>
            <w:pPr>
              <w:pStyle w:val="TableContents"/>
              <w:bidi w:val="0"/>
              <w:spacing w:before="0" w:after="283"/>
              <w:jc w:val="left"/>
              <w:rPr/>
            </w:pPr>
            <w:r>
              <w:rPr/>
              <w:t> </w:t>
            </w:r>
          </w:p>
        </w:tc>
        <w:tc>
          <w:tcPr>
            <w:tcW w:w="1208" w:type="dxa"/>
            <w:tcBorders>
              <w:bottom w:val="single" w:sz="8" w:space="0" w:color="000000"/>
            </w:tcBorders>
            <w:tcMar>
              <w:bottom w:w="28" w:type="dxa"/>
            </w:tcMar>
            <w:vAlign w:val="center"/>
          </w:tcPr>
          <w:p>
            <w:pPr>
              <w:pStyle w:val="TableContents"/>
              <w:bidi w:val="0"/>
              <w:spacing w:before="0" w:after="283"/>
              <w:jc w:val="right"/>
              <w:rPr/>
            </w:pPr>
            <w:r>
              <w:rPr/>
              <w:t>4,449</w:t>
            </w:r>
          </w:p>
        </w:tc>
        <w:tc>
          <w:tcPr>
            <w:tcW w:w="143" w:type="dxa"/>
            <w:tcBorders/>
            <w:vAlign w:val="center"/>
          </w:tcPr>
          <w:p>
            <w:pPr>
              <w:pStyle w:val="TableContents"/>
              <w:bidi w:val="0"/>
              <w:spacing w:before="0" w:after="283"/>
              <w:jc w:val="left"/>
              <w:rPr/>
            </w:pPr>
            <w:r>
              <w:rPr/>
              <w:t> </w:t>
            </w:r>
          </w:p>
        </w:tc>
      </w:tr>
      <w:tr>
        <w:trPr/>
        <w:tc>
          <w:tcPr>
            <w:tcW w:w="3432" w:type="dxa"/>
            <w:tcBorders/>
            <w:shd w:fill="CCEEFF" w:val="clear"/>
            <w:vAlign w:val="center"/>
          </w:tcPr>
          <w:p>
            <w:pPr>
              <w:pStyle w:val="TableContents"/>
              <w:bidi w:val="0"/>
              <w:spacing w:before="0" w:after="283"/>
              <w:jc w:val="left"/>
              <w:rPr/>
            </w:pPr>
            <w:r>
              <w:rPr/>
              <w:t>Total net losses and loss adjustment expenses</w:t>
            </w:r>
          </w:p>
        </w:tc>
        <w:tc>
          <w:tcPr>
            <w:tcW w:w="90" w:type="dxa"/>
            <w:tcBorders/>
            <w:shd w:fill="CCEEFF" w:val="clear"/>
            <w:vAlign w:val="center"/>
          </w:tcPr>
          <w:p>
            <w:pPr>
              <w:pStyle w:val="TableContents"/>
              <w:bidi w:val="0"/>
              <w:spacing w:before="0" w:after="283"/>
              <w:jc w:val="left"/>
              <w:rPr/>
            </w:pPr>
            <w:r>
              <w:rPr/>
              <w:t> </w:t>
            </w:r>
          </w:p>
        </w:tc>
        <w:tc>
          <w:tcPr>
            <w:tcW w:w="2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56,197</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65,100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8" w:type="dxa"/>
            <w:tcBorders>
              <w:bottom w:val="double" w:sz="6" w:space="0" w:color="000000"/>
            </w:tcBorders>
            <w:shd w:fill="CCEEFF" w:val="clear"/>
            <w:tcMar>
              <w:bottom w:w="28" w:type="dxa"/>
            </w:tcMar>
            <w:vAlign w:val="center"/>
          </w:tcPr>
          <w:p>
            <w:pPr>
              <w:pStyle w:val="TableContents"/>
              <w:bidi w:val="0"/>
              <w:spacing w:before="0" w:after="283"/>
              <w:jc w:val="right"/>
              <w:rPr/>
            </w:pPr>
            <w:r>
              <w:rPr/>
              <w:t>161,329</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8" w:type="dxa"/>
            <w:tcBorders>
              <w:bottom w:val="double" w:sz="6" w:space="0" w:color="000000"/>
            </w:tcBorders>
            <w:shd w:fill="CCEEFF" w:val="clear"/>
            <w:tcMar>
              <w:bottom w:w="28" w:type="dxa"/>
            </w:tcMar>
            <w:vAlign w:val="center"/>
          </w:tcPr>
          <w:p>
            <w:pPr>
              <w:pStyle w:val="TableContents"/>
              <w:bidi w:val="0"/>
              <w:spacing w:before="0" w:after="283"/>
              <w:jc w:val="right"/>
              <w:rPr/>
            </w:pPr>
            <w:r>
              <w:rPr/>
              <w:t>174,602</w:t>
            </w:r>
          </w:p>
        </w:tc>
        <w:tc>
          <w:tcPr>
            <w:tcW w:w="143" w:type="dxa"/>
            <w:tcBorders/>
            <w:shd w:fill="CCEEFF" w:val="clear"/>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18"/>
        <w:gridCol w:w="90"/>
        <w:gridCol w:w="162"/>
        <w:gridCol w:w="1378"/>
        <w:gridCol w:w="162"/>
        <w:gridCol w:w="162"/>
        <w:gridCol w:w="162"/>
        <w:gridCol w:w="1160"/>
        <w:gridCol w:w="90"/>
        <w:gridCol w:w="90"/>
        <w:gridCol w:w="158"/>
        <w:gridCol w:w="1334"/>
        <w:gridCol w:w="158"/>
        <w:gridCol w:w="158"/>
        <w:gridCol w:w="158"/>
        <w:gridCol w:w="1123"/>
        <w:gridCol w:w="142"/>
      </w:tblGrid>
      <w:tr>
        <w:trPr/>
        <w:tc>
          <w:tcPr>
            <w:tcW w:w="351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8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8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42" w:type="dxa"/>
            <w:tcBorders/>
            <w:vAlign w:val="center"/>
          </w:tcPr>
          <w:p>
            <w:pPr>
              <w:pStyle w:val="TableContents"/>
              <w:bidi w:val="0"/>
              <w:spacing w:before="0" w:after="283"/>
              <w:jc w:val="left"/>
              <w:rPr/>
            </w:pPr>
            <w:r>
              <w:rPr/>
              <w:t> </w:t>
            </w:r>
          </w:p>
        </w:tc>
      </w:tr>
      <w:tr>
        <w:trPr/>
        <w:tc>
          <w:tcPr>
            <w:tcW w:w="351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3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42" w:type="dxa"/>
            <w:tcBorders/>
            <w:vAlign w:val="center"/>
          </w:tcPr>
          <w:p>
            <w:pPr>
              <w:pStyle w:val="TableContents"/>
              <w:bidi w:val="0"/>
              <w:spacing w:before="0" w:after="283"/>
              <w:ind w:left="0" w:right="0" w:hanging="216"/>
              <w:jc w:val="left"/>
              <w:rPr/>
            </w:pPr>
            <w:r>
              <w:rPr/>
              <w:t> </w:t>
            </w:r>
          </w:p>
        </w:tc>
      </w:tr>
      <w:tr>
        <w:trPr/>
        <w:tc>
          <w:tcPr>
            <w:tcW w:w="3518" w:type="dxa"/>
            <w:tcBorders/>
            <w:shd w:fill="CCEEFF" w:val="clear"/>
            <w:vAlign w:val="center"/>
          </w:tcPr>
          <w:p>
            <w:pPr>
              <w:pStyle w:val="TableContents"/>
              <w:bidi w:val="0"/>
              <w:spacing w:before="0" w:after="283"/>
              <w:jc w:val="left"/>
              <w:rPr/>
            </w:pPr>
            <w:r>
              <w:rPr/>
              <w:t>Loss and loss adjustment expense ratio:</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r>
      <w:tr>
        <w:trPr/>
        <w:tc>
          <w:tcPr>
            <w:tcW w:w="3518" w:type="dxa"/>
            <w:tcBorders/>
            <w:vAlign w:val="center"/>
          </w:tcPr>
          <w:p>
            <w:pPr>
              <w:pStyle w:val="TableContents"/>
              <w:bidi w:val="0"/>
              <w:spacing w:before="0" w:after="283"/>
              <w:jc w:val="left"/>
              <w:rPr/>
            </w:pPr>
            <w:r>
              <w:rPr/>
              <w:t>Private Passenger Auto</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60.8%</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62.2%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60.1%</w:t>
            </w:r>
          </w:p>
        </w:tc>
        <w:tc>
          <w:tcPr>
            <w:tcW w:w="15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right"/>
              <w:rPr/>
            </w:pPr>
            <w:r>
              <w:rPr/>
              <w:t>67.4%</w:t>
            </w:r>
          </w:p>
        </w:tc>
        <w:tc>
          <w:tcPr>
            <w:tcW w:w="142" w:type="dxa"/>
            <w:tcBorders/>
            <w:vAlign w:val="center"/>
          </w:tcPr>
          <w:p>
            <w:pPr>
              <w:pStyle w:val="TableContents"/>
              <w:bidi w:val="0"/>
              <w:spacing w:before="0" w:after="283"/>
              <w:jc w:val="left"/>
              <w:rPr/>
            </w:pPr>
            <w:r>
              <w:rPr/>
              <w:t> </w:t>
            </w:r>
          </w:p>
        </w:tc>
      </w:tr>
      <w:tr>
        <w:trPr/>
        <w:tc>
          <w:tcPr>
            <w:tcW w:w="3518" w:type="dxa"/>
            <w:tcBorders/>
            <w:shd w:fill="CCEEFF" w:val="clear"/>
            <w:vAlign w:val="center"/>
          </w:tcPr>
          <w:p>
            <w:pPr>
              <w:pStyle w:val="TableContents"/>
              <w:bidi w:val="0"/>
              <w:spacing w:before="0" w:after="283"/>
              <w:jc w:val="left"/>
              <w:rPr/>
            </w:pPr>
            <w:r>
              <w:rPr/>
              <w:t>Non-Standard Auto</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141.6%</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89.1%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107.2%</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75.9%</w:t>
            </w:r>
          </w:p>
        </w:tc>
        <w:tc>
          <w:tcPr>
            <w:tcW w:w="142" w:type="dxa"/>
            <w:tcBorders/>
            <w:shd w:fill="CCEEFF" w:val="clear"/>
            <w:vAlign w:val="center"/>
          </w:tcPr>
          <w:p>
            <w:pPr>
              <w:pStyle w:val="TableContents"/>
              <w:bidi w:val="0"/>
              <w:spacing w:before="0" w:after="283"/>
              <w:jc w:val="left"/>
              <w:rPr/>
            </w:pPr>
            <w:r>
              <w:rPr/>
              <w:t> </w:t>
            </w:r>
          </w:p>
        </w:tc>
      </w:tr>
      <w:tr>
        <w:trPr/>
        <w:tc>
          <w:tcPr>
            <w:tcW w:w="3518" w:type="dxa"/>
            <w:tcBorders/>
            <w:vAlign w:val="center"/>
          </w:tcPr>
          <w:p>
            <w:pPr>
              <w:pStyle w:val="TableContents"/>
              <w:bidi w:val="0"/>
              <w:spacing w:before="0" w:after="283"/>
              <w:jc w:val="left"/>
              <w:rPr/>
            </w:pPr>
            <w:r>
              <w:rPr/>
              <w:t>Home and Farm</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78.5%</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93.8%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80.6%</w:t>
            </w:r>
          </w:p>
        </w:tc>
        <w:tc>
          <w:tcPr>
            <w:tcW w:w="15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right"/>
              <w:rPr/>
            </w:pPr>
            <w:r>
              <w:rPr/>
              <w:t>84.2%</w:t>
            </w:r>
          </w:p>
        </w:tc>
        <w:tc>
          <w:tcPr>
            <w:tcW w:w="142" w:type="dxa"/>
            <w:tcBorders/>
            <w:vAlign w:val="center"/>
          </w:tcPr>
          <w:p>
            <w:pPr>
              <w:pStyle w:val="TableContents"/>
              <w:bidi w:val="0"/>
              <w:spacing w:before="0" w:after="283"/>
              <w:jc w:val="left"/>
              <w:rPr/>
            </w:pPr>
            <w:r>
              <w:rPr/>
              <w:t> </w:t>
            </w:r>
          </w:p>
        </w:tc>
      </w:tr>
      <w:tr>
        <w:trPr/>
        <w:tc>
          <w:tcPr>
            <w:tcW w:w="3518" w:type="dxa"/>
            <w:tcBorders/>
            <w:shd w:fill="CCEEFF" w:val="clear"/>
            <w:vAlign w:val="center"/>
          </w:tcPr>
          <w:p>
            <w:pPr>
              <w:pStyle w:val="TableContents"/>
              <w:bidi w:val="0"/>
              <w:spacing w:before="0" w:after="283"/>
              <w:jc w:val="left"/>
              <w:rPr/>
            </w:pPr>
            <w:r>
              <w:rPr/>
              <w:t>Crop</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51.5%</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56.9%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64.3%</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58.8%</w:t>
            </w:r>
          </w:p>
        </w:tc>
        <w:tc>
          <w:tcPr>
            <w:tcW w:w="142" w:type="dxa"/>
            <w:tcBorders/>
            <w:shd w:fill="CCEEFF" w:val="clear"/>
            <w:vAlign w:val="center"/>
          </w:tcPr>
          <w:p>
            <w:pPr>
              <w:pStyle w:val="TableContents"/>
              <w:bidi w:val="0"/>
              <w:spacing w:before="0" w:after="283"/>
              <w:jc w:val="left"/>
              <w:rPr/>
            </w:pPr>
            <w:r>
              <w:rPr/>
              <w:t> </w:t>
            </w:r>
          </w:p>
        </w:tc>
      </w:tr>
      <w:tr>
        <w:trPr/>
        <w:tc>
          <w:tcPr>
            <w:tcW w:w="3518" w:type="dxa"/>
            <w:tcBorders/>
            <w:vAlign w:val="center"/>
          </w:tcPr>
          <w:p>
            <w:pPr>
              <w:pStyle w:val="TableContents"/>
              <w:bidi w:val="0"/>
              <w:spacing w:before="0" w:after="283"/>
              <w:jc w:val="left"/>
              <w:rPr/>
            </w:pPr>
            <w:r>
              <w:rPr/>
              <w:t>All Other</w:t>
            </w:r>
          </w:p>
        </w:tc>
        <w:tc>
          <w:tcPr>
            <w:tcW w:w="9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378" w:type="dxa"/>
            <w:tcBorders>
              <w:bottom w:val="single" w:sz="8" w:space="0" w:color="000000"/>
            </w:tcBorders>
            <w:tcMar>
              <w:bottom w:w="28" w:type="dxa"/>
            </w:tcMar>
            <w:vAlign w:val="center"/>
          </w:tcPr>
          <w:p>
            <w:pPr>
              <w:pStyle w:val="TableContents"/>
              <w:bidi w:val="0"/>
              <w:spacing w:before="0" w:after="283"/>
              <w:jc w:val="right"/>
              <w:rPr/>
            </w:pPr>
            <w:r>
              <w:rPr/>
              <w:t>73.2%</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right"/>
              <w:rPr/>
            </w:pPr>
            <w:r>
              <w:rPr/>
              <w:t>70.2%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 w:type="dxa"/>
            <w:tcBorders>
              <w:bottom w:val="single" w:sz="8" w:space="0" w:color="000000"/>
            </w:tcBorders>
            <w:tcMar>
              <w:bottom w:w="28" w:type="dxa"/>
            </w:tcMar>
            <w:vAlign w:val="center"/>
          </w:tcPr>
          <w:p>
            <w:pPr>
              <w:pStyle w:val="TableContents"/>
              <w:bidi w:val="0"/>
              <w:spacing w:before="0" w:after="283"/>
              <w:jc w:val="left"/>
              <w:rPr/>
            </w:pPr>
            <w:r>
              <w:rPr/>
              <w:t> </w:t>
            </w:r>
          </w:p>
        </w:tc>
        <w:tc>
          <w:tcPr>
            <w:tcW w:w="1334" w:type="dxa"/>
            <w:tcBorders>
              <w:bottom w:val="single" w:sz="8" w:space="0" w:color="000000"/>
            </w:tcBorders>
            <w:tcMar>
              <w:bottom w:w="28" w:type="dxa"/>
            </w:tcMar>
            <w:vAlign w:val="center"/>
          </w:tcPr>
          <w:p>
            <w:pPr>
              <w:pStyle w:val="TableContents"/>
              <w:bidi w:val="0"/>
              <w:spacing w:before="0" w:after="283"/>
              <w:jc w:val="right"/>
              <w:rPr/>
            </w:pPr>
            <w:r>
              <w:rPr/>
              <w:t>43.1%</w:t>
            </w:r>
          </w:p>
        </w:tc>
        <w:tc>
          <w:tcPr>
            <w:tcW w:w="15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58" w:type="dxa"/>
            <w:tcBorders>
              <w:bottom w:val="single" w:sz="8" w:space="0" w:color="000000"/>
            </w:tcBorders>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tcMar>
              <w:bottom w:w="28" w:type="dxa"/>
            </w:tcMar>
            <w:vAlign w:val="center"/>
          </w:tcPr>
          <w:p>
            <w:pPr>
              <w:pStyle w:val="TableContents"/>
              <w:bidi w:val="0"/>
              <w:spacing w:before="0" w:after="283"/>
              <w:jc w:val="right"/>
              <w:rPr/>
            </w:pPr>
            <w:r>
              <w:rPr/>
              <w:t>48.0%</w:t>
            </w:r>
          </w:p>
        </w:tc>
        <w:tc>
          <w:tcPr>
            <w:tcW w:w="142" w:type="dxa"/>
            <w:tcBorders/>
            <w:vAlign w:val="center"/>
          </w:tcPr>
          <w:p>
            <w:pPr>
              <w:pStyle w:val="TableContents"/>
              <w:bidi w:val="0"/>
              <w:spacing w:before="0" w:after="283"/>
              <w:jc w:val="left"/>
              <w:rPr/>
            </w:pPr>
            <w:r>
              <w:rPr/>
              <w:t> </w:t>
            </w:r>
          </w:p>
        </w:tc>
      </w:tr>
      <w:tr>
        <w:trPr/>
        <w:tc>
          <w:tcPr>
            <w:tcW w:w="3518" w:type="dxa"/>
            <w:tcBorders/>
            <w:shd w:fill="CCEEFF" w:val="clear"/>
            <w:vAlign w:val="center"/>
          </w:tcPr>
          <w:p>
            <w:pPr>
              <w:pStyle w:val="TableContents"/>
              <w:bidi w:val="0"/>
              <w:spacing w:before="0" w:after="283"/>
              <w:jc w:val="left"/>
              <w:rPr/>
            </w:pPr>
            <w:r>
              <w:rPr/>
              <w:t>Total loss and loss adjustment expense ratio</w:t>
            </w:r>
          </w:p>
        </w:tc>
        <w:tc>
          <w:tcPr>
            <w:tcW w:w="9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8" w:type="dxa"/>
            <w:tcBorders>
              <w:bottom w:val="double" w:sz="6" w:space="0" w:color="000000"/>
            </w:tcBorders>
            <w:shd w:fill="CCEEFF" w:val="clear"/>
            <w:tcMar>
              <w:bottom w:w="28" w:type="dxa"/>
            </w:tcMar>
            <w:vAlign w:val="center"/>
          </w:tcPr>
          <w:p>
            <w:pPr>
              <w:pStyle w:val="TableContents"/>
              <w:bidi w:val="0"/>
              <w:spacing w:before="0" w:after="283"/>
              <w:jc w:val="right"/>
              <w:rPr/>
            </w:pPr>
            <w:r>
              <w:rPr/>
              <w:t>78.2%</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78.2%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double" w:sz="6" w:space="0" w:color="000000"/>
            </w:tcBorders>
            <w:shd w:fill="CCEEFF" w:val="clear"/>
            <w:tcMar>
              <w:bottom w:w="28" w:type="dxa"/>
            </w:tcMar>
            <w:vAlign w:val="center"/>
          </w:tcPr>
          <w:p>
            <w:pPr>
              <w:pStyle w:val="TableContents"/>
              <w:bidi w:val="0"/>
              <w:spacing w:before="0" w:after="283"/>
              <w:jc w:val="right"/>
              <w:rPr/>
            </w:pPr>
            <w:r>
              <w:rPr/>
              <w:t>76.0%</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double" w:sz="6" w:space="0" w:color="000000"/>
            </w:tcBorders>
            <w:shd w:fill="CCEEFF" w:val="clear"/>
            <w:tcMar>
              <w:bottom w:w="28" w:type="dxa"/>
            </w:tcMar>
            <w:vAlign w:val="center"/>
          </w:tcPr>
          <w:p>
            <w:pPr>
              <w:pStyle w:val="TableContents"/>
              <w:bidi w:val="0"/>
              <w:spacing w:before="0" w:after="283"/>
              <w:jc w:val="right"/>
              <w:rPr/>
            </w:pPr>
            <w:r>
              <w:rPr/>
              <w:t>73.3%</w:t>
            </w:r>
          </w:p>
        </w:tc>
        <w:tc>
          <w:tcPr>
            <w:tcW w:w="142" w:type="dxa"/>
            <w:tcBorders/>
            <w:shd w:fill="CCEEFF" w:val="clear"/>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comments regarding significant changes in the net losses and loss adjustment expenses, and the net loss and loss adjustment expense ratios, by business segment:</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Private Passenger Auto</w:t>
      </w:r>
      <w:r>
        <w:rPr>
          <w:rFonts w:ascii="Times New Roman;Times;Serif" w:hAnsi="Times New Roman;Times;Serif"/>
          <w:b w:val="false"/>
          <w:i w:val="false"/>
          <w:caps w:val="false"/>
          <w:smallCaps w:val="false"/>
          <w:sz w:val="20"/>
        </w:rPr>
        <w:t xml:space="preserve"> – The net loss and loss adjustment expense ratio decreased 1.4 percentage points and 7.3 percentage points in the three- and nine-month periods ended September 30, 2025, respectively, compared to the same periods in 2024. These decreases in the current year were driven by improved loss severity on physical damage claims and rate increases impacting net premiums earned.</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Non-Standard Auto</w:t>
      </w:r>
      <w:r>
        <w:rPr>
          <w:rFonts w:ascii="Times New Roman;Times;Serif" w:hAnsi="Times New Roman;Times;Serif"/>
          <w:b w:val="false"/>
          <w:i w:val="false"/>
          <w:caps w:val="false"/>
          <w:smallCaps w:val="false"/>
          <w:sz w:val="20"/>
        </w:rPr>
        <w:t xml:space="preserve"> – The net loss and loss adjustment expense ratio increased 52.5 percentage points and 31.3 percentage points in the three- and nine-month periods ended September 30, 2025, respectively, compared to the same period in 2024. These increases were driven by higher unfavorable prior year development on liability loss reserves due to higher loss frequency and severity.</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Home and Farm</w:t>
      </w:r>
      <w:r>
        <w:rPr>
          <w:rFonts w:ascii="Times New Roman;Times;Serif" w:hAnsi="Times New Roman;Times;Serif"/>
          <w:b w:val="false"/>
          <w:i w:val="false"/>
          <w:caps w:val="false"/>
          <w:smallCaps w:val="false"/>
          <w:sz w:val="20"/>
        </w:rPr>
        <w:t xml:space="preserve"> – The net loss and loss adjustment expense ratio decreased 15.3 percentage points and 3.6 percentage points in the three- and nine-month periods ended September 30, 2025, respectively, compared to the same periods in 2024. The elevated 2025 net loss and loss adjustment expense ratios were driven by losses from a significant catastrophe event in North Dakota during the second quarter of 2025 that exceeded the Company’s $20,000 retention as well as the related ceded premiums earned. Although there were no catastrophes during 2024, the net loss and loss adjustment expense ratios for the three- and nine-month periods ended September 30, 2024, were impacted by elevated non-catastrophe weather losses in North Dakota and Nebraska. Catastrophe losses, net of reinsurance, for the Home and Farm segment accounted for 29.0 percentage points of the net loss and loss adjustment expense ratio for the nine-month period ended September 30, 2025, and did not have a negative impact for the same periods in 2024.</w:t>
      </w:r>
    </w:p>
    <w:p>
      <w:pPr>
        <w:pStyle w:val="TextBody"/>
        <w:bidi w:val="0"/>
        <w:jc w:val="both"/>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Crop</w:t>
      </w:r>
      <w:r>
        <w:rPr>
          <w:rFonts w:ascii="Times New Roman;Times;Serif" w:hAnsi="Times New Roman;Times;Serif"/>
          <w:b w:val="false"/>
          <w:i w:val="false"/>
          <w:caps w:val="false"/>
          <w:smallCaps w:val="false"/>
          <w:sz w:val="20"/>
        </w:rPr>
        <w:t xml:space="preserve"> – The net loss and loss adjustment expense ratio decreased 5.4 percentage points and increased 5.5 percentage points in the three- and nine-month periods ended September 30, 2025, respectively, compared to the same periods in 2024. The current quarter decrease was driven by the recognition of a reduction to the anticipated loss ratio for the current crop year compared to the anticipated loss ratio remaining relatively flat in the prior year. The year-to-date increase was driven by higher crop hail losses in the current year compared to the prior year.</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 Other</w:t>
      </w:r>
      <w:r>
        <w:rPr>
          <w:rFonts w:ascii="Times New Roman;Times;Serif" w:hAnsi="Times New Roman;Times;Serif"/>
          <w:b w:val="false"/>
          <w:i w:val="false"/>
          <w:caps w:val="false"/>
          <w:smallCaps w:val="false"/>
          <w:sz w:val="20"/>
        </w:rPr>
        <w:t xml:space="preserve"> – The net loss and loss adjustment expense ratio increased 3.0 percentage points and decreased 4.9 percentage points in the three- and nine-month period ended September 30, 2025, compared to the same period in 2024. The current quarter increase was driven by unfavorable development for commercial property losses related to the significant catastrophe event in North Dakota during the second quarter of 2025. The year-to-date decrease was driven by favorable loss development related to the continued run-off of our participation in an assumed domestic and international reinsurance pool of business.</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Underwriting and General Expenses and Expense Ratio</w:t>
      </w:r>
    </w:p>
    <w:tbl>
      <w:tblPr>
        <w:tblW w:w="10205" w:type="dxa"/>
        <w:jc w:val="left"/>
        <w:tblInd w:w="0" w:type="dxa"/>
        <w:tblLayout w:type="fixed"/>
        <w:tblCellMar>
          <w:top w:w="0" w:type="dxa"/>
          <w:left w:w="0" w:type="dxa"/>
          <w:bottom w:w="0" w:type="dxa"/>
          <w:right w:w="0" w:type="dxa"/>
        </w:tblCellMar>
      </w:tblPr>
      <w:tblGrid>
        <w:gridCol w:w="3571"/>
        <w:gridCol w:w="90"/>
        <w:gridCol w:w="277"/>
        <w:gridCol w:w="1156"/>
        <w:gridCol w:w="146"/>
        <w:gridCol w:w="146"/>
        <w:gridCol w:w="277"/>
        <w:gridCol w:w="1156"/>
        <w:gridCol w:w="90"/>
        <w:gridCol w:w="90"/>
        <w:gridCol w:w="268"/>
        <w:gridCol w:w="1123"/>
        <w:gridCol w:w="141"/>
        <w:gridCol w:w="141"/>
        <w:gridCol w:w="268"/>
        <w:gridCol w:w="1123"/>
        <w:gridCol w:w="142"/>
      </w:tblGrid>
      <w:tr>
        <w:trPr/>
        <w:tc>
          <w:tcPr>
            <w:tcW w:w="35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42" w:type="dxa"/>
            <w:tcBorders/>
            <w:vAlign w:val="center"/>
          </w:tcPr>
          <w:p>
            <w:pPr>
              <w:pStyle w:val="TableContents"/>
              <w:bidi w:val="0"/>
              <w:spacing w:before="0" w:after="283"/>
              <w:jc w:val="left"/>
              <w:rPr/>
            </w:pPr>
            <w:r>
              <w:rPr/>
              <w:t> </w:t>
            </w:r>
          </w:p>
        </w:tc>
      </w:tr>
      <w:tr>
        <w:trPr/>
        <w:tc>
          <w:tcPr>
            <w:tcW w:w="35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42" w:type="dxa"/>
            <w:tcBorders/>
            <w:vAlign w:val="center"/>
          </w:tcPr>
          <w:p>
            <w:pPr>
              <w:pStyle w:val="TableContents"/>
              <w:bidi w:val="0"/>
              <w:spacing w:before="0" w:after="283"/>
              <w:ind w:left="0" w:right="0" w:hanging="216"/>
              <w:jc w:val="left"/>
              <w:rPr/>
            </w:pPr>
            <w:r>
              <w:rPr/>
              <w:t> </w:t>
            </w:r>
          </w:p>
        </w:tc>
      </w:tr>
      <w:tr>
        <w:trPr/>
        <w:tc>
          <w:tcPr>
            <w:tcW w:w="3571" w:type="dxa"/>
            <w:tcBorders/>
            <w:shd w:fill="CCEEFF" w:val="clear"/>
            <w:vAlign w:val="center"/>
          </w:tcPr>
          <w:p>
            <w:pPr>
              <w:pStyle w:val="TableContents"/>
              <w:bidi w:val="0"/>
              <w:spacing w:before="0" w:after="283"/>
              <w:jc w:val="left"/>
              <w:rPr/>
            </w:pPr>
            <w:r>
              <w:rPr/>
              <w:t>Underwriting and general expenses:</w:t>
            </w:r>
          </w:p>
        </w:tc>
        <w:tc>
          <w:tcPr>
            <w:tcW w:w="9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r>
      <w:tr>
        <w:trPr/>
        <w:tc>
          <w:tcPr>
            <w:tcW w:w="3571" w:type="dxa"/>
            <w:tcBorders/>
            <w:vAlign w:val="center"/>
          </w:tcPr>
          <w:p>
            <w:pPr>
              <w:pStyle w:val="TableContents"/>
              <w:bidi w:val="0"/>
              <w:spacing w:before="0" w:after="283"/>
              <w:jc w:val="left"/>
              <w:rPr/>
            </w:pPr>
            <w:r>
              <w:rPr/>
              <w:t>Amortization of deferred policy acquisition costs</w:t>
            </w:r>
          </w:p>
        </w:tc>
        <w:tc>
          <w:tcPr>
            <w:tcW w:w="9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283"/>
              <w:jc w:val="right"/>
              <w:rPr/>
            </w:pPr>
            <w:r>
              <w:rPr/>
              <w:t>13,725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283"/>
              <w:jc w:val="right"/>
              <w:rPr/>
            </w:pPr>
            <w:r>
              <w:rPr/>
              <w:t>17,616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w:t>
            </w:r>
          </w:p>
        </w:tc>
        <w:tc>
          <w:tcPr>
            <w:tcW w:w="1123" w:type="dxa"/>
            <w:tcBorders/>
            <w:vAlign w:val="center"/>
          </w:tcPr>
          <w:p>
            <w:pPr>
              <w:pStyle w:val="TableContents"/>
              <w:bidi w:val="0"/>
              <w:spacing w:before="0" w:after="283"/>
              <w:jc w:val="right"/>
              <w:rPr/>
            </w:pPr>
            <w:r>
              <w:rPr/>
              <w:t>46,627</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w:t>
            </w:r>
          </w:p>
        </w:tc>
        <w:tc>
          <w:tcPr>
            <w:tcW w:w="1123" w:type="dxa"/>
            <w:tcBorders/>
            <w:vAlign w:val="center"/>
          </w:tcPr>
          <w:p>
            <w:pPr>
              <w:pStyle w:val="TableContents"/>
              <w:bidi w:val="0"/>
              <w:spacing w:before="0" w:after="283"/>
              <w:jc w:val="right"/>
              <w:rPr/>
            </w:pPr>
            <w:r>
              <w:rPr/>
              <w:t>53,723</w:t>
            </w:r>
          </w:p>
        </w:tc>
        <w:tc>
          <w:tcPr>
            <w:tcW w:w="142" w:type="dxa"/>
            <w:tcBorders/>
            <w:vAlign w:val="center"/>
          </w:tcPr>
          <w:p>
            <w:pPr>
              <w:pStyle w:val="TableContents"/>
              <w:bidi w:val="0"/>
              <w:spacing w:before="0" w:after="283"/>
              <w:jc w:val="left"/>
              <w:rPr/>
            </w:pPr>
            <w:r>
              <w:rPr/>
              <w:t> </w:t>
            </w:r>
          </w:p>
        </w:tc>
      </w:tr>
      <w:tr>
        <w:trPr/>
        <w:tc>
          <w:tcPr>
            <w:tcW w:w="3571" w:type="dxa"/>
            <w:tcBorders/>
            <w:shd w:fill="CCEEFF" w:val="clear"/>
            <w:vAlign w:val="center"/>
          </w:tcPr>
          <w:p>
            <w:pPr>
              <w:pStyle w:val="TableContents"/>
              <w:bidi w:val="0"/>
              <w:spacing w:before="0" w:after="283"/>
              <w:jc w:val="left"/>
              <w:rPr/>
            </w:pPr>
            <w:r>
              <w:rPr/>
              <w:t>Other underwriting and general expenses</w:t>
            </w:r>
          </w:p>
        </w:tc>
        <w:tc>
          <w:tcPr>
            <w:tcW w:w="90" w:type="dxa"/>
            <w:tcBorders/>
            <w:shd w:fill="CCEEFF" w:val="clear"/>
            <w:vAlign w:val="center"/>
          </w:tcPr>
          <w:p>
            <w:pPr>
              <w:pStyle w:val="TableContents"/>
              <w:bidi w:val="0"/>
              <w:spacing w:before="0" w:after="283"/>
              <w:jc w:val="left"/>
              <w:rPr/>
            </w:pPr>
            <w:r>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8,504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9,724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25,536</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26,658</w:t>
            </w:r>
          </w:p>
        </w:tc>
        <w:tc>
          <w:tcPr>
            <w:tcW w:w="142" w:type="dxa"/>
            <w:tcBorders/>
            <w:shd w:fill="CCEEFF" w:val="clear"/>
            <w:vAlign w:val="center"/>
          </w:tcPr>
          <w:p>
            <w:pPr>
              <w:pStyle w:val="TableContents"/>
              <w:bidi w:val="0"/>
              <w:spacing w:before="0" w:after="283"/>
              <w:jc w:val="left"/>
              <w:rPr/>
            </w:pPr>
            <w:r>
              <w:rPr/>
              <w:t> </w:t>
            </w:r>
          </w:p>
        </w:tc>
      </w:tr>
      <w:tr>
        <w:trPr/>
        <w:tc>
          <w:tcPr>
            <w:tcW w:w="3571" w:type="dxa"/>
            <w:tcBorders/>
            <w:vAlign w:val="center"/>
          </w:tcPr>
          <w:p>
            <w:pPr>
              <w:pStyle w:val="TableContents"/>
              <w:bidi w:val="0"/>
              <w:spacing w:before="0" w:after="283"/>
              <w:jc w:val="left"/>
              <w:rPr/>
            </w:pPr>
            <w:r>
              <w:rPr/>
              <w:t>Total underwriting and general expenses</w:t>
            </w:r>
          </w:p>
        </w:tc>
        <w:tc>
          <w:tcPr>
            <w:tcW w:w="90" w:type="dxa"/>
            <w:tcBorders/>
            <w:vAlign w:val="center"/>
          </w:tcPr>
          <w:p>
            <w:pPr>
              <w:pStyle w:val="TableContents"/>
              <w:bidi w:val="0"/>
              <w:spacing w:before="0" w:after="283"/>
              <w:jc w:val="left"/>
              <w:rPr/>
            </w:pPr>
            <w:r>
              <w:rPr/>
              <w:t> </w:t>
            </w:r>
          </w:p>
        </w:tc>
        <w:tc>
          <w:tcPr>
            <w:tcW w:w="277" w:type="dxa"/>
            <w:tcBorders>
              <w:bottom w:val="double" w:sz="6" w:space="0" w:color="000000"/>
            </w:tcBorders>
            <w:tcMar>
              <w:bottom w:w="28" w:type="dxa"/>
            </w:tcMar>
            <w:vAlign w:val="center"/>
          </w:tcPr>
          <w:p>
            <w:pPr>
              <w:pStyle w:val="TableContents"/>
              <w:bidi w:val="0"/>
              <w:spacing w:before="0" w:after="283"/>
              <w:jc w:val="left"/>
              <w:rPr/>
            </w:pPr>
            <w:r>
              <w:rPr/>
              <w:t> </w:t>
            </w:r>
          </w:p>
        </w:tc>
        <w:tc>
          <w:tcPr>
            <w:tcW w:w="1156" w:type="dxa"/>
            <w:tcBorders>
              <w:bottom w:val="double" w:sz="6" w:space="0" w:color="000000"/>
            </w:tcBorders>
            <w:tcMar>
              <w:bottom w:w="28" w:type="dxa"/>
            </w:tcMar>
            <w:vAlign w:val="center"/>
          </w:tcPr>
          <w:p>
            <w:pPr>
              <w:pStyle w:val="TableContents"/>
              <w:bidi w:val="0"/>
              <w:spacing w:before="0" w:after="283"/>
              <w:jc w:val="right"/>
              <w:rPr/>
            </w:pPr>
            <w:r>
              <w:rPr/>
              <w:t>22,229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7" w:type="dxa"/>
            <w:tcBorders>
              <w:bottom w:val="double" w:sz="6" w:space="0" w:color="000000"/>
            </w:tcBorders>
            <w:tcMar>
              <w:bottom w:w="28" w:type="dxa"/>
            </w:tcMar>
            <w:vAlign w:val="center"/>
          </w:tcPr>
          <w:p>
            <w:pPr>
              <w:pStyle w:val="TableContents"/>
              <w:bidi w:val="0"/>
              <w:spacing w:before="0" w:after="283"/>
              <w:jc w:val="left"/>
              <w:rPr/>
            </w:pPr>
            <w:r>
              <w:rPr/>
              <w:t> </w:t>
            </w:r>
          </w:p>
        </w:tc>
        <w:tc>
          <w:tcPr>
            <w:tcW w:w="1156" w:type="dxa"/>
            <w:tcBorders>
              <w:bottom w:val="double" w:sz="6" w:space="0" w:color="000000"/>
            </w:tcBorders>
            <w:tcMar>
              <w:bottom w:w="28" w:type="dxa"/>
            </w:tcMar>
            <w:vAlign w:val="center"/>
          </w:tcPr>
          <w:p>
            <w:pPr>
              <w:pStyle w:val="TableContents"/>
              <w:bidi w:val="0"/>
              <w:spacing w:before="0" w:after="283"/>
              <w:jc w:val="right"/>
              <w:rPr/>
            </w:pPr>
            <w:r>
              <w:rPr/>
              <w:t>27,340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 w:type="dxa"/>
            <w:tcBorders>
              <w:bottom w:val="double" w:sz="6" w:space="0" w:color="000000"/>
            </w:tcBorders>
            <w:tcMar>
              <w:bottom w:w="28" w:type="dxa"/>
            </w:tcMar>
            <w:vAlign w:val="center"/>
          </w:tcPr>
          <w:p>
            <w:pPr>
              <w:pStyle w:val="TableContents"/>
              <w:bidi w:val="0"/>
              <w:spacing w:before="0" w:after="283"/>
              <w:jc w:val="left"/>
              <w:rPr/>
            </w:pPr>
            <w:r>
              <w:rPr/>
              <w:t> </w:t>
            </w:r>
          </w:p>
        </w:tc>
        <w:tc>
          <w:tcPr>
            <w:tcW w:w="1123" w:type="dxa"/>
            <w:tcBorders>
              <w:bottom w:val="double" w:sz="6" w:space="0" w:color="000000"/>
            </w:tcBorders>
            <w:tcMar>
              <w:bottom w:w="28" w:type="dxa"/>
            </w:tcMar>
            <w:vAlign w:val="center"/>
          </w:tcPr>
          <w:p>
            <w:pPr>
              <w:pStyle w:val="TableContents"/>
              <w:bidi w:val="0"/>
              <w:spacing w:before="0" w:after="283"/>
              <w:jc w:val="right"/>
              <w:rPr/>
            </w:pPr>
            <w:r>
              <w:rPr/>
              <w:t>72,163</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8" w:type="dxa"/>
            <w:tcBorders>
              <w:bottom w:val="double" w:sz="6" w:space="0" w:color="000000"/>
            </w:tcBorders>
            <w:tcMar>
              <w:bottom w:w="28" w:type="dxa"/>
            </w:tcMar>
            <w:vAlign w:val="center"/>
          </w:tcPr>
          <w:p>
            <w:pPr>
              <w:pStyle w:val="TableContents"/>
              <w:bidi w:val="0"/>
              <w:spacing w:before="0" w:after="283"/>
              <w:jc w:val="left"/>
              <w:rPr/>
            </w:pPr>
            <w:r>
              <w:rPr/>
              <w:t> </w:t>
            </w:r>
          </w:p>
        </w:tc>
        <w:tc>
          <w:tcPr>
            <w:tcW w:w="1123" w:type="dxa"/>
            <w:tcBorders>
              <w:bottom w:val="double" w:sz="6" w:space="0" w:color="000000"/>
            </w:tcBorders>
            <w:tcMar>
              <w:bottom w:w="28" w:type="dxa"/>
            </w:tcMar>
            <w:vAlign w:val="center"/>
          </w:tcPr>
          <w:p>
            <w:pPr>
              <w:pStyle w:val="TableContents"/>
              <w:bidi w:val="0"/>
              <w:spacing w:before="0" w:after="283"/>
              <w:jc w:val="right"/>
              <w:rPr/>
            </w:pPr>
            <w:r>
              <w:rPr/>
              <w:t>80,381</w:t>
            </w:r>
          </w:p>
        </w:tc>
        <w:tc>
          <w:tcPr>
            <w:tcW w:w="142" w:type="dxa"/>
            <w:tcBorders/>
            <w:vAlign w:val="center"/>
          </w:tcPr>
          <w:p>
            <w:pPr>
              <w:pStyle w:val="TableContents"/>
              <w:bidi w:val="0"/>
              <w:spacing w:before="0" w:after="283"/>
              <w:jc w:val="left"/>
              <w:rPr/>
            </w:pPr>
            <w:r>
              <w:rPr/>
              <w:t> </w:t>
            </w:r>
          </w:p>
        </w:tc>
      </w:tr>
      <w:tr>
        <w:trPr/>
        <w:tc>
          <w:tcPr>
            <w:tcW w:w="357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r>
      <w:tr>
        <w:trPr/>
        <w:tc>
          <w:tcPr>
            <w:tcW w:w="3571" w:type="dxa"/>
            <w:tcBorders/>
            <w:vAlign w:val="center"/>
          </w:tcPr>
          <w:p>
            <w:pPr>
              <w:pStyle w:val="TableContents"/>
              <w:bidi w:val="0"/>
              <w:spacing w:before="0" w:after="283"/>
              <w:jc w:val="left"/>
              <w:rPr/>
            </w:pPr>
            <w:r>
              <w:rPr/>
              <w:t>Expense Ratio</w:t>
            </w:r>
          </w:p>
        </w:tc>
        <w:tc>
          <w:tcPr>
            <w:tcW w:w="90" w:type="dxa"/>
            <w:tcBorders/>
            <w:vAlign w:val="center"/>
          </w:tcPr>
          <w:p>
            <w:pPr>
              <w:pStyle w:val="TableContents"/>
              <w:bidi w:val="0"/>
              <w:spacing w:before="0" w:after="283"/>
              <w:jc w:val="left"/>
              <w:rPr/>
            </w:pPr>
            <w:r>
              <w:rPr/>
              <w:t> </w:t>
            </w:r>
          </w:p>
        </w:tc>
        <w:tc>
          <w:tcPr>
            <w:tcW w:w="277" w:type="dxa"/>
            <w:tcBorders>
              <w:bottom w:val="double" w:sz="6" w:space="0" w:color="000000"/>
            </w:tcBorders>
            <w:tcMar>
              <w:bottom w:w="28" w:type="dxa"/>
            </w:tcMar>
            <w:vAlign w:val="center"/>
          </w:tcPr>
          <w:p>
            <w:pPr>
              <w:pStyle w:val="TableContents"/>
              <w:bidi w:val="0"/>
              <w:spacing w:before="0" w:after="283"/>
              <w:jc w:val="left"/>
              <w:rPr/>
            </w:pPr>
            <w:r>
              <w:rPr/>
              <w:t> </w:t>
            </w:r>
          </w:p>
        </w:tc>
        <w:tc>
          <w:tcPr>
            <w:tcW w:w="1156" w:type="dxa"/>
            <w:tcBorders>
              <w:bottom w:val="double" w:sz="6" w:space="0" w:color="000000"/>
            </w:tcBorders>
            <w:tcMar>
              <w:bottom w:w="28" w:type="dxa"/>
            </w:tcMar>
            <w:vAlign w:val="center"/>
          </w:tcPr>
          <w:p>
            <w:pPr>
              <w:pStyle w:val="TableContents"/>
              <w:bidi w:val="0"/>
              <w:spacing w:before="0" w:after="283"/>
              <w:jc w:val="right"/>
              <w:rPr/>
            </w:pPr>
            <w:r>
              <w:rPr/>
              <w:t>30.9%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7" w:type="dxa"/>
            <w:tcBorders>
              <w:bottom w:val="double" w:sz="6" w:space="0" w:color="000000"/>
            </w:tcBorders>
            <w:tcMar>
              <w:bottom w:w="28" w:type="dxa"/>
            </w:tcMar>
            <w:vAlign w:val="center"/>
          </w:tcPr>
          <w:p>
            <w:pPr>
              <w:pStyle w:val="TableContents"/>
              <w:bidi w:val="0"/>
              <w:spacing w:before="0" w:after="283"/>
              <w:jc w:val="left"/>
              <w:rPr/>
            </w:pPr>
            <w:r>
              <w:rPr/>
              <w:t> </w:t>
            </w:r>
          </w:p>
        </w:tc>
        <w:tc>
          <w:tcPr>
            <w:tcW w:w="1156" w:type="dxa"/>
            <w:tcBorders>
              <w:bottom w:val="double" w:sz="6" w:space="0" w:color="000000"/>
            </w:tcBorders>
            <w:tcMar>
              <w:bottom w:w="28" w:type="dxa"/>
            </w:tcMar>
            <w:vAlign w:val="center"/>
          </w:tcPr>
          <w:p>
            <w:pPr>
              <w:pStyle w:val="TableContents"/>
              <w:bidi w:val="0"/>
              <w:spacing w:before="0" w:after="283"/>
              <w:jc w:val="right"/>
              <w:rPr/>
            </w:pPr>
            <w:r>
              <w:rPr/>
              <w:t>32.8%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 w:type="dxa"/>
            <w:tcBorders>
              <w:bottom w:val="double" w:sz="6" w:space="0" w:color="000000"/>
            </w:tcBorders>
            <w:tcMar>
              <w:bottom w:w="28" w:type="dxa"/>
            </w:tcMar>
            <w:vAlign w:val="center"/>
          </w:tcPr>
          <w:p>
            <w:pPr>
              <w:pStyle w:val="TableContents"/>
              <w:bidi w:val="0"/>
              <w:spacing w:before="0" w:after="283"/>
              <w:jc w:val="left"/>
              <w:rPr/>
            </w:pPr>
            <w:r>
              <w:rPr/>
              <w:t> </w:t>
            </w:r>
          </w:p>
        </w:tc>
        <w:tc>
          <w:tcPr>
            <w:tcW w:w="1123" w:type="dxa"/>
            <w:tcBorders>
              <w:bottom w:val="double" w:sz="6" w:space="0" w:color="000000"/>
            </w:tcBorders>
            <w:tcMar>
              <w:bottom w:w="28" w:type="dxa"/>
            </w:tcMar>
            <w:vAlign w:val="center"/>
          </w:tcPr>
          <w:p>
            <w:pPr>
              <w:pStyle w:val="TableContents"/>
              <w:bidi w:val="0"/>
              <w:spacing w:before="0" w:after="283"/>
              <w:jc w:val="right"/>
              <w:rPr/>
            </w:pPr>
            <w:r>
              <w:rPr/>
              <w:t>34.0%</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8" w:type="dxa"/>
            <w:tcBorders>
              <w:bottom w:val="double" w:sz="6" w:space="0" w:color="000000"/>
            </w:tcBorders>
            <w:tcMar>
              <w:bottom w:w="28" w:type="dxa"/>
            </w:tcMar>
            <w:vAlign w:val="center"/>
          </w:tcPr>
          <w:p>
            <w:pPr>
              <w:pStyle w:val="TableContents"/>
              <w:bidi w:val="0"/>
              <w:spacing w:before="0" w:after="283"/>
              <w:jc w:val="left"/>
              <w:rPr/>
            </w:pPr>
            <w:r>
              <w:rPr/>
              <w:t> </w:t>
            </w:r>
          </w:p>
        </w:tc>
        <w:tc>
          <w:tcPr>
            <w:tcW w:w="1123" w:type="dxa"/>
            <w:tcBorders>
              <w:bottom w:val="double" w:sz="6" w:space="0" w:color="000000"/>
            </w:tcBorders>
            <w:tcMar>
              <w:bottom w:w="28" w:type="dxa"/>
            </w:tcMar>
            <w:vAlign w:val="center"/>
          </w:tcPr>
          <w:p>
            <w:pPr>
              <w:pStyle w:val="TableContents"/>
              <w:bidi w:val="0"/>
              <w:spacing w:before="0" w:after="283"/>
              <w:jc w:val="right"/>
              <w:rPr/>
            </w:pPr>
            <w:r>
              <w:rPr/>
              <w:t>33.7%</w:t>
            </w:r>
          </w:p>
        </w:tc>
        <w:tc>
          <w:tcPr>
            <w:tcW w:w="14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 ratio is calculated by dividing other underwriting and general expenses and amortization of deferred policy acquisition costs by net premiums earned. The expense ratio measures a company’s operational efficiency in producing, underwriting, and administering its insurance business. The overall expense ratio decreased 1.9 percentage points and increased 0.3 percentage points in the three-and nine-month periods ended September 30, 2025, respectively, compared to the same periods in 2024. The decrease in the amortization of deferred policy acquisition costs is due to lower deferrable costs resulting from the strategic reduction in premium for the Non-Standard Auto segment, which generally pays higher agent commissions than our other segments. Other underwriting and general expenses are generally consistent year-over-year, with the elevated expenses during the third quarter of 2024 being the result of the costs associated with the execution of an executive separation agreement.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Underwriting Gain (Loss) and Combined Ratio</w:t>
      </w:r>
    </w:p>
    <w:tbl>
      <w:tblPr>
        <w:tblW w:w="10205" w:type="dxa"/>
        <w:jc w:val="left"/>
        <w:tblInd w:w="0" w:type="dxa"/>
        <w:tblLayout w:type="fixed"/>
        <w:tblCellMar>
          <w:top w:w="0" w:type="dxa"/>
          <w:left w:w="0" w:type="dxa"/>
          <w:bottom w:w="0" w:type="dxa"/>
          <w:right w:w="0" w:type="dxa"/>
        </w:tblCellMar>
      </w:tblPr>
      <w:tblGrid>
        <w:gridCol w:w="2417"/>
        <w:gridCol w:w="90"/>
        <w:gridCol w:w="335"/>
        <w:gridCol w:w="1312"/>
        <w:gridCol w:w="246"/>
        <w:gridCol w:w="177"/>
        <w:gridCol w:w="335"/>
        <w:gridCol w:w="1312"/>
        <w:gridCol w:w="125"/>
        <w:gridCol w:w="90"/>
        <w:gridCol w:w="286"/>
        <w:gridCol w:w="1327"/>
        <w:gridCol w:w="210"/>
        <w:gridCol w:w="151"/>
        <w:gridCol w:w="286"/>
        <w:gridCol w:w="1327"/>
        <w:gridCol w:w="179"/>
      </w:tblGrid>
      <w:tr>
        <w:trPr/>
        <w:tc>
          <w:tcPr>
            <w:tcW w:w="2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8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79" w:type="dxa"/>
            <w:tcBorders/>
            <w:vAlign w:val="center"/>
          </w:tcPr>
          <w:p>
            <w:pPr>
              <w:pStyle w:val="TableContents"/>
              <w:bidi w:val="0"/>
              <w:spacing w:before="0" w:after="283"/>
              <w:jc w:val="left"/>
              <w:rPr/>
            </w:pPr>
            <w:r>
              <w:rPr/>
              <w:t> </w:t>
            </w:r>
          </w:p>
        </w:tc>
      </w:tr>
      <w:tr>
        <w:trPr/>
        <w:tc>
          <w:tcPr>
            <w:tcW w:w="2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46"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6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6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9" w:type="dxa"/>
            <w:tcBorders/>
            <w:vAlign w:val="center"/>
          </w:tcPr>
          <w:p>
            <w:pPr>
              <w:pStyle w:val="TableContents"/>
              <w:bidi w:val="0"/>
              <w:spacing w:before="0" w:after="283"/>
              <w:ind w:left="0" w:right="0" w:hanging="216"/>
              <w:jc w:val="left"/>
              <w:rPr/>
            </w:pPr>
            <w:r>
              <w:rPr/>
              <w:t> </w:t>
            </w:r>
          </w:p>
        </w:tc>
      </w:tr>
      <w:tr>
        <w:trPr/>
        <w:tc>
          <w:tcPr>
            <w:tcW w:w="2417" w:type="dxa"/>
            <w:tcBorders/>
            <w:shd w:fill="CCEEFF" w:val="clear"/>
            <w:vAlign w:val="center"/>
          </w:tcPr>
          <w:p>
            <w:pPr>
              <w:pStyle w:val="TableContents"/>
              <w:bidi w:val="0"/>
              <w:spacing w:before="0" w:after="283"/>
              <w:jc w:val="left"/>
              <w:rPr/>
            </w:pPr>
            <w:r>
              <w:rPr/>
              <w:t>Underwriting gain (loss):</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 </w:t>
            </w:r>
          </w:p>
        </w:tc>
        <w:tc>
          <w:tcPr>
            <w:tcW w:w="246"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 </w:t>
            </w:r>
          </w:p>
        </w:tc>
        <w:tc>
          <w:tcPr>
            <w:tcW w:w="21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r>
      <w:tr>
        <w:trPr/>
        <w:tc>
          <w:tcPr>
            <w:tcW w:w="2417" w:type="dxa"/>
            <w:tcBorders/>
            <w:vAlign w:val="center"/>
          </w:tcPr>
          <w:p>
            <w:pPr>
              <w:pStyle w:val="TableContents"/>
              <w:bidi w:val="0"/>
              <w:spacing w:before="0" w:after="283"/>
              <w:jc w:val="left"/>
              <w:rPr/>
            </w:pPr>
            <w:r>
              <w:rPr/>
              <w:t>Private Passenger Auto</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w:t>
            </w:r>
          </w:p>
        </w:tc>
        <w:tc>
          <w:tcPr>
            <w:tcW w:w="1312" w:type="dxa"/>
            <w:tcBorders/>
            <w:vAlign w:val="center"/>
          </w:tcPr>
          <w:p>
            <w:pPr>
              <w:pStyle w:val="TableContents"/>
              <w:bidi w:val="0"/>
              <w:spacing w:before="0" w:after="283"/>
              <w:jc w:val="right"/>
              <w:rPr/>
            </w:pPr>
            <w:r>
              <w:rPr/>
              <w:t>2,527</w:t>
            </w:r>
          </w:p>
        </w:tc>
        <w:tc>
          <w:tcPr>
            <w:tcW w:w="246"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w:t>
            </w:r>
          </w:p>
        </w:tc>
        <w:tc>
          <w:tcPr>
            <w:tcW w:w="1312" w:type="dxa"/>
            <w:tcBorders/>
            <w:vAlign w:val="center"/>
          </w:tcPr>
          <w:p>
            <w:pPr>
              <w:pStyle w:val="TableContents"/>
              <w:bidi w:val="0"/>
              <w:spacing w:before="0" w:after="283"/>
              <w:jc w:val="right"/>
              <w:rPr/>
            </w:pPr>
            <w:r>
              <w:rPr/>
              <w:t>1,072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w:t>
            </w:r>
          </w:p>
        </w:tc>
        <w:tc>
          <w:tcPr>
            <w:tcW w:w="1327" w:type="dxa"/>
            <w:tcBorders/>
            <w:vAlign w:val="center"/>
          </w:tcPr>
          <w:p>
            <w:pPr>
              <w:pStyle w:val="TableContents"/>
              <w:bidi w:val="0"/>
              <w:spacing w:before="0" w:after="283"/>
              <w:jc w:val="right"/>
              <w:rPr/>
            </w:pPr>
            <w:r>
              <w:rPr/>
              <w:t>6,144</w:t>
            </w:r>
          </w:p>
        </w:tc>
        <w:tc>
          <w:tcPr>
            <w:tcW w:w="21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w:t>
            </w:r>
          </w:p>
        </w:tc>
        <w:tc>
          <w:tcPr>
            <w:tcW w:w="1327" w:type="dxa"/>
            <w:tcBorders/>
            <w:vAlign w:val="center"/>
          </w:tcPr>
          <w:p>
            <w:pPr>
              <w:pStyle w:val="TableContents"/>
              <w:bidi w:val="0"/>
              <w:spacing w:before="0" w:after="283"/>
              <w:jc w:val="right"/>
              <w:rPr/>
            </w:pPr>
            <w:r>
              <w:rPr/>
              <w:t>566</w:t>
            </w:r>
          </w:p>
        </w:tc>
        <w:tc>
          <w:tcPr>
            <w:tcW w:w="179" w:type="dxa"/>
            <w:tcBorders/>
            <w:vAlign w:val="center"/>
          </w:tcPr>
          <w:p>
            <w:pPr>
              <w:pStyle w:val="TableContents"/>
              <w:bidi w:val="0"/>
              <w:spacing w:before="0" w:after="283"/>
              <w:jc w:val="left"/>
              <w:rPr/>
            </w:pPr>
            <w:r>
              <w:rPr/>
              <w:t> </w:t>
            </w:r>
          </w:p>
        </w:tc>
      </w:tr>
      <w:tr>
        <w:trPr/>
        <w:tc>
          <w:tcPr>
            <w:tcW w:w="2417" w:type="dxa"/>
            <w:tcBorders/>
            <w:shd w:fill="CCEEFF" w:val="clear"/>
            <w:vAlign w:val="center"/>
          </w:tcPr>
          <w:p>
            <w:pPr>
              <w:pStyle w:val="TableContents"/>
              <w:bidi w:val="0"/>
              <w:spacing w:before="0" w:after="283"/>
              <w:jc w:val="left"/>
              <w:rPr/>
            </w:pPr>
            <w:r>
              <w:rPr/>
              <w:t>Non-Standard Auto</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(9,464</w:t>
            </w:r>
          </w:p>
        </w:tc>
        <w:tc>
          <w:tcPr>
            <w:tcW w:w="246" w:type="dxa"/>
            <w:tcBorders/>
            <w:shd w:fill="CCEEFF" w:val="clear"/>
            <w:vAlign w:val="center"/>
          </w:tcPr>
          <w:p>
            <w:pPr>
              <w:pStyle w:val="TableContents"/>
              <w:bidi w:val="0"/>
              <w:spacing w:before="0" w:after="283"/>
              <w:jc w:val="left"/>
              <w:rPr/>
            </w:pPr>
            <w:r>
              <w:rPr/>
              <w:t>)</w:t>
            </w:r>
          </w:p>
        </w:tc>
        <w:tc>
          <w:tcPr>
            <w:tcW w:w="177"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(7,830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(22,828</w:t>
            </w:r>
          </w:p>
        </w:tc>
        <w:tc>
          <w:tcPr>
            <w:tcW w:w="210" w:type="dxa"/>
            <w:tcBorders/>
            <w:shd w:fill="CCEEFF" w:val="clear"/>
            <w:vAlign w:val="center"/>
          </w:tcPr>
          <w:p>
            <w:pPr>
              <w:pStyle w:val="TableContents"/>
              <w:bidi w:val="0"/>
              <w:spacing w:before="0" w:after="283"/>
              <w:jc w:val="left"/>
              <w:rPr/>
            </w:pPr>
            <w:r>
              <w:rPr/>
              <w:t>)</w:t>
            </w:r>
          </w:p>
        </w:tc>
        <w:tc>
          <w:tcPr>
            <w:tcW w:w="15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(12,846</w:t>
            </w:r>
          </w:p>
        </w:tc>
        <w:tc>
          <w:tcPr>
            <w:tcW w:w="179" w:type="dxa"/>
            <w:tcBorders/>
            <w:shd w:fill="CCEEFF" w:val="clear"/>
            <w:vAlign w:val="center"/>
          </w:tcPr>
          <w:p>
            <w:pPr>
              <w:pStyle w:val="TableContents"/>
              <w:bidi w:val="0"/>
              <w:spacing w:before="0" w:after="283"/>
              <w:jc w:val="left"/>
              <w:rPr/>
            </w:pPr>
            <w:r>
              <w:rPr/>
              <w:t>)</w:t>
            </w:r>
          </w:p>
        </w:tc>
      </w:tr>
      <w:tr>
        <w:trPr/>
        <w:tc>
          <w:tcPr>
            <w:tcW w:w="2417" w:type="dxa"/>
            <w:tcBorders/>
            <w:vAlign w:val="center"/>
          </w:tcPr>
          <w:p>
            <w:pPr>
              <w:pStyle w:val="TableContents"/>
              <w:bidi w:val="0"/>
              <w:spacing w:before="0" w:after="283"/>
              <w:jc w:val="left"/>
              <w:rPr/>
            </w:pPr>
            <w:r>
              <w:rPr/>
              <w:t>Home and Farm</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312" w:type="dxa"/>
            <w:tcBorders/>
            <w:vAlign w:val="center"/>
          </w:tcPr>
          <w:p>
            <w:pPr>
              <w:pStyle w:val="TableContents"/>
              <w:bidi w:val="0"/>
              <w:spacing w:before="0" w:after="283"/>
              <w:jc w:val="right"/>
              <w:rPr/>
            </w:pPr>
            <w:r>
              <w:rPr/>
              <w:t>(2,751</w:t>
            </w:r>
          </w:p>
        </w:tc>
        <w:tc>
          <w:tcPr>
            <w:tcW w:w="246"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312" w:type="dxa"/>
            <w:tcBorders/>
            <w:vAlign w:val="center"/>
          </w:tcPr>
          <w:p>
            <w:pPr>
              <w:pStyle w:val="TableContents"/>
              <w:bidi w:val="0"/>
              <w:spacing w:before="0" w:after="283"/>
              <w:jc w:val="right"/>
              <w:rPr/>
            </w:pPr>
            <w:r>
              <w:rPr/>
              <w:t>(6,162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right"/>
              <w:rPr/>
            </w:pPr>
            <w:r>
              <w:rPr/>
              <w:t>(10,814</w:t>
            </w:r>
          </w:p>
        </w:tc>
        <w:tc>
          <w:tcPr>
            <w:tcW w:w="210" w:type="dxa"/>
            <w:tcBorders/>
            <w:vAlign w:val="center"/>
          </w:tcPr>
          <w:p>
            <w:pPr>
              <w:pStyle w:val="TableContents"/>
              <w:bidi w:val="0"/>
              <w:spacing w:before="0" w:after="283"/>
              <w:jc w:val="left"/>
              <w:rPr/>
            </w:pPr>
            <w:r>
              <w:rPr/>
              <w:t>)</w:t>
            </w:r>
          </w:p>
        </w:tc>
        <w:tc>
          <w:tcPr>
            <w:tcW w:w="151"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right"/>
              <w:rPr/>
            </w:pPr>
            <w:r>
              <w:rPr/>
              <w:t>(10,974</w:t>
            </w:r>
          </w:p>
        </w:tc>
        <w:tc>
          <w:tcPr>
            <w:tcW w:w="179" w:type="dxa"/>
            <w:tcBorders/>
            <w:vAlign w:val="center"/>
          </w:tcPr>
          <w:p>
            <w:pPr>
              <w:pStyle w:val="TableContents"/>
              <w:bidi w:val="0"/>
              <w:spacing w:before="0" w:after="283"/>
              <w:jc w:val="left"/>
              <w:rPr/>
            </w:pPr>
            <w:r>
              <w:rPr/>
              <w:t>)</w:t>
            </w:r>
          </w:p>
        </w:tc>
      </w:tr>
      <w:tr>
        <w:trPr/>
        <w:tc>
          <w:tcPr>
            <w:tcW w:w="2417" w:type="dxa"/>
            <w:tcBorders/>
            <w:shd w:fill="CCEEFF" w:val="clear"/>
            <w:vAlign w:val="center"/>
          </w:tcPr>
          <w:p>
            <w:pPr>
              <w:pStyle w:val="TableContents"/>
              <w:bidi w:val="0"/>
              <w:spacing w:before="0" w:after="283"/>
              <w:jc w:val="left"/>
              <w:rPr/>
            </w:pPr>
            <w:r>
              <w:rPr/>
              <w:t>Crop</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3,287</w:t>
            </w:r>
          </w:p>
        </w:tc>
        <w:tc>
          <w:tcPr>
            <w:tcW w:w="246"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2,912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4,013</w:t>
            </w:r>
          </w:p>
        </w:tc>
        <w:tc>
          <w:tcPr>
            <w:tcW w:w="21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4,877</w:t>
            </w:r>
          </w:p>
        </w:tc>
        <w:tc>
          <w:tcPr>
            <w:tcW w:w="179" w:type="dxa"/>
            <w:tcBorders/>
            <w:shd w:fill="CCEEFF" w:val="clear"/>
            <w:vAlign w:val="center"/>
          </w:tcPr>
          <w:p>
            <w:pPr>
              <w:pStyle w:val="TableContents"/>
              <w:bidi w:val="0"/>
              <w:spacing w:before="0" w:after="283"/>
              <w:jc w:val="left"/>
              <w:rPr/>
            </w:pPr>
            <w:r>
              <w:rPr/>
              <w:t> </w:t>
            </w:r>
          </w:p>
        </w:tc>
      </w:tr>
      <w:tr>
        <w:trPr/>
        <w:tc>
          <w:tcPr>
            <w:tcW w:w="2417" w:type="dxa"/>
            <w:tcBorders/>
            <w:vAlign w:val="center"/>
          </w:tcPr>
          <w:p>
            <w:pPr>
              <w:pStyle w:val="TableContents"/>
              <w:bidi w:val="0"/>
              <w:spacing w:before="0" w:after="283"/>
              <w:jc w:val="left"/>
              <w:rPr/>
            </w:pPr>
            <w:r>
              <w:rPr/>
              <w:t>All Other</w:t>
            </w:r>
          </w:p>
        </w:tc>
        <w:tc>
          <w:tcPr>
            <w:tcW w:w="90" w:type="dxa"/>
            <w:tcBorders/>
            <w:vAlign w:val="center"/>
          </w:tcPr>
          <w:p>
            <w:pPr>
              <w:pStyle w:val="TableContents"/>
              <w:bidi w:val="0"/>
              <w:spacing w:before="0" w:after="283"/>
              <w:jc w:val="left"/>
              <w:rPr/>
            </w:pPr>
            <w:r>
              <w:rPr/>
              <w:t> </w:t>
            </w:r>
          </w:p>
        </w:tc>
        <w:tc>
          <w:tcPr>
            <w:tcW w:w="335" w:type="dxa"/>
            <w:tcBorders>
              <w:bottom w:val="single" w:sz="8" w:space="0" w:color="000000"/>
            </w:tcBorders>
            <w:tcMar>
              <w:bottom w:w="28" w:type="dxa"/>
            </w:tcMar>
            <w:vAlign w:val="center"/>
          </w:tcPr>
          <w:p>
            <w:pPr>
              <w:pStyle w:val="TableContents"/>
              <w:bidi w:val="0"/>
              <w:spacing w:before="0" w:after="283"/>
              <w:jc w:val="left"/>
              <w:rPr/>
            </w:pPr>
            <w:r>
              <w:rPr/>
              <w:t> </w:t>
            </w:r>
          </w:p>
        </w:tc>
        <w:tc>
          <w:tcPr>
            <w:tcW w:w="1312" w:type="dxa"/>
            <w:tcBorders>
              <w:bottom w:val="single" w:sz="8" w:space="0" w:color="000000"/>
            </w:tcBorders>
            <w:tcMar>
              <w:bottom w:w="28" w:type="dxa"/>
            </w:tcMar>
            <w:vAlign w:val="center"/>
          </w:tcPr>
          <w:p>
            <w:pPr>
              <w:pStyle w:val="TableContents"/>
              <w:bidi w:val="0"/>
              <w:spacing w:before="0" w:after="283"/>
              <w:jc w:val="right"/>
              <w:rPr/>
            </w:pPr>
            <w:r>
              <w:rPr/>
              <w:t>(120</w:t>
            </w:r>
          </w:p>
        </w:tc>
        <w:tc>
          <w:tcPr>
            <w:tcW w:w="246" w:type="dxa"/>
            <w:tcBorders/>
            <w:vAlign w:val="center"/>
          </w:tcPr>
          <w:p>
            <w:pPr>
              <w:pStyle w:val="TableContents"/>
              <w:bidi w:val="0"/>
              <w:spacing w:before="0" w:after="283"/>
              <w:jc w:val="left"/>
              <w:rPr/>
            </w:pPr>
            <w:r>
              <w:rPr/>
              <w:t>)</w:t>
            </w:r>
          </w:p>
        </w:tc>
        <w:tc>
          <w:tcPr>
            <w:tcW w:w="177" w:type="dxa"/>
            <w:tcBorders/>
            <w:vAlign w:val="center"/>
          </w:tcPr>
          <w:p>
            <w:pPr>
              <w:pStyle w:val="TableContents"/>
              <w:bidi w:val="0"/>
              <w:spacing w:before="0" w:after="283"/>
              <w:jc w:val="left"/>
              <w:rPr/>
            </w:pPr>
            <w:r>
              <w:rPr/>
              <w:t> </w:t>
            </w:r>
          </w:p>
        </w:tc>
        <w:tc>
          <w:tcPr>
            <w:tcW w:w="335" w:type="dxa"/>
            <w:tcBorders>
              <w:bottom w:val="single" w:sz="8" w:space="0" w:color="000000"/>
            </w:tcBorders>
            <w:tcMar>
              <w:bottom w:w="28" w:type="dxa"/>
            </w:tcMar>
            <w:vAlign w:val="center"/>
          </w:tcPr>
          <w:p>
            <w:pPr>
              <w:pStyle w:val="TableContents"/>
              <w:bidi w:val="0"/>
              <w:spacing w:before="0" w:after="283"/>
              <w:jc w:val="left"/>
              <w:rPr/>
            </w:pPr>
            <w:r>
              <w:rPr/>
              <w:t> </w:t>
            </w:r>
          </w:p>
        </w:tc>
        <w:tc>
          <w:tcPr>
            <w:tcW w:w="1312" w:type="dxa"/>
            <w:tcBorders>
              <w:bottom w:val="single" w:sz="8" w:space="0" w:color="000000"/>
            </w:tcBorders>
            <w:tcMar>
              <w:bottom w:w="28" w:type="dxa"/>
            </w:tcMar>
            <w:vAlign w:val="center"/>
          </w:tcPr>
          <w:p>
            <w:pPr>
              <w:pStyle w:val="TableContents"/>
              <w:bidi w:val="0"/>
              <w:spacing w:before="0" w:after="283"/>
              <w:jc w:val="right"/>
              <w:rPr/>
            </w:pPr>
            <w:r>
              <w:rPr/>
              <w:t>838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 w:type="dxa"/>
            <w:tcBorders>
              <w:bottom w:val="single" w:sz="8" w:space="0" w:color="000000"/>
            </w:tcBorders>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tcMar>
              <w:bottom w:w="28" w:type="dxa"/>
            </w:tcMar>
            <w:vAlign w:val="center"/>
          </w:tcPr>
          <w:p>
            <w:pPr>
              <w:pStyle w:val="TableContents"/>
              <w:bidi w:val="0"/>
              <w:spacing w:before="0" w:after="283"/>
              <w:jc w:val="right"/>
              <w:rPr/>
            </w:pPr>
            <w:r>
              <w:rPr/>
              <w:t>2,400</w:t>
            </w:r>
          </w:p>
        </w:tc>
        <w:tc>
          <w:tcPr>
            <w:tcW w:w="21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86" w:type="dxa"/>
            <w:tcBorders>
              <w:bottom w:val="single" w:sz="8" w:space="0" w:color="000000"/>
            </w:tcBorders>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tcMar>
              <w:bottom w:w="28" w:type="dxa"/>
            </w:tcMar>
            <w:vAlign w:val="center"/>
          </w:tcPr>
          <w:p>
            <w:pPr>
              <w:pStyle w:val="TableContents"/>
              <w:bidi w:val="0"/>
              <w:spacing w:before="0" w:after="283"/>
              <w:jc w:val="right"/>
              <w:rPr/>
            </w:pPr>
            <w:r>
              <w:rPr/>
              <w:t>1,717</w:t>
            </w:r>
          </w:p>
        </w:tc>
        <w:tc>
          <w:tcPr>
            <w:tcW w:w="179" w:type="dxa"/>
            <w:tcBorders/>
            <w:vAlign w:val="center"/>
          </w:tcPr>
          <w:p>
            <w:pPr>
              <w:pStyle w:val="TableContents"/>
              <w:bidi w:val="0"/>
              <w:spacing w:before="0" w:after="283"/>
              <w:jc w:val="left"/>
              <w:rPr/>
            </w:pPr>
            <w:r>
              <w:rPr/>
              <w:t> </w:t>
            </w:r>
          </w:p>
        </w:tc>
      </w:tr>
      <w:tr>
        <w:trPr/>
        <w:tc>
          <w:tcPr>
            <w:tcW w:w="2417" w:type="dxa"/>
            <w:tcBorders/>
            <w:shd w:fill="CCEEFF" w:val="clear"/>
            <w:vAlign w:val="center"/>
          </w:tcPr>
          <w:p>
            <w:pPr>
              <w:pStyle w:val="TableContents"/>
              <w:bidi w:val="0"/>
              <w:spacing w:before="0" w:after="283"/>
              <w:jc w:val="left"/>
              <w:rPr/>
            </w:pPr>
            <w:r>
              <w:rPr/>
              <w:t>Total underwriting loss</w:t>
            </w:r>
          </w:p>
        </w:tc>
        <w:tc>
          <w:tcPr>
            <w:tcW w:w="90" w:type="dxa"/>
            <w:tcBorders/>
            <w:shd w:fill="CCEEFF" w:val="clear"/>
            <w:vAlign w:val="center"/>
          </w:tcPr>
          <w:p>
            <w:pPr>
              <w:pStyle w:val="TableContents"/>
              <w:bidi w:val="0"/>
              <w:spacing w:before="0" w:after="283"/>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2" w:type="dxa"/>
            <w:tcBorders>
              <w:bottom w:val="double" w:sz="6" w:space="0" w:color="000000"/>
            </w:tcBorders>
            <w:shd w:fill="CCEEFF" w:val="clear"/>
            <w:tcMar>
              <w:bottom w:w="28" w:type="dxa"/>
            </w:tcMar>
            <w:vAlign w:val="center"/>
          </w:tcPr>
          <w:p>
            <w:pPr>
              <w:pStyle w:val="TableContents"/>
              <w:bidi w:val="0"/>
              <w:spacing w:before="0" w:after="283"/>
              <w:jc w:val="right"/>
              <w:rPr/>
            </w:pPr>
            <w:r>
              <w:rPr/>
              <w:t>(6,521</w:t>
            </w:r>
          </w:p>
        </w:tc>
        <w:tc>
          <w:tcPr>
            <w:tcW w:w="246" w:type="dxa"/>
            <w:tcBorders/>
            <w:shd w:fill="CCEEFF" w:val="clear"/>
            <w:vAlign w:val="center"/>
          </w:tcPr>
          <w:p>
            <w:pPr>
              <w:pStyle w:val="TableContents"/>
              <w:bidi w:val="0"/>
              <w:spacing w:before="0" w:after="283"/>
              <w:jc w:val="left"/>
              <w:rPr/>
            </w:pPr>
            <w:r>
              <w:rPr/>
              <w:t>)</w:t>
            </w:r>
          </w:p>
        </w:tc>
        <w:tc>
          <w:tcPr>
            <w:tcW w:w="177" w:type="dxa"/>
            <w:tcBorders/>
            <w:shd w:fill="CCEEFF" w:val="clear"/>
            <w:vAlign w:val="center"/>
          </w:tcPr>
          <w:p>
            <w:pPr>
              <w:pStyle w:val="TableContents"/>
              <w:bidi w:val="0"/>
              <w:spacing w:before="0" w:after="283"/>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2" w:type="dxa"/>
            <w:tcBorders>
              <w:bottom w:val="double" w:sz="6" w:space="0" w:color="000000"/>
            </w:tcBorders>
            <w:shd w:fill="CCEEFF" w:val="clear"/>
            <w:tcMar>
              <w:bottom w:w="28" w:type="dxa"/>
            </w:tcMar>
            <w:vAlign w:val="center"/>
          </w:tcPr>
          <w:p>
            <w:pPr>
              <w:pStyle w:val="TableContents"/>
              <w:bidi w:val="0"/>
              <w:spacing w:before="0" w:after="283"/>
              <w:jc w:val="right"/>
              <w:rPr/>
            </w:pPr>
            <w:r>
              <w:rPr/>
              <w:t>(9,170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7" w:type="dxa"/>
            <w:tcBorders>
              <w:bottom w:val="double" w:sz="6" w:space="0" w:color="000000"/>
            </w:tcBorders>
            <w:shd w:fill="CCEEFF" w:val="clear"/>
            <w:tcMar>
              <w:bottom w:w="28" w:type="dxa"/>
            </w:tcMar>
            <w:vAlign w:val="center"/>
          </w:tcPr>
          <w:p>
            <w:pPr>
              <w:pStyle w:val="TableContents"/>
              <w:bidi w:val="0"/>
              <w:spacing w:before="0" w:after="283"/>
              <w:jc w:val="right"/>
              <w:rPr/>
            </w:pPr>
            <w:r>
              <w:rPr/>
              <w:t>(21,085</w:t>
            </w:r>
          </w:p>
        </w:tc>
        <w:tc>
          <w:tcPr>
            <w:tcW w:w="210" w:type="dxa"/>
            <w:tcBorders/>
            <w:shd w:fill="CCEEFF" w:val="clear"/>
            <w:vAlign w:val="center"/>
          </w:tcPr>
          <w:p>
            <w:pPr>
              <w:pStyle w:val="TableContents"/>
              <w:bidi w:val="0"/>
              <w:spacing w:before="0" w:after="283"/>
              <w:jc w:val="left"/>
              <w:rPr/>
            </w:pPr>
            <w:r>
              <w:rPr/>
              <w:t>)</w:t>
            </w:r>
          </w:p>
        </w:tc>
        <w:tc>
          <w:tcPr>
            <w:tcW w:w="151" w:type="dxa"/>
            <w:tcBorders/>
            <w:shd w:fill="CCEEFF" w:val="clear"/>
            <w:vAlign w:val="center"/>
          </w:tcPr>
          <w:p>
            <w:pPr>
              <w:pStyle w:val="TableContents"/>
              <w:bidi w:val="0"/>
              <w:spacing w:before="0" w:after="283"/>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7" w:type="dxa"/>
            <w:tcBorders>
              <w:bottom w:val="double" w:sz="6" w:space="0" w:color="000000"/>
            </w:tcBorders>
            <w:shd w:fill="CCEEFF" w:val="clear"/>
            <w:tcMar>
              <w:bottom w:w="28" w:type="dxa"/>
            </w:tcMar>
            <w:vAlign w:val="center"/>
          </w:tcPr>
          <w:p>
            <w:pPr>
              <w:pStyle w:val="TableContents"/>
              <w:bidi w:val="0"/>
              <w:spacing w:before="0" w:after="283"/>
              <w:jc w:val="right"/>
              <w:rPr/>
            </w:pPr>
            <w:r>
              <w:rPr/>
              <w:t>(16,660</w:t>
            </w:r>
          </w:p>
        </w:tc>
        <w:tc>
          <w:tcPr>
            <w:tcW w:w="179"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2270"/>
        <w:gridCol w:w="90"/>
        <w:gridCol w:w="175"/>
        <w:gridCol w:w="1527"/>
        <w:gridCol w:w="175"/>
        <w:gridCol w:w="175"/>
        <w:gridCol w:w="175"/>
        <w:gridCol w:w="1527"/>
        <w:gridCol w:w="90"/>
        <w:gridCol w:w="90"/>
        <w:gridCol w:w="168"/>
        <w:gridCol w:w="1472"/>
        <w:gridCol w:w="168"/>
        <w:gridCol w:w="168"/>
        <w:gridCol w:w="168"/>
        <w:gridCol w:w="1472"/>
        <w:gridCol w:w="135"/>
      </w:tblGrid>
      <w:tr>
        <w:trPr/>
        <w:tc>
          <w:tcPr>
            <w:tcW w:w="2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5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3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7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ind w:left="0" w:right="0" w:hanging="216"/>
              <w:jc w:val="left"/>
              <w:rPr/>
            </w:pPr>
            <w:r>
              <w:rPr/>
              <w:t> </w:t>
            </w:r>
          </w:p>
        </w:tc>
      </w:tr>
      <w:tr>
        <w:trPr/>
        <w:tc>
          <w:tcPr>
            <w:tcW w:w="2270" w:type="dxa"/>
            <w:tcBorders/>
            <w:shd w:fill="CCEEFF" w:val="clear"/>
            <w:vAlign w:val="center"/>
          </w:tcPr>
          <w:p>
            <w:pPr>
              <w:pStyle w:val="TableContents"/>
              <w:bidi w:val="0"/>
              <w:spacing w:before="0" w:after="283"/>
              <w:jc w:val="left"/>
              <w:rPr/>
            </w:pPr>
            <w:r>
              <w:rPr/>
              <w:t>Combined ratio:</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Private Passenger Auto</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527" w:type="dxa"/>
            <w:tcBorders/>
            <w:vAlign w:val="center"/>
          </w:tcPr>
          <w:p>
            <w:pPr>
              <w:pStyle w:val="TableContents"/>
              <w:bidi w:val="0"/>
              <w:spacing w:before="0" w:after="283"/>
              <w:jc w:val="right"/>
              <w:rPr/>
            </w:pPr>
            <w:r>
              <w:rPr/>
              <w:t>89.1%</w:t>
            </w:r>
          </w:p>
        </w:tc>
        <w:tc>
          <w:tcPr>
            <w:tcW w:w="1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527" w:type="dxa"/>
            <w:tcBorders/>
            <w:vAlign w:val="center"/>
          </w:tcPr>
          <w:p>
            <w:pPr>
              <w:pStyle w:val="TableContents"/>
              <w:bidi w:val="0"/>
              <w:spacing w:before="0" w:after="283"/>
              <w:jc w:val="right"/>
              <w:rPr/>
            </w:pPr>
            <w:r>
              <w:rPr/>
              <w:t>95.2%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right"/>
              <w:rPr/>
            </w:pPr>
            <w:r>
              <w:rPr/>
              <w:t>91.1%</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right"/>
              <w:rPr/>
            </w:pPr>
            <w:r>
              <w:rPr/>
              <w:t>99.1%</w:t>
            </w:r>
          </w:p>
        </w:tc>
        <w:tc>
          <w:tcPr>
            <w:tcW w:w="13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Non-Standard Auto</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right"/>
              <w:rPr/>
            </w:pPr>
            <w:r>
              <w:rPr/>
              <w:t>187.1%</w:t>
            </w:r>
          </w:p>
        </w:tc>
        <w:tc>
          <w:tcPr>
            <w:tcW w:w="1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right"/>
              <w:rPr/>
            </w:pPr>
            <w:r>
              <w:rPr/>
              <w:t>134.0%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152.3%</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117.2%</w:t>
            </w:r>
          </w:p>
        </w:tc>
        <w:tc>
          <w:tcPr>
            <w:tcW w:w="135" w:type="dxa"/>
            <w:tcBorders/>
            <w:shd w:fill="CCEEFF" w:val="clear"/>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Home and Farm</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527" w:type="dxa"/>
            <w:tcBorders/>
            <w:vAlign w:val="center"/>
          </w:tcPr>
          <w:p>
            <w:pPr>
              <w:pStyle w:val="TableContents"/>
              <w:bidi w:val="0"/>
              <w:spacing w:before="0" w:after="283"/>
              <w:jc w:val="right"/>
              <w:rPr/>
            </w:pPr>
            <w:r>
              <w:rPr/>
              <w:t>111.6%</w:t>
            </w:r>
          </w:p>
        </w:tc>
        <w:tc>
          <w:tcPr>
            <w:tcW w:w="1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527" w:type="dxa"/>
            <w:tcBorders/>
            <w:vAlign w:val="center"/>
          </w:tcPr>
          <w:p>
            <w:pPr>
              <w:pStyle w:val="TableContents"/>
              <w:bidi w:val="0"/>
              <w:spacing w:before="0" w:after="283"/>
              <w:jc w:val="right"/>
              <w:rPr/>
            </w:pPr>
            <w:r>
              <w:rPr/>
              <w:t>126.2%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right"/>
              <w:rPr/>
            </w:pPr>
            <w:r>
              <w:rPr/>
              <w:t>115.7%</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right"/>
              <w:rPr/>
            </w:pPr>
            <w:r>
              <w:rPr/>
              <w:t>116.5%</w:t>
            </w:r>
          </w:p>
        </w:tc>
        <w:tc>
          <w:tcPr>
            <w:tcW w:w="13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Crop</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right"/>
              <w:rPr/>
            </w:pPr>
            <w:r>
              <w:rPr/>
              <w:t>68.3%</w:t>
            </w:r>
          </w:p>
        </w:tc>
        <w:tc>
          <w:tcPr>
            <w:tcW w:w="1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right"/>
              <w:rPr/>
            </w:pPr>
            <w:r>
              <w:rPr/>
              <w:t>73.3%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80.6%</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76.0%</w:t>
            </w:r>
          </w:p>
        </w:tc>
        <w:tc>
          <w:tcPr>
            <w:tcW w:w="135" w:type="dxa"/>
            <w:tcBorders/>
            <w:shd w:fill="CCEEFF" w:val="clear"/>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All Other</w:t>
            </w:r>
          </w:p>
        </w:tc>
        <w:tc>
          <w:tcPr>
            <w:tcW w:w="90" w:type="dxa"/>
            <w:tcBorders/>
            <w:vAlign w:val="center"/>
          </w:tcPr>
          <w:p>
            <w:pPr>
              <w:pStyle w:val="TableContents"/>
              <w:bidi w:val="0"/>
              <w:spacing w:before="0" w:after="283"/>
              <w:jc w:val="left"/>
              <w:rPr/>
            </w:pPr>
            <w:r>
              <w:rPr/>
              <w:t> </w:t>
            </w:r>
          </w:p>
        </w:tc>
        <w:tc>
          <w:tcPr>
            <w:tcW w:w="175" w:type="dxa"/>
            <w:tcBorders>
              <w:bottom w:val="single" w:sz="8" w:space="0" w:color="000000"/>
            </w:tcBorders>
            <w:tcMar>
              <w:bottom w:w="28" w:type="dxa"/>
            </w:tcMar>
            <w:vAlign w:val="center"/>
          </w:tcPr>
          <w:p>
            <w:pPr>
              <w:pStyle w:val="TableContents"/>
              <w:bidi w:val="0"/>
              <w:spacing w:before="0" w:after="283"/>
              <w:jc w:val="left"/>
              <w:rPr/>
            </w:pPr>
            <w:r>
              <w:rPr/>
              <w:t> </w:t>
            </w:r>
          </w:p>
        </w:tc>
        <w:tc>
          <w:tcPr>
            <w:tcW w:w="1527" w:type="dxa"/>
            <w:tcBorders>
              <w:bottom w:val="single" w:sz="8" w:space="0" w:color="000000"/>
            </w:tcBorders>
            <w:tcMar>
              <w:bottom w:w="28" w:type="dxa"/>
            </w:tcMar>
            <w:vAlign w:val="center"/>
          </w:tcPr>
          <w:p>
            <w:pPr>
              <w:pStyle w:val="TableContents"/>
              <w:bidi w:val="0"/>
              <w:spacing w:before="0" w:after="283"/>
              <w:jc w:val="right"/>
              <w:rPr/>
            </w:pPr>
            <w:r>
              <w:rPr/>
              <w:t>103.1%</w:t>
            </w:r>
          </w:p>
        </w:tc>
        <w:tc>
          <w:tcPr>
            <w:tcW w:w="1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75" w:type="dxa"/>
            <w:tcBorders>
              <w:bottom w:val="single" w:sz="8" w:space="0" w:color="000000"/>
            </w:tcBorders>
            <w:tcMar>
              <w:bottom w:w="28" w:type="dxa"/>
            </w:tcMar>
            <w:vAlign w:val="center"/>
          </w:tcPr>
          <w:p>
            <w:pPr>
              <w:pStyle w:val="TableContents"/>
              <w:bidi w:val="0"/>
              <w:spacing w:before="0" w:after="283"/>
              <w:jc w:val="left"/>
              <w:rPr/>
            </w:pPr>
            <w:r>
              <w:rPr/>
              <w:t> </w:t>
            </w:r>
          </w:p>
        </w:tc>
        <w:tc>
          <w:tcPr>
            <w:tcW w:w="1527" w:type="dxa"/>
            <w:tcBorders>
              <w:bottom w:val="single" w:sz="8" w:space="0" w:color="000000"/>
            </w:tcBorders>
            <w:tcMar>
              <w:bottom w:w="28" w:type="dxa"/>
            </w:tcMar>
            <w:vAlign w:val="center"/>
          </w:tcPr>
          <w:p>
            <w:pPr>
              <w:pStyle w:val="TableContents"/>
              <w:bidi w:val="0"/>
              <w:spacing w:before="0" w:after="283"/>
              <w:jc w:val="right"/>
              <w:rPr/>
            </w:pPr>
            <w:r>
              <w:rPr/>
              <w:t>74.5%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8" w:type="dxa"/>
            <w:tcBorders>
              <w:bottom w:val="single" w:sz="8" w:space="0" w:color="000000"/>
            </w:tcBorders>
            <w:tcMar>
              <w:bottom w:w="28" w:type="dxa"/>
            </w:tcMar>
            <w:vAlign w:val="center"/>
          </w:tcPr>
          <w:p>
            <w:pPr>
              <w:pStyle w:val="TableContents"/>
              <w:bidi w:val="0"/>
              <w:spacing w:before="0" w:after="283"/>
              <w:jc w:val="left"/>
              <w:rPr/>
            </w:pPr>
            <w:r>
              <w:rPr/>
              <w:t> </w:t>
            </w:r>
          </w:p>
        </w:tc>
        <w:tc>
          <w:tcPr>
            <w:tcW w:w="1472" w:type="dxa"/>
            <w:tcBorders>
              <w:bottom w:val="single" w:sz="8" w:space="0" w:color="000000"/>
            </w:tcBorders>
            <w:tcMar>
              <w:bottom w:w="28" w:type="dxa"/>
            </w:tcMar>
            <w:vAlign w:val="center"/>
          </w:tcPr>
          <w:p>
            <w:pPr>
              <w:pStyle w:val="TableContents"/>
              <w:bidi w:val="0"/>
              <w:spacing w:before="0" w:after="283"/>
              <w:jc w:val="right"/>
              <w:rPr/>
            </w:pPr>
            <w:r>
              <w:rPr/>
              <w:t>77.4%</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bottom w:val="single" w:sz="8" w:space="0" w:color="000000"/>
            </w:tcBorders>
            <w:tcMar>
              <w:bottom w:w="28" w:type="dxa"/>
            </w:tcMar>
            <w:vAlign w:val="center"/>
          </w:tcPr>
          <w:p>
            <w:pPr>
              <w:pStyle w:val="TableContents"/>
              <w:bidi w:val="0"/>
              <w:spacing w:before="0" w:after="283"/>
              <w:jc w:val="left"/>
              <w:rPr/>
            </w:pPr>
            <w:r>
              <w:rPr/>
              <w:t> </w:t>
            </w:r>
          </w:p>
        </w:tc>
        <w:tc>
          <w:tcPr>
            <w:tcW w:w="1472" w:type="dxa"/>
            <w:tcBorders>
              <w:bottom w:val="single" w:sz="8" w:space="0" w:color="000000"/>
            </w:tcBorders>
            <w:tcMar>
              <w:bottom w:w="28" w:type="dxa"/>
            </w:tcMar>
            <w:vAlign w:val="center"/>
          </w:tcPr>
          <w:p>
            <w:pPr>
              <w:pStyle w:val="TableContents"/>
              <w:bidi w:val="0"/>
              <w:spacing w:before="0" w:after="283"/>
              <w:jc w:val="right"/>
              <w:rPr/>
            </w:pPr>
            <w:r>
              <w:rPr/>
              <w:t>81.5%</w:t>
            </w:r>
          </w:p>
        </w:tc>
        <w:tc>
          <w:tcPr>
            <w:tcW w:w="13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Combined ratio</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27" w:type="dxa"/>
            <w:tcBorders>
              <w:bottom w:val="double" w:sz="6" w:space="0" w:color="000000"/>
            </w:tcBorders>
            <w:shd w:fill="CCEEFF" w:val="clear"/>
            <w:tcMar>
              <w:bottom w:w="28" w:type="dxa"/>
            </w:tcMar>
            <w:vAlign w:val="center"/>
          </w:tcPr>
          <w:p>
            <w:pPr>
              <w:pStyle w:val="TableContents"/>
              <w:bidi w:val="0"/>
              <w:spacing w:before="0" w:after="283"/>
              <w:jc w:val="right"/>
              <w:rPr/>
            </w:pPr>
            <w:r>
              <w:rPr/>
              <w:t>109.1%</w:t>
            </w:r>
          </w:p>
        </w:tc>
        <w:tc>
          <w:tcPr>
            <w:tcW w:w="1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27" w:type="dxa"/>
            <w:tcBorders>
              <w:bottom w:val="double" w:sz="6" w:space="0" w:color="000000"/>
            </w:tcBorders>
            <w:shd w:fill="CCEEFF" w:val="clear"/>
            <w:tcMar>
              <w:bottom w:w="28" w:type="dxa"/>
            </w:tcMar>
            <w:vAlign w:val="center"/>
          </w:tcPr>
          <w:p>
            <w:pPr>
              <w:pStyle w:val="TableContents"/>
              <w:bidi w:val="0"/>
              <w:spacing w:before="0" w:after="283"/>
              <w:jc w:val="right"/>
              <w:rPr/>
            </w:pPr>
            <w:r>
              <w:rPr/>
              <w:t>111.0%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72" w:type="dxa"/>
            <w:tcBorders>
              <w:bottom w:val="double" w:sz="6" w:space="0" w:color="000000"/>
            </w:tcBorders>
            <w:shd w:fill="CCEEFF" w:val="clear"/>
            <w:tcMar>
              <w:bottom w:w="28" w:type="dxa"/>
            </w:tcMar>
            <w:vAlign w:val="center"/>
          </w:tcPr>
          <w:p>
            <w:pPr>
              <w:pStyle w:val="TableContents"/>
              <w:bidi w:val="0"/>
              <w:spacing w:before="0" w:after="283"/>
              <w:jc w:val="right"/>
              <w:rPr/>
            </w:pPr>
            <w:r>
              <w:rPr/>
              <w:t>110.0%</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72" w:type="dxa"/>
            <w:tcBorders>
              <w:bottom w:val="double" w:sz="6" w:space="0" w:color="000000"/>
            </w:tcBorders>
            <w:shd w:fill="CCEEFF" w:val="clear"/>
            <w:tcMar>
              <w:bottom w:w="28" w:type="dxa"/>
            </w:tcMar>
            <w:vAlign w:val="center"/>
          </w:tcPr>
          <w:p>
            <w:pPr>
              <w:pStyle w:val="TableContents"/>
              <w:bidi w:val="0"/>
              <w:spacing w:before="0" w:after="283"/>
              <w:jc w:val="right"/>
              <w:rPr/>
            </w:pPr>
            <w:r>
              <w:rPr/>
              <w:t>107.0%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gain (loss) measures the pre-tax profitability of our insurance operations. It is derived by subtracting losses and loss adjustment expenses, amortization of deferred policy acquisition costs, and other underwriting and general expenses from net premiums earned. The combined ratio represents the sum of these losses and expenses as a percentage of net premiums earned and measures our overall underwriting profit.</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underwriting loss decreased $2,649 for the three-month period ended September 30, 2025, compared to the same period in 2024. The total underwriting loss increased $4,425 for the nine-month period ended September 30, 2025, compared to the same period in 2024. These results were driven by the factors discussed in the Loss and Loss Adjustment Expenses as well as the Underwriting and General Expenses and Expense Ratio sections above.</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combined ratio decreased 1.9 percentage points in the three-month period ended September 30, 2025, compared to the same period in 2024. The overall combined ratio increased 3.0 percentage points in the nine-month period ended September 30, 2025, compared to the same period in 2024. These results were driven by the factors discussed in the Loss and Loss Adjustment Expenses as well as the Underwriting and General Expenses and Expense Ratio sections above.</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Fee and Other Income</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fee and other income of $261 and $807 for the three and nine months ended September 30, 2025, respectively, compared to $491 and $1,590 for the three and nine months ended September 30, 2024, respectively. These decreases were driven by strategic reductions in the premiums that generate fee income and write-offs of uncollectable premiums receivable.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Investment Income</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our average cash and invested assets, net investment income, and return on average cash and invested assets for the reported periods for continuing operations:</w:t>
      </w:r>
    </w:p>
    <w:tbl>
      <w:tblPr>
        <w:tblW w:w="10205" w:type="dxa"/>
        <w:jc w:val="left"/>
        <w:tblInd w:w="0" w:type="dxa"/>
        <w:tblLayout w:type="fixed"/>
        <w:tblCellMar>
          <w:top w:w="0" w:type="dxa"/>
          <w:left w:w="0" w:type="dxa"/>
          <w:bottom w:w="0" w:type="dxa"/>
          <w:right w:w="0" w:type="dxa"/>
        </w:tblCellMar>
      </w:tblPr>
      <w:tblGrid>
        <w:gridCol w:w="3447"/>
        <w:gridCol w:w="90"/>
        <w:gridCol w:w="250"/>
        <w:gridCol w:w="1226"/>
        <w:gridCol w:w="133"/>
        <w:gridCol w:w="133"/>
        <w:gridCol w:w="250"/>
        <w:gridCol w:w="1226"/>
        <w:gridCol w:w="90"/>
        <w:gridCol w:w="90"/>
        <w:gridCol w:w="244"/>
        <w:gridCol w:w="1192"/>
        <w:gridCol w:w="129"/>
        <w:gridCol w:w="129"/>
        <w:gridCol w:w="244"/>
        <w:gridCol w:w="1192"/>
        <w:gridCol w:w="140"/>
      </w:tblGrid>
      <w:tr>
        <w:trPr/>
        <w:tc>
          <w:tcPr>
            <w:tcW w:w="344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40" w:type="dxa"/>
            <w:tcBorders/>
            <w:vAlign w:val="center"/>
          </w:tcPr>
          <w:p>
            <w:pPr>
              <w:pStyle w:val="TableContents"/>
              <w:bidi w:val="0"/>
              <w:spacing w:before="0" w:after="283"/>
              <w:jc w:val="left"/>
              <w:rPr/>
            </w:pPr>
            <w:r>
              <w:rPr/>
              <w:t> </w:t>
            </w:r>
          </w:p>
        </w:tc>
      </w:tr>
      <w:tr>
        <w:trPr/>
        <w:tc>
          <w:tcPr>
            <w:tcW w:w="344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40" w:type="dxa"/>
            <w:tcBorders/>
            <w:vAlign w:val="center"/>
          </w:tcPr>
          <w:p>
            <w:pPr>
              <w:pStyle w:val="TableContents"/>
              <w:bidi w:val="0"/>
              <w:spacing w:before="0" w:after="283"/>
              <w:ind w:left="0" w:right="0" w:hanging="216"/>
              <w:jc w:val="left"/>
              <w:rPr/>
            </w:pPr>
            <w:r>
              <w:rPr/>
              <w:t> </w:t>
            </w:r>
          </w:p>
        </w:tc>
      </w:tr>
      <w:tr>
        <w:trPr/>
        <w:tc>
          <w:tcPr>
            <w:tcW w:w="3447" w:type="dxa"/>
            <w:tcBorders/>
            <w:shd w:fill="CCEEFF" w:val="clear"/>
            <w:vAlign w:val="center"/>
          </w:tcPr>
          <w:p>
            <w:pPr>
              <w:pStyle w:val="TableContents"/>
              <w:bidi w:val="0"/>
              <w:spacing w:before="0" w:after="283"/>
              <w:jc w:val="left"/>
              <w:rPr/>
            </w:pPr>
            <w:r>
              <w:rPr/>
              <w:t>Average cash and invested assets</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226" w:type="dxa"/>
            <w:tcBorders/>
            <w:shd w:fill="CCEEFF" w:val="clear"/>
            <w:vAlign w:val="center"/>
          </w:tcPr>
          <w:p>
            <w:pPr>
              <w:pStyle w:val="TableContents"/>
              <w:bidi w:val="0"/>
              <w:spacing w:before="0" w:after="283"/>
              <w:jc w:val="right"/>
              <w:rPr/>
            </w:pPr>
            <w:r>
              <w:rPr/>
              <w:t>385,668</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226" w:type="dxa"/>
            <w:tcBorders/>
            <w:shd w:fill="CCEEFF" w:val="clear"/>
            <w:vAlign w:val="center"/>
          </w:tcPr>
          <w:p>
            <w:pPr>
              <w:pStyle w:val="TableContents"/>
              <w:bidi w:val="0"/>
              <w:spacing w:before="0" w:after="283"/>
              <w:jc w:val="right"/>
              <w:rPr/>
            </w:pPr>
            <w:r>
              <w:rPr/>
              <w:t>376,594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388,833</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367,614</w:t>
            </w:r>
          </w:p>
        </w:tc>
        <w:tc>
          <w:tcPr>
            <w:tcW w:w="140" w:type="dxa"/>
            <w:tcBorders/>
            <w:shd w:fill="CCEEFF" w:val="clear"/>
            <w:vAlign w:val="center"/>
          </w:tcPr>
          <w:p>
            <w:pPr>
              <w:pStyle w:val="TableContents"/>
              <w:bidi w:val="0"/>
              <w:spacing w:before="0" w:after="283"/>
              <w:jc w:val="left"/>
              <w:rPr/>
            </w:pPr>
            <w:r>
              <w:rPr/>
              <w:t> </w:t>
            </w:r>
          </w:p>
        </w:tc>
      </w:tr>
      <w:tr>
        <w:trPr/>
        <w:tc>
          <w:tcPr>
            <w:tcW w:w="3447" w:type="dxa"/>
            <w:tcBorders/>
            <w:vAlign w:val="center"/>
          </w:tcPr>
          <w:p>
            <w:pPr>
              <w:pStyle w:val="TableContents"/>
              <w:bidi w:val="0"/>
              <w:spacing w:before="0" w:after="283"/>
              <w:jc w:val="left"/>
              <w:rPr/>
            </w:pPr>
            <w:r>
              <w:rPr/>
              <w:t>Net investment income</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w:t>
            </w:r>
          </w:p>
        </w:tc>
        <w:tc>
          <w:tcPr>
            <w:tcW w:w="1226" w:type="dxa"/>
            <w:tcBorders/>
            <w:vAlign w:val="center"/>
          </w:tcPr>
          <w:p>
            <w:pPr>
              <w:pStyle w:val="TableContents"/>
              <w:bidi w:val="0"/>
              <w:spacing w:before="0" w:after="283"/>
              <w:jc w:val="right"/>
              <w:rPr/>
            </w:pPr>
            <w:r>
              <w:rPr/>
              <w:t>3,040</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w:t>
            </w:r>
          </w:p>
        </w:tc>
        <w:tc>
          <w:tcPr>
            <w:tcW w:w="1226" w:type="dxa"/>
            <w:tcBorders/>
            <w:vAlign w:val="center"/>
          </w:tcPr>
          <w:p>
            <w:pPr>
              <w:pStyle w:val="TableContents"/>
              <w:bidi w:val="0"/>
              <w:spacing w:before="0" w:after="283"/>
              <w:jc w:val="right"/>
              <w:rPr/>
            </w:pPr>
            <w:r>
              <w:rPr/>
              <w:t>2,811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9,024</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8,089</w:t>
            </w:r>
          </w:p>
        </w:tc>
        <w:tc>
          <w:tcPr>
            <w:tcW w:w="140" w:type="dxa"/>
            <w:tcBorders/>
            <w:vAlign w:val="center"/>
          </w:tcPr>
          <w:p>
            <w:pPr>
              <w:pStyle w:val="TableContents"/>
              <w:bidi w:val="0"/>
              <w:spacing w:before="0" w:after="283"/>
              <w:jc w:val="left"/>
              <w:rPr/>
            </w:pPr>
            <w:r>
              <w:rPr/>
              <w:t> </w:t>
            </w:r>
          </w:p>
        </w:tc>
      </w:tr>
      <w:tr>
        <w:trPr/>
        <w:tc>
          <w:tcPr>
            <w:tcW w:w="344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3447" w:type="dxa"/>
            <w:tcBorders/>
            <w:vAlign w:val="center"/>
          </w:tcPr>
          <w:p>
            <w:pPr>
              <w:pStyle w:val="TableContents"/>
              <w:bidi w:val="0"/>
              <w:spacing w:before="0" w:after="283"/>
              <w:jc w:val="left"/>
              <w:rPr/>
            </w:pPr>
            <w:r>
              <w:rPr/>
              <w:t>Gross return on average cash and invested assets</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4.0%</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4.0%</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3.9%</w:t>
            </w:r>
          </w:p>
        </w:tc>
        <w:tc>
          <w:tcPr>
            <w:tcW w:w="140" w:type="dxa"/>
            <w:tcBorders/>
            <w:vAlign w:val="center"/>
          </w:tcPr>
          <w:p>
            <w:pPr>
              <w:pStyle w:val="TableContents"/>
              <w:bidi w:val="0"/>
              <w:spacing w:before="0" w:after="283"/>
              <w:jc w:val="left"/>
              <w:rPr/>
            </w:pPr>
            <w:r>
              <w:rPr/>
              <w:t> </w:t>
            </w:r>
          </w:p>
        </w:tc>
      </w:tr>
      <w:tr>
        <w:trPr/>
        <w:tc>
          <w:tcPr>
            <w:tcW w:w="3447" w:type="dxa"/>
            <w:tcBorders/>
            <w:shd w:fill="CCEEFF" w:val="clear"/>
            <w:vAlign w:val="center"/>
          </w:tcPr>
          <w:p>
            <w:pPr>
              <w:pStyle w:val="TableContents"/>
              <w:bidi w:val="0"/>
              <w:spacing w:before="0" w:after="283"/>
              <w:jc w:val="left"/>
              <w:rPr/>
            </w:pPr>
            <w:r>
              <w:rPr/>
              <w:t>Net return on average cash and invested assets</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3.2%</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3.1%</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2.9%</w:t>
            </w:r>
          </w:p>
        </w:tc>
        <w:tc>
          <w:tcPr>
            <w:tcW w:w="140" w:type="dxa"/>
            <w:tcBorders/>
            <w:shd w:fill="CCEEFF" w:val="clear"/>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 increased $229 for the three months ended September 30, 2025, compared to the three months ended September 30, 2024. Net investment income increased $935 for the nine months ended September 30, 2025, compared to the nine months ended September 30, 2024. These increases were primarily driven by the higher interest rate environment which resulted in higher reinvestment rates in our fixed income portfolio.</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and net return on average cash and invested assets increased year-over-year, primarily driven by the favorable interest rate environment that resulted in higher net investment income on an increased average fixed income securities balance (measured at fair value), partially offset by lower interest rates in the current year periods for cash and cash equivalents. The increase in average cash and invested assets was driven by changes in the fair value of fixed income securities due to the interest rate environment as well as positive operating cash flows during the first six months of 2025.</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Net Investment Gains </w:t>
      </w:r>
    </w:p>
    <w:p>
      <w:pPr>
        <w:pStyle w:val="TextBody"/>
        <w:bidi w:val="0"/>
        <w:spacing w:before="0" w:after="20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gains consisted of the following:</w:t>
      </w:r>
    </w:p>
    <w:tbl>
      <w:tblPr>
        <w:tblW w:w="10205" w:type="dxa"/>
        <w:jc w:val="left"/>
        <w:tblInd w:w="0" w:type="dxa"/>
        <w:tblLayout w:type="fixed"/>
        <w:tblCellMar>
          <w:top w:w="0" w:type="dxa"/>
          <w:left w:w="0" w:type="dxa"/>
          <w:bottom w:w="0" w:type="dxa"/>
          <w:right w:w="0" w:type="dxa"/>
        </w:tblCellMar>
      </w:tblPr>
      <w:tblGrid>
        <w:gridCol w:w="3813"/>
        <w:gridCol w:w="90"/>
        <w:gridCol w:w="293"/>
        <w:gridCol w:w="1020"/>
        <w:gridCol w:w="216"/>
        <w:gridCol w:w="155"/>
        <w:gridCol w:w="293"/>
        <w:gridCol w:w="1020"/>
        <w:gridCol w:w="125"/>
        <w:gridCol w:w="90"/>
        <w:gridCol w:w="285"/>
        <w:gridCol w:w="992"/>
        <w:gridCol w:w="209"/>
        <w:gridCol w:w="150"/>
        <w:gridCol w:w="285"/>
        <w:gridCol w:w="992"/>
        <w:gridCol w:w="177"/>
      </w:tblGrid>
      <w:tr>
        <w:trPr/>
        <w:tc>
          <w:tcPr>
            <w:tcW w:w="38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9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77" w:type="dxa"/>
            <w:tcBorders/>
            <w:vAlign w:val="center"/>
          </w:tcPr>
          <w:p>
            <w:pPr>
              <w:pStyle w:val="TableContents"/>
              <w:bidi w:val="0"/>
              <w:spacing w:before="0" w:after="283"/>
              <w:jc w:val="left"/>
              <w:rPr/>
            </w:pPr>
            <w:r>
              <w:rPr/>
              <w:t> </w:t>
            </w:r>
          </w:p>
        </w:tc>
      </w:tr>
      <w:tr>
        <w:trPr/>
        <w:tc>
          <w:tcPr>
            <w:tcW w:w="38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3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09"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7" w:type="dxa"/>
            <w:tcBorders/>
            <w:vAlign w:val="center"/>
          </w:tcPr>
          <w:p>
            <w:pPr>
              <w:pStyle w:val="TableContents"/>
              <w:bidi w:val="0"/>
              <w:spacing w:before="0" w:after="283"/>
              <w:ind w:left="0" w:right="0" w:hanging="216"/>
              <w:jc w:val="left"/>
              <w:rPr/>
            </w:pPr>
            <w:r>
              <w:rPr/>
              <w:t> </w:t>
            </w:r>
          </w:p>
        </w:tc>
      </w:tr>
      <w:tr>
        <w:trPr/>
        <w:tc>
          <w:tcPr>
            <w:tcW w:w="3813" w:type="dxa"/>
            <w:tcBorders/>
            <w:shd w:fill="CCEEFF" w:val="clear"/>
            <w:vAlign w:val="center"/>
          </w:tcPr>
          <w:p>
            <w:pPr>
              <w:pStyle w:val="TableContents"/>
              <w:bidi w:val="0"/>
              <w:spacing w:before="0" w:after="283"/>
              <w:jc w:val="left"/>
              <w:rPr/>
            </w:pPr>
            <w:r>
              <w:rPr/>
              <w:t>Gross realized gains</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020" w:type="dxa"/>
            <w:tcBorders/>
            <w:shd w:fill="CCEEFF" w:val="clear"/>
            <w:vAlign w:val="center"/>
          </w:tcPr>
          <w:p>
            <w:pPr>
              <w:pStyle w:val="TableContents"/>
              <w:bidi w:val="0"/>
              <w:spacing w:before="0" w:after="283"/>
              <w:jc w:val="right"/>
              <w:rPr/>
            </w:pPr>
            <w:r>
              <w:rPr/>
              <w:t>1,151</w:t>
            </w:r>
          </w:p>
        </w:tc>
        <w:tc>
          <w:tcPr>
            <w:tcW w:w="21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020" w:type="dxa"/>
            <w:tcBorders/>
            <w:shd w:fill="CCEEFF" w:val="clear"/>
            <w:vAlign w:val="center"/>
          </w:tcPr>
          <w:p>
            <w:pPr>
              <w:pStyle w:val="TableContents"/>
              <w:bidi w:val="0"/>
              <w:spacing w:before="0" w:after="283"/>
              <w:jc w:val="right"/>
              <w:rPr/>
            </w:pPr>
            <w:r>
              <w:rPr/>
              <w:t>272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992" w:type="dxa"/>
            <w:tcBorders/>
            <w:shd w:fill="CCEEFF" w:val="clear"/>
            <w:vAlign w:val="center"/>
          </w:tcPr>
          <w:p>
            <w:pPr>
              <w:pStyle w:val="TableContents"/>
              <w:bidi w:val="0"/>
              <w:spacing w:before="0" w:after="283"/>
              <w:jc w:val="right"/>
              <w:rPr/>
            </w:pPr>
            <w:r>
              <w:rPr/>
              <w:t>1,900</w:t>
            </w:r>
          </w:p>
        </w:tc>
        <w:tc>
          <w:tcPr>
            <w:tcW w:w="209"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992" w:type="dxa"/>
            <w:tcBorders/>
            <w:shd w:fill="CCEEFF" w:val="clear"/>
            <w:vAlign w:val="center"/>
          </w:tcPr>
          <w:p>
            <w:pPr>
              <w:pStyle w:val="TableContents"/>
              <w:bidi w:val="0"/>
              <w:spacing w:before="0" w:after="283"/>
              <w:jc w:val="right"/>
              <w:rPr/>
            </w:pPr>
            <w:r>
              <w:rPr/>
              <w:t>662</w:t>
            </w:r>
          </w:p>
        </w:tc>
        <w:tc>
          <w:tcPr>
            <w:tcW w:w="177" w:type="dxa"/>
            <w:tcBorders/>
            <w:shd w:fill="CCEEFF" w:val="clear"/>
            <w:vAlign w:val="center"/>
          </w:tcPr>
          <w:p>
            <w:pPr>
              <w:pStyle w:val="TableContents"/>
              <w:bidi w:val="0"/>
              <w:spacing w:before="0" w:after="283"/>
              <w:jc w:val="left"/>
              <w:rPr/>
            </w:pPr>
            <w:r>
              <w:rPr/>
              <w:t> </w:t>
            </w:r>
          </w:p>
        </w:tc>
      </w:tr>
      <w:tr>
        <w:trPr/>
        <w:tc>
          <w:tcPr>
            <w:tcW w:w="3813" w:type="dxa"/>
            <w:tcBorders/>
            <w:vAlign w:val="center"/>
          </w:tcPr>
          <w:p>
            <w:pPr>
              <w:pStyle w:val="TableContents"/>
              <w:bidi w:val="0"/>
              <w:spacing w:before="0" w:after="283"/>
              <w:jc w:val="left"/>
              <w:rPr/>
            </w:pPr>
            <w:r>
              <w:rPr/>
              <w:t>Gross realized losses, excluding credit impairment losses</w:t>
            </w:r>
          </w:p>
        </w:tc>
        <w:tc>
          <w:tcPr>
            <w:tcW w:w="90" w:type="dxa"/>
            <w:tcBorders/>
            <w:vAlign w:val="center"/>
          </w:tcPr>
          <w:p>
            <w:pPr>
              <w:pStyle w:val="TableContents"/>
              <w:bidi w:val="0"/>
              <w:spacing w:before="0" w:after="283"/>
              <w:jc w:val="left"/>
              <w:rPr/>
            </w:pPr>
            <w:r>
              <w:rPr/>
              <w:t> </w:t>
            </w:r>
          </w:p>
        </w:tc>
        <w:tc>
          <w:tcPr>
            <w:tcW w:w="293" w:type="dxa"/>
            <w:tcBorders>
              <w:bottom w:val="single" w:sz="8" w:space="0" w:color="000000"/>
            </w:tcBorders>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tcMar>
              <w:bottom w:w="28" w:type="dxa"/>
            </w:tcMar>
            <w:vAlign w:val="center"/>
          </w:tcPr>
          <w:p>
            <w:pPr>
              <w:pStyle w:val="TableContents"/>
              <w:bidi w:val="0"/>
              <w:spacing w:before="0" w:after="283"/>
              <w:jc w:val="right"/>
              <w:rPr/>
            </w:pPr>
            <w:r>
              <w:rPr/>
              <w:t>(340</w:t>
            </w:r>
          </w:p>
        </w:tc>
        <w:tc>
          <w:tcPr>
            <w:tcW w:w="216"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 </w:t>
            </w:r>
          </w:p>
        </w:tc>
        <w:tc>
          <w:tcPr>
            <w:tcW w:w="293" w:type="dxa"/>
            <w:tcBorders>
              <w:bottom w:val="single" w:sz="8" w:space="0" w:color="000000"/>
            </w:tcBorders>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tcMar>
              <w:bottom w:w="28" w:type="dxa"/>
            </w:tcMar>
            <w:vAlign w:val="center"/>
          </w:tcPr>
          <w:p>
            <w:pPr>
              <w:pStyle w:val="TableContents"/>
              <w:bidi w:val="0"/>
              <w:spacing w:before="0" w:after="283"/>
              <w:jc w:val="right"/>
              <w:rPr/>
            </w:pPr>
            <w:r>
              <w:rPr/>
              <w:t>(227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5" w:type="dxa"/>
            <w:tcBorders>
              <w:bottom w:val="single" w:sz="8" w:space="0" w:color="000000"/>
            </w:tcBorders>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tcMar>
              <w:bottom w:w="28" w:type="dxa"/>
            </w:tcMar>
            <w:vAlign w:val="center"/>
          </w:tcPr>
          <w:p>
            <w:pPr>
              <w:pStyle w:val="TableContents"/>
              <w:bidi w:val="0"/>
              <w:spacing w:before="0" w:after="283"/>
              <w:jc w:val="right"/>
              <w:rPr/>
            </w:pPr>
            <w:r>
              <w:rPr/>
              <w:t>(656</w:t>
            </w:r>
          </w:p>
        </w:tc>
        <w:tc>
          <w:tcPr>
            <w:tcW w:w="209" w:type="dxa"/>
            <w:tcBorders/>
            <w:vAlign w:val="center"/>
          </w:tcPr>
          <w:p>
            <w:pPr>
              <w:pStyle w:val="TableContents"/>
              <w:bidi w:val="0"/>
              <w:spacing w:before="0" w:after="283"/>
              <w:jc w:val="left"/>
              <w:rPr/>
            </w:pPr>
            <w:r>
              <w:rPr/>
              <w:t>)</w:t>
            </w:r>
          </w:p>
        </w:tc>
        <w:tc>
          <w:tcPr>
            <w:tcW w:w="150" w:type="dxa"/>
            <w:tcBorders/>
            <w:vAlign w:val="center"/>
          </w:tcPr>
          <w:p>
            <w:pPr>
              <w:pStyle w:val="TableContents"/>
              <w:bidi w:val="0"/>
              <w:spacing w:before="0" w:after="283"/>
              <w:jc w:val="left"/>
              <w:rPr/>
            </w:pPr>
            <w:r>
              <w:rPr/>
              <w:t> </w:t>
            </w:r>
          </w:p>
        </w:tc>
        <w:tc>
          <w:tcPr>
            <w:tcW w:w="285" w:type="dxa"/>
            <w:tcBorders>
              <w:bottom w:val="single" w:sz="8" w:space="0" w:color="000000"/>
            </w:tcBorders>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tcMar>
              <w:bottom w:w="28" w:type="dxa"/>
            </w:tcMar>
            <w:vAlign w:val="center"/>
          </w:tcPr>
          <w:p>
            <w:pPr>
              <w:pStyle w:val="TableContents"/>
              <w:bidi w:val="0"/>
              <w:spacing w:before="0" w:after="283"/>
              <w:jc w:val="right"/>
              <w:rPr/>
            </w:pPr>
            <w:r>
              <w:rPr/>
              <w:t>(699</w:t>
            </w:r>
          </w:p>
        </w:tc>
        <w:tc>
          <w:tcPr>
            <w:tcW w:w="177" w:type="dxa"/>
            <w:tcBorders/>
            <w:vAlign w:val="center"/>
          </w:tcPr>
          <w:p>
            <w:pPr>
              <w:pStyle w:val="TableContents"/>
              <w:bidi w:val="0"/>
              <w:spacing w:before="0" w:after="283"/>
              <w:jc w:val="left"/>
              <w:rPr/>
            </w:pPr>
            <w:r>
              <w:rPr/>
              <w:t>)</w:t>
            </w:r>
          </w:p>
        </w:tc>
      </w:tr>
      <w:tr>
        <w:trPr/>
        <w:tc>
          <w:tcPr>
            <w:tcW w:w="3813" w:type="dxa"/>
            <w:tcBorders/>
            <w:shd w:fill="CCEEFF" w:val="clear"/>
            <w:vAlign w:val="center"/>
          </w:tcPr>
          <w:p>
            <w:pPr>
              <w:pStyle w:val="TableContents"/>
              <w:bidi w:val="0"/>
              <w:spacing w:before="0" w:after="283"/>
              <w:jc w:val="left"/>
              <w:rPr/>
            </w:pPr>
            <w:r>
              <w:rPr/>
              <w:t>Net realized gains (losses)</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811</w:t>
            </w:r>
          </w:p>
        </w:tc>
        <w:tc>
          <w:tcPr>
            <w:tcW w:w="21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1,244</w:t>
            </w:r>
          </w:p>
        </w:tc>
        <w:tc>
          <w:tcPr>
            <w:tcW w:w="209"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(37</w:t>
            </w:r>
          </w:p>
        </w:tc>
        <w:tc>
          <w:tcPr>
            <w:tcW w:w="177" w:type="dxa"/>
            <w:tcBorders/>
            <w:shd w:fill="CCEEFF" w:val="clear"/>
            <w:vAlign w:val="center"/>
          </w:tcPr>
          <w:p>
            <w:pPr>
              <w:pStyle w:val="TableContents"/>
              <w:bidi w:val="0"/>
              <w:spacing w:before="0" w:after="283"/>
              <w:jc w:val="left"/>
              <w:rPr/>
            </w:pPr>
            <w:r>
              <w:rPr/>
              <w:t>)</w:t>
            </w:r>
          </w:p>
        </w:tc>
      </w:tr>
      <w:tr>
        <w:trPr/>
        <w:tc>
          <w:tcPr>
            <w:tcW w:w="3813" w:type="dxa"/>
            <w:tcBorders/>
            <w:vAlign w:val="center"/>
          </w:tcPr>
          <w:p>
            <w:pPr>
              <w:pStyle w:val="TableContents"/>
              <w:bidi w:val="0"/>
              <w:spacing w:before="0" w:after="283"/>
              <w:jc w:val="left"/>
              <w:rPr/>
            </w:pPr>
            <w:r>
              <w:rPr/>
              <w:t>Change in net unrealized gains on equity securities</w:t>
            </w:r>
          </w:p>
        </w:tc>
        <w:tc>
          <w:tcPr>
            <w:tcW w:w="90" w:type="dxa"/>
            <w:tcBorders/>
            <w:vAlign w:val="center"/>
          </w:tcPr>
          <w:p>
            <w:pPr>
              <w:pStyle w:val="TableContents"/>
              <w:bidi w:val="0"/>
              <w:spacing w:before="0" w:after="283"/>
              <w:jc w:val="left"/>
              <w:rPr/>
            </w:pPr>
            <w:r>
              <w:rPr/>
              <w:t> </w:t>
            </w:r>
          </w:p>
        </w:tc>
        <w:tc>
          <w:tcPr>
            <w:tcW w:w="293" w:type="dxa"/>
            <w:tcBorders>
              <w:bottom w:val="single" w:sz="8" w:space="0" w:color="000000"/>
            </w:tcBorders>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tcMar>
              <w:bottom w:w="28" w:type="dxa"/>
            </w:tcMar>
            <w:vAlign w:val="center"/>
          </w:tcPr>
          <w:p>
            <w:pPr>
              <w:pStyle w:val="TableContents"/>
              <w:bidi w:val="0"/>
              <w:spacing w:before="0" w:after="283"/>
              <w:jc w:val="right"/>
              <w:rPr/>
            </w:pPr>
            <w:r>
              <w:rPr/>
              <w:t>551</w:t>
            </w:r>
          </w:p>
        </w:tc>
        <w:tc>
          <w:tcPr>
            <w:tcW w:w="21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93" w:type="dxa"/>
            <w:tcBorders>
              <w:bottom w:val="single" w:sz="8" w:space="0" w:color="000000"/>
            </w:tcBorders>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tcMar>
              <w:bottom w:w="28" w:type="dxa"/>
            </w:tcMar>
            <w:vAlign w:val="center"/>
          </w:tcPr>
          <w:p>
            <w:pPr>
              <w:pStyle w:val="TableContents"/>
              <w:bidi w:val="0"/>
              <w:spacing w:before="0" w:after="283"/>
              <w:jc w:val="right"/>
              <w:rPr/>
            </w:pPr>
            <w:r>
              <w:rPr/>
              <w:t>2,367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bottom w:val="single" w:sz="8" w:space="0" w:color="000000"/>
            </w:tcBorders>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tcMar>
              <w:bottom w:w="28" w:type="dxa"/>
            </w:tcMar>
            <w:vAlign w:val="center"/>
          </w:tcPr>
          <w:p>
            <w:pPr>
              <w:pStyle w:val="TableContents"/>
              <w:bidi w:val="0"/>
              <w:spacing w:before="0" w:after="283"/>
              <w:jc w:val="right"/>
              <w:rPr/>
            </w:pPr>
            <w:r>
              <w:rPr/>
              <w:t>577</w:t>
            </w:r>
          </w:p>
        </w:tc>
        <w:tc>
          <w:tcPr>
            <w:tcW w:w="209"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85" w:type="dxa"/>
            <w:tcBorders>
              <w:bottom w:val="single" w:sz="8" w:space="0" w:color="000000"/>
            </w:tcBorders>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tcMar>
              <w:bottom w:w="28" w:type="dxa"/>
            </w:tcMar>
            <w:vAlign w:val="center"/>
          </w:tcPr>
          <w:p>
            <w:pPr>
              <w:pStyle w:val="TableContents"/>
              <w:bidi w:val="0"/>
              <w:spacing w:before="0" w:after="283"/>
              <w:jc w:val="right"/>
              <w:rPr/>
            </w:pPr>
            <w:r>
              <w:rPr/>
              <w:t>3,325</w:t>
            </w:r>
          </w:p>
        </w:tc>
        <w:tc>
          <w:tcPr>
            <w:tcW w:w="177" w:type="dxa"/>
            <w:tcBorders/>
            <w:vAlign w:val="center"/>
          </w:tcPr>
          <w:p>
            <w:pPr>
              <w:pStyle w:val="TableContents"/>
              <w:bidi w:val="0"/>
              <w:spacing w:before="0" w:after="283"/>
              <w:jc w:val="left"/>
              <w:rPr/>
            </w:pPr>
            <w:r>
              <w:rPr/>
              <w:t> </w:t>
            </w:r>
          </w:p>
        </w:tc>
      </w:tr>
      <w:tr>
        <w:trPr/>
        <w:tc>
          <w:tcPr>
            <w:tcW w:w="3813" w:type="dxa"/>
            <w:tcBorders/>
            <w:shd w:fill="CCEEFF" w:val="clear"/>
            <w:vAlign w:val="center"/>
          </w:tcPr>
          <w:p>
            <w:pPr>
              <w:pStyle w:val="TableContents"/>
              <w:bidi w:val="0"/>
              <w:spacing w:before="0" w:after="283"/>
              <w:jc w:val="left"/>
              <w:rPr/>
            </w:pPr>
            <w:r>
              <w:rPr/>
              <w:t>Net investment gains</w:t>
            </w:r>
          </w:p>
        </w:tc>
        <w:tc>
          <w:tcPr>
            <w:tcW w:w="90" w:type="dxa"/>
            <w:tcBorders/>
            <w:shd w:fill="CCEEFF" w:val="clear"/>
            <w:vAlign w:val="center"/>
          </w:tcPr>
          <w:p>
            <w:pPr>
              <w:pStyle w:val="TableContents"/>
              <w:bidi w:val="0"/>
              <w:spacing w:before="0" w:after="283"/>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0" w:type="dxa"/>
            <w:tcBorders>
              <w:bottom w:val="double" w:sz="6" w:space="0" w:color="000000"/>
            </w:tcBorders>
            <w:shd w:fill="CCEEFF" w:val="clear"/>
            <w:tcMar>
              <w:bottom w:w="28" w:type="dxa"/>
            </w:tcMar>
            <w:vAlign w:val="center"/>
          </w:tcPr>
          <w:p>
            <w:pPr>
              <w:pStyle w:val="TableContents"/>
              <w:bidi w:val="0"/>
              <w:spacing w:before="0" w:after="283"/>
              <w:jc w:val="right"/>
              <w:rPr/>
            </w:pPr>
            <w:r>
              <w:rPr/>
              <w:t>1,362</w:t>
            </w:r>
          </w:p>
        </w:tc>
        <w:tc>
          <w:tcPr>
            <w:tcW w:w="21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0" w:type="dxa"/>
            <w:tcBorders>
              <w:bottom w:val="double" w:sz="6" w:space="0" w:color="000000"/>
            </w:tcBorders>
            <w:shd w:fill="CCEEFF" w:val="clear"/>
            <w:tcMar>
              <w:bottom w:w="28" w:type="dxa"/>
            </w:tcMar>
            <w:vAlign w:val="center"/>
          </w:tcPr>
          <w:p>
            <w:pPr>
              <w:pStyle w:val="TableContents"/>
              <w:bidi w:val="0"/>
              <w:spacing w:before="0" w:after="283"/>
              <w:jc w:val="right"/>
              <w:rPr/>
            </w:pPr>
            <w:r>
              <w:rPr/>
              <w:t>2,412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2" w:type="dxa"/>
            <w:tcBorders>
              <w:bottom w:val="double" w:sz="6" w:space="0" w:color="000000"/>
            </w:tcBorders>
            <w:shd w:fill="CCEEFF" w:val="clear"/>
            <w:tcMar>
              <w:bottom w:w="28" w:type="dxa"/>
            </w:tcMar>
            <w:vAlign w:val="center"/>
          </w:tcPr>
          <w:p>
            <w:pPr>
              <w:pStyle w:val="TableContents"/>
              <w:bidi w:val="0"/>
              <w:spacing w:before="0" w:after="283"/>
              <w:jc w:val="right"/>
              <w:rPr/>
            </w:pPr>
            <w:r>
              <w:rPr/>
              <w:t>1,821</w:t>
            </w:r>
          </w:p>
        </w:tc>
        <w:tc>
          <w:tcPr>
            <w:tcW w:w="209"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2" w:type="dxa"/>
            <w:tcBorders>
              <w:bottom w:val="double" w:sz="6" w:space="0" w:color="000000"/>
            </w:tcBorders>
            <w:shd w:fill="CCEEFF" w:val="clear"/>
            <w:tcMar>
              <w:bottom w:w="28" w:type="dxa"/>
            </w:tcMar>
            <w:vAlign w:val="center"/>
          </w:tcPr>
          <w:p>
            <w:pPr>
              <w:pStyle w:val="TableContents"/>
              <w:bidi w:val="0"/>
              <w:spacing w:before="0" w:after="283"/>
              <w:jc w:val="right"/>
              <w:rPr/>
            </w:pPr>
            <w:r>
              <w:rPr/>
              <w:t>3,288</w:t>
            </w:r>
          </w:p>
        </w:tc>
        <w:tc>
          <w:tcPr>
            <w:tcW w:w="1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net realized gains of $811 and $1,244 for the three and nine months ended September 30, 2025, respectively, compared to net realized gains of $45 and losses of $37 for the three and nine months ended September 30, 2024, respectively. The elevated net realized gains in the nine months ended September 30, 2025, were driven by sales of equity securities that were executed as part of the strategic management of our investment portfolio. No credit impairment losses were reported during any of the periods presented.</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experienced an increase of $551 and $577 in net unrealized gains on equity securities during the three and nine months ended September 30, 2025, respectively. We experienced an increase in net unrealized gains on equity securities of $2,367 and $3,325 during the three and nine months ended September 30, 2024, respectively. These results were driven by the impact of changes in fair value attributable to overall favorable equity markets during those periods.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fixed income securities are classified as available for sale because we will, from time to time, execute sales of securities that are not impaired, consistent with our investment goals and policies. The fixed income portion of the portfolio experienced net unrealized gains of $3,895 and $8,677 during the three and nine months ended September 30, 2025, respectively, compared to net unrealized gains of $11,138 and $8,848 during the three and nine months ended September 30, 2024, respectively. The changes were primarily the result of changes in U.S. interest rates. The change in the fair value of fixed income securities is not reflected in net income; rather it is reflected as a separate component (net of income taxes) of other comprehensive income.</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(Loss) before Income Taxes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2025, we had a pre-tax loss of $1,858 compared to a pre-tax loss of $3,456 for the three months ended September 30, 2024. The year-over-year change was largely attributable to lower levels of non-catastrophe weather losses, improved loss experience for Private Passenger Auto, and higher net investment income in the current year, partially offset by lower net investment gains and higher unfavorable prior year loss reserve development for Non-Standard Auto.</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we had a pre-tax loss of $9,433 compared to pre-tax loss of $3,693 for the nine months ended September 30, 2024. The year-over-year change was largely attributable to the catastrophe losses for Home and Farm in North Dakota, lower net investment gains, and unfavorable prior year loss reserve development for Non-Standard Auto, partially offset by lower levels of non-catastrophe weather losses, improved loss experience for Private Passenger Auto, and higher net investment income.</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 (Benefit)</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an income tax benefit of $192 for the three months ended September 30, 2025, compared to an income tax benefit of $751 for the three months ended September 30, 2024. Our effective tax rate for the third quarter of 2025 was 10.3% compared to an effective tax rate of 21.7% for the third quarter of 2024.</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an income tax benefit of $2,176 for the nine months ended September 30, 2025, compared to income tax benefit of $445 for the nine months ended September 30, 2024. Our effective tax rate for the first nine months of 2025 was 23.1% compared to an effective tax rate (excluding tax effects relates to the loss on sale of Westminster) of 12.0% for the first nine months of 2024. The effective tax rate for the first nine months of 2025 and 2024 were impacted by changes in our valuation allowances against deferred income tax assets.</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(Loss)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2025, we had a net loss of $1,666 compared to net loss of $2,705 for the three months ended September 30, 2024. The year-over-year change was largely attributable to lower levels of non-catastrophe weather losses, improved loss experience for Private Passenger Auto, and higher net investment income in the current year, partially offset by lower net investment gains and higher unfavorable prior year loss reserve development for Non-Standard Auto.</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we had a net loss of $7,257 compared to net loss of $3,248 for the nine months ended September 30, 2024. The year-over-year change was largely attributable to the catastrophe losses for Home and Farm in North Dakota, lower net investment gains, and unfavorable prior year loss reserve development for Non-Standard Auto, partially offset by lower levels of non-catastrophe weather losses, improved loss experience for Private Passenger Auto, and higher net investment income.</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Return on Average Equity</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2025, we had annualized return on average equity of (2.7)% compared to (4.5)% for the three months ended September 30, 2024.</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we had annualized return on average equity of (4.0)% compared to (1.9)% for the nine months ended September 30, 2024.</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equity is calculated as the average between beginning and ending equity for the period.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accordance with GAAP requires both the use of estimates and judgment relative to the application of appropriate accounting policies. We are required to make estimates and assumptions in certain circumstances that affect amounts reported in the unaudited consolidated financial statements and related footnotes. We evaluate these estimates and assumptions on an ongoing basis based on historical developments, market conditions, industry trends, and other information that we believe to be reasonable under the circumstances. There can be no assurance that actual results will conform to these estimates and assumptions or that reported results of operations will not be materially and adversely affected by the need to make accounting adjustments to reflect changes in these estimates and assumptions from time to time. Our critical accounting policies are more fully described in Part II, Item 7, “Management's Discussion and Analysis of Financial Condition and Results of Operations” presented in our 2024 Annual Report. There have been no changes in our critical accounting policies from December 31, 2024.</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generate sufficient funds from our operations and maintain a high degree of liquidity in our investment portfolio to meet the demands of claim settlements and operating expenses for the foreseeable future. Our primary sources of funds are premium collections, investment earnings, and fixed income maturities.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 $3,000 line of credit with Wells Fargo Bank, N.A. The terms of the line of credit include a floating interest rate of 2.50% above the daily simple secured overnight financing rate. There were no outstanding amounts during the nine months ended September 30, 2025, or the year ended December 31, 2024. This line of credit is scheduled to expire on December 13, 2025.</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cash and cash equivalents for continuing and discontinued operations for the nine months ended September 30, 2025 and 2024, were as follows:</w:t>
      </w:r>
    </w:p>
    <w:tbl>
      <w:tblPr>
        <w:tblW w:w="7752" w:type="dxa"/>
        <w:jc w:val="left"/>
        <w:tblInd w:w="0" w:type="dxa"/>
        <w:tblLayout w:type="fixed"/>
        <w:tblCellMar>
          <w:top w:w="0" w:type="dxa"/>
          <w:left w:w="0" w:type="dxa"/>
          <w:bottom w:w="0" w:type="dxa"/>
          <w:right w:w="0" w:type="dxa"/>
        </w:tblCellMar>
      </w:tblPr>
      <w:tblGrid>
        <w:gridCol w:w="3875"/>
        <w:gridCol w:w="90"/>
        <w:gridCol w:w="300"/>
        <w:gridCol w:w="1386"/>
        <w:gridCol w:w="220"/>
        <w:gridCol w:w="158"/>
        <w:gridCol w:w="300"/>
        <w:gridCol w:w="1253"/>
        <w:gridCol w:w="170"/>
      </w:tblGrid>
      <w:tr>
        <w:trPr/>
        <w:tc>
          <w:tcPr>
            <w:tcW w:w="3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7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5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ind w:left="0" w:right="0" w:hanging="216"/>
              <w:jc w:val="left"/>
              <w:rPr/>
            </w:pPr>
            <w:r>
              <w:rPr/>
              <w:t> </w:t>
            </w:r>
          </w:p>
        </w:tc>
      </w:tr>
      <w:tr>
        <w:trPr/>
        <w:tc>
          <w:tcPr>
            <w:tcW w:w="3875" w:type="dxa"/>
            <w:tcBorders/>
            <w:shd w:fill="CCEEFF" w:val="clear"/>
            <w:vAlign w:val="center"/>
          </w:tcPr>
          <w:p>
            <w:pPr>
              <w:pStyle w:val="TableContents"/>
              <w:bidi w:val="0"/>
              <w:spacing w:before="0" w:after="283"/>
              <w:jc w:val="left"/>
              <w:rPr/>
            </w:pPr>
            <w:r>
              <w:rPr/>
              <w:t>Net cash flows from operating activities</w:t>
            </w:r>
          </w:p>
        </w:tc>
        <w:tc>
          <w:tcPr>
            <w:tcW w:w="9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p>
        </w:tc>
        <w:tc>
          <w:tcPr>
            <w:tcW w:w="1386" w:type="dxa"/>
            <w:tcBorders/>
            <w:shd w:fill="CCEEFF" w:val="clear"/>
            <w:vAlign w:val="center"/>
          </w:tcPr>
          <w:p>
            <w:pPr>
              <w:pStyle w:val="TableContents"/>
              <w:bidi w:val="0"/>
              <w:spacing w:before="0" w:after="283"/>
              <w:jc w:val="right"/>
              <w:rPr/>
            </w:pPr>
            <w:r>
              <w:rPr/>
              <w:t>(28,511</w:t>
            </w:r>
          </w:p>
        </w:tc>
        <w:tc>
          <w:tcPr>
            <w:tcW w:w="220" w:type="dxa"/>
            <w:tcBorders/>
            <w:shd w:fill="CCEEFF" w:val="clear"/>
            <w:vAlign w:val="center"/>
          </w:tcPr>
          <w:p>
            <w:pPr>
              <w:pStyle w:val="TableContents"/>
              <w:bidi w:val="0"/>
              <w:spacing w:before="0" w:after="283"/>
              <w:jc w:val="left"/>
              <w:rPr/>
            </w:pPr>
            <w:r>
              <w:rPr/>
              <w:t>)</w:t>
            </w:r>
          </w:p>
        </w:tc>
        <w:tc>
          <w:tcPr>
            <w:tcW w:w="158"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p>
        </w:tc>
        <w:tc>
          <w:tcPr>
            <w:tcW w:w="1253" w:type="dxa"/>
            <w:tcBorders/>
            <w:shd w:fill="CCEEFF" w:val="clear"/>
            <w:vAlign w:val="center"/>
          </w:tcPr>
          <w:p>
            <w:pPr>
              <w:pStyle w:val="TableContents"/>
              <w:bidi w:val="0"/>
              <w:spacing w:before="0" w:after="283"/>
              <w:jc w:val="right"/>
              <w:rPr/>
            </w:pPr>
            <w:r>
              <w:rPr/>
              <w:t>16,780</w:t>
            </w:r>
          </w:p>
        </w:tc>
        <w:tc>
          <w:tcPr>
            <w:tcW w:w="170" w:type="dxa"/>
            <w:tcBorders/>
            <w:shd w:fill="CCEEFF" w:val="clear"/>
            <w:vAlign w:val="center"/>
          </w:tcPr>
          <w:p>
            <w:pPr>
              <w:pStyle w:val="TableContents"/>
              <w:bidi w:val="0"/>
              <w:spacing w:before="0" w:after="283"/>
              <w:ind w:left="0" w:right="0" w:hanging="216"/>
              <w:jc w:val="left"/>
              <w:rPr/>
            </w:pPr>
            <w:r>
              <w:rPr/>
              <w:t> </w:t>
            </w:r>
          </w:p>
        </w:tc>
      </w:tr>
      <w:tr>
        <w:trPr/>
        <w:tc>
          <w:tcPr>
            <w:tcW w:w="3875" w:type="dxa"/>
            <w:tcBorders/>
            <w:vAlign w:val="center"/>
          </w:tcPr>
          <w:p>
            <w:pPr>
              <w:pStyle w:val="TableContents"/>
              <w:bidi w:val="0"/>
              <w:spacing w:before="0" w:after="283"/>
              <w:jc w:val="left"/>
              <w:rPr/>
            </w:pPr>
            <w:r>
              <w:rPr/>
              <w:t>Net cash flows from investing activities</w:t>
            </w:r>
          </w:p>
        </w:tc>
        <w:tc>
          <w:tcPr>
            <w:tcW w:w="9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right"/>
              <w:rPr/>
            </w:pPr>
            <w:r>
              <w:rPr/>
              <w:t>3,621</w:t>
            </w:r>
          </w:p>
        </w:tc>
        <w:tc>
          <w:tcPr>
            <w:tcW w:w="2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5,327</w:t>
            </w:r>
          </w:p>
        </w:tc>
        <w:tc>
          <w:tcPr>
            <w:tcW w:w="170" w:type="dxa"/>
            <w:tcBorders/>
            <w:vAlign w:val="center"/>
          </w:tcPr>
          <w:p>
            <w:pPr>
              <w:pStyle w:val="TableContents"/>
              <w:bidi w:val="0"/>
              <w:spacing w:before="0" w:after="283"/>
              <w:ind w:left="0" w:right="0" w:hanging="216"/>
              <w:jc w:val="left"/>
              <w:rPr/>
            </w:pPr>
            <w:r>
              <w:rPr/>
              <w:t> </w:t>
            </w:r>
          </w:p>
        </w:tc>
      </w:tr>
      <w:tr>
        <w:trPr/>
        <w:tc>
          <w:tcPr>
            <w:tcW w:w="3875" w:type="dxa"/>
            <w:tcBorders/>
            <w:shd w:fill="CCEEFF" w:val="clear"/>
            <w:vAlign w:val="center"/>
          </w:tcPr>
          <w:p>
            <w:pPr>
              <w:pStyle w:val="TableContents"/>
              <w:bidi w:val="0"/>
              <w:spacing w:before="0" w:after="283"/>
              <w:jc w:val="left"/>
              <w:rPr/>
            </w:pPr>
            <w:r>
              <w:rPr/>
              <w:t>Net cash flows from financing activities</w:t>
            </w:r>
          </w:p>
        </w:tc>
        <w:tc>
          <w:tcPr>
            <w:tcW w:w="90" w:type="dxa"/>
            <w:tcBorders/>
            <w:shd w:fill="CCEEFF" w:val="clear"/>
            <w:vAlign w:val="center"/>
          </w:tcPr>
          <w:p>
            <w:pPr>
              <w:pStyle w:val="TableContents"/>
              <w:bidi w:val="0"/>
              <w:spacing w:before="0" w:after="283"/>
              <w:jc w:val="left"/>
              <w:rPr/>
            </w:pPr>
            <w:r>
              <w:rPr/>
              <w:t> </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6" w:type="dxa"/>
            <w:tcBorders>
              <w:bottom w:val="single" w:sz="8" w:space="0" w:color="000000"/>
            </w:tcBorders>
            <w:shd w:fill="CCEEFF" w:val="clear"/>
            <w:tcMar>
              <w:bottom w:w="28" w:type="dxa"/>
            </w:tcMar>
            <w:vAlign w:val="center"/>
          </w:tcPr>
          <w:p>
            <w:pPr>
              <w:pStyle w:val="TableContents"/>
              <w:bidi w:val="0"/>
              <w:spacing w:before="0" w:after="283"/>
              <w:jc w:val="right"/>
              <w:rPr/>
            </w:pPr>
            <w:r>
              <w:rPr/>
              <w:t>(1,387</w:t>
            </w:r>
          </w:p>
        </w:tc>
        <w:tc>
          <w:tcPr>
            <w:tcW w:w="220" w:type="dxa"/>
            <w:tcBorders/>
            <w:shd w:fill="CCEEFF" w:val="clear"/>
            <w:vAlign w:val="center"/>
          </w:tcPr>
          <w:p>
            <w:pPr>
              <w:pStyle w:val="TableContents"/>
              <w:bidi w:val="0"/>
              <w:spacing w:before="0" w:after="283"/>
              <w:jc w:val="left"/>
              <w:rPr/>
            </w:pPr>
            <w:r>
              <w:rPr/>
              <w:t>)</w:t>
            </w:r>
          </w:p>
        </w:tc>
        <w:tc>
          <w:tcPr>
            <w:tcW w:w="158" w:type="dxa"/>
            <w:tcBorders/>
            <w:shd w:fill="CCEEFF" w:val="clear"/>
            <w:vAlign w:val="center"/>
          </w:tcPr>
          <w:p>
            <w:pPr>
              <w:pStyle w:val="TableContents"/>
              <w:bidi w:val="0"/>
              <w:spacing w:before="0" w:after="283"/>
              <w:jc w:val="left"/>
              <w:rPr/>
            </w:pPr>
            <w:r>
              <w:rPr/>
              <w:t> </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3" w:type="dxa"/>
            <w:tcBorders>
              <w:bottom w:val="single" w:sz="8" w:space="0" w:color="000000"/>
            </w:tcBorders>
            <w:shd w:fill="CCEEFF" w:val="clear"/>
            <w:tcMar>
              <w:bottom w:w="28" w:type="dxa"/>
            </w:tcMar>
            <w:vAlign w:val="center"/>
          </w:tcPr>
          <w:p>
            <w:pPr>
              <w:pStyle w:val="TableContents"/>
              <w:bidi w:val="0"/>
              <w:spacing w:before="0" w:after="283"/>
              <w:jc w:val="right"/>
              <w:rPr/>
            </w:pPr>
            <w:r>
              <w:rPr/>
              <w:t>(3,613</w:t>
            </w:r>
          </w:p>
        </w:tc>
        <w:tc>
          <w:tcPr>
            <w:tcW w:w="170" w:type="dxa"/>
            <w:tcBorders/>
            <w:shd w:fill="CCEEFF" w:val="clear"/>
            <w:vAlign w:val="center"/>
          </w:tcPr>
          <w:p>
            <w:pPr>
              <w:pStyle w:val="TableContents"/>
              <w:bidi w:val="0"/>
              <w:spacing w:before="0" w:after="283"/>
              <w:ind w:left="0" w:right="0" w:hanging="216"/>
              <w:jc w:val="left"/>
              <w:rPr/>
            </w:pPr>
            <w:r>
              <w:rPr/>
              <w:t>)</w:t>
            </w:r>
          </w:p>
        </w:tc>
      </w:tr>
      <w:tr>
        <w:trPr/>
        <w:tc>
          <w:tcPr>
            <w:tcW w:w="3875" w:type="dxa"/>
            <w:tcBorders/>
            <w:vAlign w:val="center"/>
          </w:tcPr>
          <w:p>
            <w:pPr>
              <w:pStyle w:val="TableContents"/>
              <w:bidi w:val="0"/>
              <w:spacing w:before="0" w:after="283"/>
              <w:jc w:val="left"/>
              <w:rPr/>
            </w:pPr>
            <w:r>
              <w:rPr/>
              <w:t>Net change in cash and cash equivalents</w:t>
            </w:r>
          </w:p>
        </w:tc>
        <w:tc>
          <w:tcPr>
            <w:tcW w:w="90" w:type="dxa"/>
            <w:tcBorders/>
            <w:vAlign w:val="center"/>
          </w:tcPr>
          <w:p>
            <w:pPr>
              <w:pStyle w:val="TableContents"/>
              <w:bidi w:val="0"/>
              <w:spacing w:before="0" w:after="283"/>
              <w:jc w:val="left"/>
              <w:rPr/>
            </w:pPr>
            <w:r>
              <w:rPr/>
              <w:t> </w:t>
            </w:r>
          </w:p>
        </w:tc>
        <w:tc>
          <w:tcPr>
            <w:tcW w:w="300" w:type="dxa"/>
            <w:tcBorders>
              <w:bottom w:val="double" w:sz="6" w:space="0" w:color="000000"/>
            </w:tcBorders>
            <w:tcMar>
              <w:bottom w:w="28" w:type="dxa"/>
            </w:tcMar>
            <w:vAlign w:val="center"/>
          </w:tcPr>
          <w:p>
            <w:pPr>
              <w:pStyle w:val="TableContents"/>
              <w:bidi w:val="0"/>
              <w:spacing w:before="0" w:after="283"/>
              <w:jc w:val="left"/>
              <w:rPr/>
            </w:pPr>
            <w:r>
              <w:rPr/>
              <w:t>$</w:t>
            </w:r>
          </w:p>
        </w:tc>
        <w:tc>
          <w:tcPr>
            <w:tcW w:w="1386" w:type="dxa"/>
            <w:tcBorders>
              <w:bottom w:val="double" w:sz="6" w:space="0" w:color="000000"/>
            </w:tcBorders>
            <w:tcMar>
              <w:bottom w:w="28" w:type="dxa"/>
            </w:tcMar>
            <w:vAlign w:val="center"/>
          </w:tcPr>
          <w:p>
            <w:pPr>
              <w:pStyle w:val="TableContents"/>
              <w:bidi w:val="0"/>
              <w:spacing w:before="0" w:after="283"/>
              <w:jc w:val="right"/>
              <w:rPr/>
            </w:pPr>
            <w:r>
              <w:rPr/>
              <w:t>(26,277</w:t>
            </w:r>
          </w:p>
        </w:tc>
        <w:tc>
          <w:tcPr>
            <w:tcW w:w="220"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 </w:t>
            </w:r>
          </w:p>
        </w:tc>
        <w:tc>
          <w:tcPr>
            <w:tcW w:w="300" w:type="dxa"/>
            <w:tcBorders>
              <w:bottom w:val="double" w:sz="6" w:space="0" w:color="000000"/>
            </w:tcBorders>
            <w:tcMar>
              <w:bottom w:w="28" w:type="dxa"/>
            </w:tcMar>
            <w:vAlign w:val="center"/>
          </w:tcPr>
          <w:p>
            <w:pPr>
              <w:pStyle w:val="TableContents"/>
              <w:bidi w:val="0"/>
              <w:spacing w:before="0" w:after="283"/>
              <w:jc w:val="left"/>
              <w:rPr/>
            </w:pPr>
            <w:r>
              <w:rPr/>
              <w:t>$</w:t>
            </w:r>
          </w:p>
        </w:tc>
        <w:tc>
          <w:tcPr>
            <w:tcW w:w="1253" w:type="dxa"/>
            <w:tcBorders>
              <w:bottom w:val="double" w:sz="6" w:space="0" w:color="000000"/>
            </w:tcBorders>
            <w:tcMar>
              <w:bottom w:w="28" w:type="dxa"/>
            </w:tcMar>
            <w:vAlign w:val="center"/>
          </w:tcPr>
          <w:p>
            <w:pPr>
              <w:pStyle w:val="TableContents"/>
              <w:bidi w:val="0"/>
              <w:spacing w:before="0" w:after="283"/>
              <w:jc w:val="right"/>
              <w:rPr/>
            </w:pPr>
            <w:r>
              <w:rPr/>
              <w:t>18,494</w:t>
            </w:r>
          </w:p>
        </w:tc>
        <w:tc>
          <w:tcPr>
            <w:tcW w:w="170" w:type="dxa"/>
            <w:tcBorders/>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net cash used by operating activities totaled $28,511 compared to net cash provided of $16,780 a year ago. This change was primarily driven by lower levels of premium collections in the current year, partially offset by lower levels of loss and loss adjustment payments in the current year.</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net cash provided by investing activities totaled $3,621 compared to $5,327 a year ago. The net cash provided in the current year was driven by cash inflows from net sales of equity and fixed income securities. The net cash provided in the prior year was attributable to the proceeds from the sale of Westminster and Westminster’s net cash provided by investing activities, partially offset by cash outflows for net purchases of fixed income securities.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net cash used by financing activities totaled $1,387 compared to $3,613 a year ago. The net cash used in the current year was driven by cash outflows for share repurchases. The net cash used in the prior year was attributable to pooling payments, partially offset by Westminster’s net cash provided by financing activities.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holding company, a principal source of long-term liquidity will be dividend payments from our directly-owned subsidiaries.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investment gains), less any prior dividends paid during such twelve-month period. In addition, any insurance company other than a life insurance company may carry forward net income from the preceding two calendar years, not including realized investment gains, less any dividends actually paid during those two calendar years. Dividends in excess of this amount are considered “extraordinary” and are subject to the approval of the North Dakota Insurance Department.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available for payment of dividends from Nodak Insurance to NI Holdings during 2025 without the prior approval of the North Dakota Insurance Department is approximately $8,273 as of December 31, 2024. No dividends were declared or paid by Nodak Insurance during the nine months ended September 30, 2025, or the year ended December 31, 2024.</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available for payment of dividends from Direct Auto to NI Holdings during 2025 without the prior approval of the North Dakota Insurance Department is approximately $3,146 as of December 31, 2024. No dividends were declared or paid by Direct Auto during the nine months ended September 30, 2025, or the year ended December 31, 2024.</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payment of any dividend, we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Westminster was sold on June 30, 2024, and therefore no dividends are available to be paid to NI Holdings subsequent to that date. No dividends were declared or paid by Westminster during the year ended December 31, 2024. See Part I, Item 1, Note 19 “Discontinued Operations” of this Form 10-Q for additional information.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13" w:name="a_020"/>
      <w:bookmarkEnd w:id="13"/>
      <w:r>
        <w:rPr>
          <w:rFonts w:ascii="Times New Roman;Times;Serif" w:hAnsi="Times New Roman;Times;Serif"/>
          <w:b/>
          <w:i w:val="false"/>
          <w:caps w:val="false"/>
          <w:smallCaps w:val="false"/>
          <w:sz w:val="20"/>
        </w:rPr>
        <w:t>Item 3. - Quantitative and Qualitative Disclosures about Market Risk</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assessment of market risk as of September 30, 2025, indicates there have been no material changes in the quantitative and qualitative disclosures from those in Part II, Item 7A, “Quantitative and Qualitative Disclosures About Market Risk” in our 2024 Annual Report.</w:t>
      </w:r>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14" w:name="a_021"/>
      <w:bookmarkEnd w:id="14"/>
      <w:r>
        <w:rPr>
          <w:rFonts w:ascii="Times New Roman;Times;Serif" w:hAnsi="Times New Roman;Times;Serif"/>
          <w:b/>
          <w:i w:val="false"/>
          <w:caps w:val="false"/>
          <w:smallCaps w:val="false"/>
          <w:sz w:val="20"/>
        </w:rPr>
        <w:t>Item 4. - Controls and Procedures</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and Chief Financial Officer have reviewed and evaluated the effectiveness of the Company’s disclosure controls and procedures (as required by Rules 13a-15(b) and 15d-15(b) under the Exchange Act) as of the end of the period covered by this report. Based on that evaluation, the Chief Executive Officer and Chief Financial Officer have concluded that the Company’s disclosure controls and procedures, as of the end of the period covered by this report, were designed and functioning effectively to provide reasonable assurance that the information required to be disclosed in our periodic reports filed under the Exchange Act is recorded, processed, summarized, and reported within the time periods specified in the rules and forms of the Securities and Exchange Commission (“SEC”), and that such material information is accumulated and communicated to the Chief Executive Officer and Chief Financial Officer to allow timely decisions regarding required disclosures.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we periodically review our system of internal control over financial reporting to identify opportunities to improve our controls and increase efficiency, while ensuring that we maintain an effective internal control environment. There have not been any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0" w:hanging="0"/>
        <w:jc w:val="center"/>
        <w:rPr>
          <w:rFonts w:ascii="Times New Roman;Times;Serif" w:hAnsi="Times New Roman;Times;Serif"/>
          <w:b/>
          <w:i w:val="false"/>
          <w:caps/>
          <w:sz w:val="20"/>
        </w:rPr>
      </w:pPr>
      <w:bookmarkStart w:id="15" w:name="a_010"/>
      <w:bookmarkEnd w:id="15"/>
      <w:r>
        <w:rPr>
          <w:rFonts w:ascii="Times New Roman;Times;Serif" w:hAnsi="Times New Roman;Times;Serif"/>
          <w:b/>
          <w:i w:val="false"/>
          <w:caps/>
          <w:sz w:val="20"/>
        </w:rPr>
        <w:t>Part II. -</w:t>
        <w:br/>
        <w:t>OTHER INFORMATION</w:t>
      </w:r>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16" w:name="a_011"/>
      <w:bookmarkEnd w:id="16"/>
      <w:r>
        <w:rPr>
          <w:rFonts w:ascii="Times New Roman;Times;Serif" w:hAnsi="Times New Roman;Times;Serif"/>
          <w:b/>
          <w:i w:val="false"/>
          <w:caps w:val="false"/>
          <w:smallCaps w:val="false"/>
          <w:sz w:val="20"/>
        </w:rPr>
        <w:t>Item 1. - Legal Proceedings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litigation in the normal course of business. Based upon information presently available to us, we do not consider any litigation to be material. However, given the inherent uncertainties of litigation, we cannot assure you that our results of operations and financial condition will not be materially adversely affected by any litigation.</w:t>
      </w:r>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17" w:name="a_012"/>
      <w:bookmarkEnd w:id="17"/>
      <w:r>
        <w:rPr>
          <w:rFonts w:ascii="Times New Roman;Times;Serif" w:hAnsi="Times New Roman;Times;Serif"/>
          <w:b/>
          <w:i w:val="false"/>
          <w:caps w:val="false"/>
          <w:smallCaps w:val="false"/>
          <w:sz w:val="20"/>
        </w:rPr>
        <w:t>Item 1A. - Risk Factors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in our assessment of our risk factors from those set forth in Part I, Item 1A, “Risk Factors” in our 2024 Annual Report, except as indicated below:</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decisions may not achieve their intended benefits, may be based on incomplete or inaccurate information, or may not be implemented in a timely manner, which could adversely affect our results of operations.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evaluate and adjust our business strategies in response to changes in market conditions, underwriting results, competitive dynamics, regulatory developments, and other factors. For example, we recently determined to cease writing new policies and non-renew existing policies in our Non-Standard Auto segment. Strategic decisions such as these are based on information, estimates, and assumptions available to us at the time they are made. However, such information may prove to be inaccurate or incomplete, and the anticipated benefits of these actions, such as improved underwriting performance, reduced volatility, or more efficient capital allocation, may not be realized as expected, or at all.</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can be significant timing and execution risks associated with strategic changes. Our decision-making and implementation processes may take longer than anticipated, or we may not identify needed changes on a timely basis. While we evaluate and execute strategic adjustments, our business operations may experience disruption, our relationships with agents, policyholders, or reinsurers may be adversely affected, and our overall financial results may be negatively impacted. Furthermore, no longer writing a line of business may result in short-term declines in premium volume, increased expense ratios, or other unforeseen consequences that could negatively impact our results of operations and financial condition.</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Trade policies, including tariffs, could adversely impact our financial condition and operating results.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reserves to cover estimated unpaid losses and expenses necessary to settle claims. The reserves for losses and loss adjustment expenses that we have established are estimates of amounts needed to pay reported and unreported claims and related expenses, based on facts and circumstances known to us at the time we established the reserves. Reserves are actuarially projected based on historical claims information, industry statistics, anticipated trends, and other factors. Changes in U.S. trade policy, including recently announced tariffs, could have a material adverse impact on our business, financial condition, and results of operations. The imposition of new tariffs or increases in existing tariffs on goods imported from other countries could result in increased costs for raw materials, components, or finished goods and adversely impact loss severity. In addition, tariffs or other trade restrictions may lead to continuing uncertainty and volatility in U.S. and global financial and economic conditions and commodity markets, declining consumer confidence, significant inflation, and diminished expectations for the economy. Such conditions could have a material adverse impact on our business, results of operations and cash flows. We are unable to predict the ultimate result and duration of any tariff actions by the U.S. government or countermeasures that may be taken by other nations.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18" w:name="a_013"/>
      <w:bookmarkEnd w:id="18"/>
      <w:r>
        <w:rPr>
          <w:rFonts w:ascii="Times New Roman;Times;Serif" w:hAnsi="Times New Roman;Times;Serif"/>
          <w:b/>
          <w:i w:val="false"/>
          <w:caps w:val="false"/>
          <w:smallCaps w:val="false"/>
          <w:sz w:val="20"/>
        </w:rPr>
        <w:t>Item 2. - Unregistered Sales of Equity Securities and Use of Proceeds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dollar amounts included in Item 2 herein, except per share data, are in thousands.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sold any unregistered securities within the past three years.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repurchase its own stock.</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2022, our Board of Directors approved an authorization for the repurchase of up to approximately $10,000 of the Company’s outstanding common stock. During the year ended December 31, 2022, we completed the repurchase of 54,223 shares of our common stock for $734 under this authorization. During the year ended December 31, 2023, we repurchased an additional 548,549 shares of our common stock for $7,278, including the effect from applicable excise taxes. During the year ended December 31, 2024, we did not repurchase any shares of our common stock. During the nine months ended September 30, 2025, we completed the repurchase of 87,199 shares of our common stock for $1,156, including the effect from applicable excise taxes.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2025, our Board of Directors approved an authorization for the repurchase of up to approximately $5,000 of the Company’s outstanding common stock in addition to the $900 remaining from the May 9, 2022, repurchase authorization as of September 30, 2025. No shares were repurchased as part of the August 25, 2025, authorization during the nine months ended September 30, 2025.</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repurchase activity during the three months ended September 30, 2025, is presented below:</w:t>
      </w:r>
    </w:p>
    <w:tbl>
      <w:tblPr>
        <w:tblW w:w="9352" w:type="dxa"/>
        <w:jc w:val="left"/>
        <w:tblInd w:w="0" w:type="dxa"/>
        <w:tblLayout w:type="fixed"/>
        <w:tblCellMar>
          <w:top w:w="0" w:type="dxa"/>
          <w:left w:w="0" w:type="dxa"/>
          <w:bottom w:w="28" w:type="dxa"/>
          <w:right w:w="0" w:type="dxa"/>
        </w:tblCellMar>
      </w:tblPr>
      <w:tblGrid>
        <w:gridCol w:w="2165"/>
        <w:gridCol w:w="90"/>
        <w:gridCol w:w="184"/>
        <w:gridCol w:w="1456"/>
        <w:gridCol w:w="90"/>
        <w:gridCol w:w="90"/>
        <w:gridCol w:w="272"/>
        <w:gridCol w:w="947"/>
        <w:gridCol w:w="90"/>
        <w:gridCol w:w="90"/>
        <w:gridCol w:w="174"/>
        <w:gridCol w:w="1390"/>
        <w:gridCol w:w="90"/>
        <w:gridCol w:w="90"/>
        <w:gridCol w:w="446"/>
        <w:gridCol w:w="1553"/>
        <w:gridCol w:w="135"/>
      </w:tblGrid>
      <w:tr>
        <w:trPr/>
        <w:tc>
          <w:tcPr>
            <w:tcW w:w="2165" w:type="dxa"/>
            <w:tcBorders>
              <w:bottom w:val="single" w:sz="8" w:space="0" w:color="000000"/>
            </w:tcBorders>
            <w:vAlign w:val="center"/>
          </w:tcPr>
          <w:p>
            <w:pPr>
              <w:pStyle w:val="TableContents"/>
              <w:bidi w:val="0"/>
              <w:spacing w:before="0" w:after="283"/>
              <w:jc w:val="center"/>
              <w:rPr/>
            </w:pPr>
            <w:r>
              <w:rPr/>
              <w:t>Period in 2025</w:t>
            </w:r>
          </w:p>
        </w:tc>
        <w:tc>
          <w:tcPr>
            <w:tcW w:w="90" w:type="dxa"/>
            <w:tcBorders/>
            <w:tcMar>
              <w:bottom w:w="0" w:type="dxa"/>
            </w:tcMar>
            <w:vAlign w:val="center"/>
          </w:tcPr>
          <w:p>
            <w:pPr>
              <w:pStyle w:val="TableContents"/>
              <w:bidi w:val="0"/>
              <w:spacing w:before="0" w:after="283"/>
              <w:jc w:val="left"/>
              <w:rPr/>
            </w:pPr>
            <w:r>
              <w:rPr/>
              <w:t> </w:t>
            </w:r>
          </w:p>
        </w:tc>
        <w:tc>
          <w:tcPr>
            <w:tcW w:w="1640" w:type="dxa"/>
            <w:gridSpan w:val="2"/>
            <w:tcBorders>
              <w:bottom w:val="single" w:sz="8" w:space="0" w:color="000000"/>
            </w:tcBorders>
            <w:vAlign w:val="center"/>
          </w:tcPr>
          <w:p>
            <w:pPr>
              <w:pStyle w:val="TableContents"/>
              <w:bidi w:val="0"/>
              <w:spacing w:before="0" w:after="283"/>
              <w:jc w:val="center"/>
              <w:rPr/>
            </w:pPr>
            <w:r>
              <w:rPr/>
              <w:t>Total Number of</w:t>
              <w:br/>
              <w:t>Shares</w:t>
              <w:br/>
              <w:t>Purchased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19" w:type="dxa"/>
            <w:gridSpan w:val="2"/>
            <w:tcBorders>
              <w:bottom w:val="single" w:sz="8" w:space="0" w:color="000000"/>
            </w:tcBorders>
            <w:vAlign w:val="center"/>
          </w:tcPr>
          <w:p>
            <w:pPr>
              <w:pStyle w:val="TableContents"/>
              <w:bidi w:val="0"/>
              <w:spacing w:before="0" w:after="283"/>
              <w:jc w:val="center"/>
              <w:rPr>
                <w:sz w:val="20"/>
              </w:rPr>
            </w:pPr>
            <w:r>
              <w:rPr>
                <w:sz w:val="20"/>
              </w:rPr>
              <w:t xml:space="preserve">Average Price </w:t>
              <w:br/>
              <w:t xml:space="preserve">Paid </w:t>
              <w:br/>
              <w:t xml:space="preserve">Per Share </w:t>
            </w:r>
            <w:r>
              <w:rPr>
                <w:position w:val="7"/>
                <w:sz w:val="16"/>
                <w:sz w:val="20"/>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64" w:type="dxa"/>
            <w:gridSpan w:val="2"/>
            <w:tcBorders>
              <w:bottom w:val="single" w:sz="8" w:space="0" w:color="000000"/>
            </w:tcBorders>
            <w:vAlign w:val="center"/>
          </w:tcPr>
          <w:p>
            <w:pPr>
              <w:pStyle w:val="TableContents"/>
              <w:bidi w:val="0"/>
              <w:spacing w:before="0" w:after="283"/>
              <w:jc w:val="center"/>
              <w:rPr>
                <w:sz w:val="20"/>
              </w:rPr>
            </w:pPr>
            <w:r>
              <w:rPr>
                <w:sz w:val="20"/>
              </w:rPr>
              <w:t xml:space="preserve">Total Number of </w:t>
              <w:br/>
              <w:t xml:space="preserve">Shares Purchased </w:t>
              <w:br/>
              <w:t xml:space="preserve">as Part of Publicly </w:t>
              <w:br/>
              <w:t xml:space="preserve">Announced Plans </w:t>
              <w:br/>
              <w:t xml:space="preserve">or Programs </w:t>
            </w:r>
            <w:r>
              <w:rPr>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99" w:type="dxa"/>
            <w:gridSpan w:val="2"/>
            <w:tcBorders>
              <w:bottom w:val="single" w:sz="8" w:space="0" w:color="000000"/>
            </w:tcBorders>
            <w:vAlign w:val="center"/>
          </w:tcPr>
          <w:p>
            <w:pPr>
              <w:pStyle w:val="TableContents"/>
              <w:bidi w:val="0"/>
              <w:spacing w:before="0" w:after="283"/>
              <w:jc w:val="center"/>
              <w:rPr>
                <w:sz w:val="20"/>
              </w:rPr>
            </w:pPr>
            <w:r>
              <w:rPr>
                <w:sz w:val="20"/>
              </w:rPr>
              <w:t>Maximum Approximate</w:t>
              <w:br/>
              <w:t>Dollar Value of Shares</w:t>
              <w:br/>
              <w:t xml:space="preserve">That May Yet Be </w:t>
              <w:br/>
              <w:t xml:space="preserve">Purchased Under the </w:t>
              <w:br/>
              <w:t xml:space="preserve">Plans or Programs </w:t>
            </w:r>
            <w:r>
              <w:rPr>
                <w:position w:val="7"/>
                <w:sz w:val="16"/>
                <w:sz w:val="20"/>
              </w:rPr>
              <w:t>(2)</w:t>
            </w:r>
            <w:r>
              <w:rPr>
                <w:sz w:val="20"/>
              </w:rPr>
              <w:br/>
              <w:t>(in thousands)</w:t>
            </w:r>
          </w:p>
        </w:tc>
        <w:tc>
          <w:tcPr>
            <w:tcW w:w="135" w:type="dxa"/>
            <w:tcBorders/>
            <w:tcMar>
              <w:bottom w:w="0" w:type="dxa"/>
            </w:tcM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283"/>
              <w:jc w:val="left"/>
              <w:rPr/>
            </w:pPr>
            <w:r>
              <w:rPr/>
              <w:t>July 1-31,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1456" w:type="dxa"/>
            <w:tcBorders/>
            <w:shd w:fill="CCEEFF" w:val="clear"/>
            <w:tcMar>
              <w:bottom w:w="0" w:type="dxa"/>
            </w:tcMar>
            <w:vAlign w:val="center"/>
          </w:tcPr>
          <w:p>
            <w:pPr>
              <w:pStyle w:val="TableContents"/>
              <w:bidi w:val="0"/>
              <w:spacing w:before="0" w:after="283"/>
              <w:jc w:val="right"/>
              <w:rPr/>
            </w:pPr>
            <w:r>
              <w:rPr/>
              <w:t>38,021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2" w:type="dxa"/>
            <w:tcBorders/>
            <w:shd w:fill="CCEEFF" w:val="clear"/>
            <w:tcMar>
              <w:bottom w:w="0" w:type="dxa"/>
            </w:tcMar>
            <w:vAlign w:val="center"/>
          </w:tcPr>
          <w:p>
            <w:pPr>
              <w:pStyle w:val="TableContents"/>
              <w:bidi w:val="0"/>
              <w:spacing w:before="0" w:after="283"/>
              <w:jc w:val="left"/>
              <w:rPr/>
            </w:pPr>
            <w:r>
              <w:rPr/>
              <w:t>$</w:t>
            </w:r>
          </w:p>
        </w:tc>
        <w:tc>
          <w:tcPr>
            <w:tcW w:w="947" w:type="dxa"/>
            <w:tcBorders/>
            <w:shd w:fill="CCEEFF" w:val="clear"/>
            <w:tcMar>
              <w:bottom w:w="0" w:type="dxa"/>
            </w:tcMar>
            <w:vAlign w:val="center"/>
          </w:tcPr>
          <w:p>
            <w:pPr>
              <w:pStyle w:val="TableContents"/>
              <w:bidi w:val="0"/>
              <w:spacing w:before="0" w:after="283"/>
              <w:jc w:val="right"/>
              <w:rPr/>
            </w:pPr>
            <w:r>
              <w:rPr/>
              <w:t>13.18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390" w:type="dxa"/>
            <w:tcBorders/>
            <w:shd w:fill="CCEEFF" w:val="clear"/>
            <w:tcMar>
              <w:bottom w:w="0" w:type="dxa"/>
            </w:tcMar>
            <w:vAlign w:val="center"/>
          </w:tcPr>
          <w:p>
            <w:pPr>
              <w:pStyle w:val="TableContents"/>
              <w:bidi w:val="0"/>
              <w:spacing w:before="0" w:after="283"/>
              <w:jc w:val="right"/>
              <w:rPr/>
            </w:pPr>
            <w:r>
              <w:rPr/>
              <w:t>38,021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46" w:type="dxa"/>
            <w:tcBorders/>
            <w:shd w:fill="CCEEFF" w:val="clear"/>
            <w:tcMar>
              <w:bottom w:w="0" w:type="dxa"/>
            </w:tcMar>
            <w:vAlign w:val="center"/>
          </w:tcPr>
          <w:p>
            <w:pPr>
              <w:pStyle w:val="TableContents"/>
              <w:bidi w:val="0"/>
              <w:spacing w:before="0" w:after="283"/>
              <w:jc w:val="left"/>
              <w:rPr/>
            </w:pPr>
            <w:r>
              <w:rPr/>
              <w:t>$</w:t>
            </w:r>
          </w:p>
        </w:tc>
        <w:tc>
          <w:tcPr>
            <w:tcW w:w="1553" w:type="dxa"/>
            <w:tcBorders/>
            <w:shd w:fill="CCEEFF" w:val="clear"/>
            <w:tcMar>
              <w:bottom w:w="0" w:type="dxa"/>
            </w:tcMar>
            <w:vAlign w:val="center"/>
          </w:tcPr>
          <w:p>
            <w:pPr>
              <w:pStyle w:val="TableContents"/>
              <w:bidi w:val="0"/>
              <w:spacing w:before="0" w:after="283"/>
              <w:jc w:val="right"/>
              <w:rPr/>
            </w:pPr>
            <w:r>
              <w:rPr/>
              <w:t>1,551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August 1-31, 2025</w:t>
            </w:r>
          </w:p>
        </w:tc>
        <w:tc>
          <w:tcPr>
            <w:tcW w:w="90" w:type="dxa"/>
            <w:tcBorders/>
            <w:tcMar>
              <w:bottom w:w="0" w:type="dxa"/>
            </w:tcMar>
            <w:vAlign w:val="center"/>
          </w:tcPr>
          <w:p>
            <w:pPr>
              <w:pStyle w:val="TableContents"/>
              <w:bidi w:val="0"/>
              <w:spacing w:before="0" w:after="283"/>
              <w:jc w:val="left"/>
              <w:rPr/>
            </w:pPr>
            <w:r>
              <w:rPr/>
              <w:t> </w:t>
            </w:r>
          </w:p>
        </w:tc>
        <w:tc>
          <w:tcPr>
            <w:tcW w:w="184" w:type="dxa"/>
            <w:tcBorders/>
            <w:tcMar>
              <w:bottom w:w="0" w:type="dxa"/>
            </w:tcMar>
            <w:vAlign w:val="center"/>
          </w:tcPr>
          <w:p>
            <w:pPr>
              <w:pStyle w:val="TableContents"/>
              <w:bidi w:val="0"/>
              <w:spacing w:before="0" w:after="283"/>
              <w:jc w:val="left"/>
              <w:rPr/>
            </w:pPr>
            <w:r>
              <w:rPr/>
              <w:t> </w:t>
            </w:r>
          </w:p>
        </w:tc>
        <w:tc>
          <w:tcPr>
            <w:tcW w:w="1456" w:type="dxa"/>
            <w:tcBorders/>
            <w:tcMar>
              <w:bottom w:w="0" w:type="dxa"/>
            </w:tcMar>
            <w:vAlign w:val="center"/>
          </w:tcPr>
          <w:p>
            <w:pPr>
              <w:pStyle w:val="TableContents"/>
              <w:bidi w:val="0"/>
              <w:spacing w:before="0" w:after="283"/>
              <w:jc w:val="right"/>
              <w:rPr/>
            </w:pPr>
            <w:r>
              <w:rPr/>
              <w:t>28,091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72" w:type="dxa"/>
            <w:tcBorders/>
            <w:tcMar>
              <w:bottom w:w="0" w:type="dxa"/>
            </w:tcMar>
            <w:vAlign w:val="center"/>
          </w:tcPr>
          <w:p>
            <w:pPr>
              <w:pStyle w:val="TableContents"/>
              <w:bidi w:val="0"/>
              <w:spacing w:before="0" w:after="283"/>
              <w:jc w:val="left"/>
              <w:rPr/>
            </w:pPr>
            <w:r>
              <w:rPr/>
              <w:t> </w:t>
            </w:r>
          </w:p>
        </w:tc>
        <w:tc>
          <w:tcPr>
            <w:tcW w:w="947" w:type="dxa"/>
            <w:tcBorders/>
            <w:tcMar>
              <w:bottom w:w="0" w:type="dxa"/>
            </w:tcMar>
            <w:vAlign w:val="center"/>
          </w:tcPr>
          <w:p>
            <w:pPr>
              <w:pStyle w:val="TableContents"/>
              <w:bidi w:val="0"/>
              <w:spacing w:before="0" w:after="283"/>
              <w:jc w:val="right"/>
              <w:rPr/>
            </w:pPr>
            <w:r>
              <w:rPr/>
              <w:t>12.88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4"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right"/>
              <w:rPr/>
            </w:pPr>
            <w:r>
              <w:rPr/>
              <w:t>28,091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46" w:type="dxa"/>
            <w:tcBorders/>
            <w:tcMar>
              <w:bottom w:w="0" w:type="dxa"/>
            </w:tcMar>
            <w:vAlign w:val="center"/>
          </w:tcPr>
          <w:p>
            <w:pPr>
              <w:pStyle w:val="TableContents"/>
              <w:bidi w:val="0"/>
              <w:spacing w:before="0" w:after="283"/>
              <w:jc w:val="left"/>
              <w:rPr/>
            </w:pPr>
            <w:r>
              <w:rPr/>
              <w:t> </w:t>
            </w:r>
          </w:p>
        </w:tc>
        <w:tc>
          <w:tcPr>
            <w:tcW w:w="1553" w:type="dxa"/>
            <w:tcBorders/>
            <w:tcMar>
              <w:bottom w:w="0" w:type="dxa"/>
            </w:tcMar>
            <w:vAlign w:val="center"/>
          </w:tcPr>
          <w:p>
            <w:pPr>
              <w:pStyle w:val="TableContents"/>
              <w:bidi w:val="0"/>
              <w:spacing w:before="0" w:after="283"/>
              <w:jc w:val="right"/>
              <w:rPr/>
            </w:pPr>
            <w:r>
              <w:rPr/>
              <w:t>6,189</w:t>
            </w:r>
          </w:p>
        </w:tc>
        <w:tc>
          <w:tcPr>
            <w:tcW w:w="135" w:type="dxa"/>
            <w:tcBorders/>
            <w:tcMar>
              <w:bottom w:w="0" w:type="dxa"/>
            </w:tcM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283"/>
              <w:jc w:val="left"/>
              <w:rPr/>
            </w:pPr>
            <w:r>
              <w:rPr/>
              <w:t>September 1-30,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bottom w:val="single" w:sz="8" w:space="0" w:color="000000"/>
            </w:tcBorders>
            <w:shd w:fill="CCEEFF" w:val="clear"/>
            <w:vAlign w:val="center"/>
          </w:tcPr>
          <w:p>
            <w:pPr>
              <w:pStyle w:val="TableContents"/>
              <w:bidi w:val="0"/>
              <w:spacing w:before="0" w:after="283"/>
              <w:jc w:val="left"/>
              <w:rPr/>
            </w:pPr>
            <w:r>
              <w:rPr/>
              <w:t> </w:t>
            </w:r>
          </w:p>
        </w:tc>
        <w:tc>
          <w:tcPr>
            <w:tcW w:w="1456" w:type="dxa"/>
            <w:tcBorders>
              <w:bottom w:val="single" w:sz="8" w:space="0" w:color="000000"/>
            </w:tcBorders>
            <w:shd w:fill="CCEEFF" w:val="clear"/>
            <w:vAlign w:val="center"/>
          </w:tcPr>
          <w:p>
            <w:pPr>
              <w:pStyle w:val="TableContents"/>
              <w:bidi w:val="0"/>
              <w:spacing w:before="0" w:after="283"/>
              <w:jc w:val="right"/>
              <w:rPr/>
            </w:pPr>
            <w:r>
              <w:rPr/>
              <w:t>21,087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2" w:type="dxa"/>
            <w:tcBorders>
              <w:bottom w:val="single" w:sz="8" w:space="0" w:color="000000"/>
            </w:tcBorders>
            <w:shd w:fill="CCEEFF" w:val="clear"/>
            <w:vAlign w:val="center"/>
          </w:tcPr>
          <w:p>
            <w:pPr>
              <w:pStyle w:val="TableContents"/>
              <w:bidi w:val="0"/>
              <w:spacing w:before="0" w:after="283"/>
              <w:jc w:val="left"/>
              <w:rPr/>
            </w:pPr>
            <w:r>
              <w:rPr/>
              <w:t> </w:t>
            </w:r>
          </w:p>
        </w:tc>
        <w:tc>
          <w:tcPr>
            <w:tcW w:w="947" w:type="dxa"/>
            <w:tcBorders>
              <w:bottom w:val="single" w:sz="8" w:space="0" w:color="000000"/>
            </w:tcBorders>
            <w:shd w:fill="CCEEFF" w:val="clear"/>
            <w:vAlign w:val="center"/>
          </w:tcPr>
          <w:p>
            <w:pPr>
              <w:pStyle w:val="TableContents"/>
              <w:bidi w:val="0"/>
              <w:spacing w:before="0" w:after="283"/>
              <w:jc w:val="right"/>
              <w:rPr/>
            </w:pPr>
            <w:r>
              <w:rPr/>
              <w:t>13.63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CCEEFF" w:val="clear"/>
            <w:vAlign w:val="center"/>
          </w:tcPr>
          <w:p>
            <w:pPr>
              <w:pStyle w:val="TableContents"/>
              <w:bidi w:val="0"/>
              <w:spacing w:before="0" w:after="283"/>
              <w:jc w:val="left"/>
              <w:rPr/>
            </w:pPr>
            <w:r>
              <w:rPr/>
              <w:t> </w:t>
            </w:r>
          </w:p>
        </w:tc>
        <w:tc>
          <w:tcPr>
            <w:tcW w:w="1390" w:type="dxa"/>
            <w:tcBorders>
              <w:bottom w:val="single" w:sz="8" w:space="0" w:color="000000"/>
            </w:tcBorders>
            <w:shd w:fill="CCEEFF" w:val="clear"/>
            <w:vAlign w:val="center"/>
          </w:tcPr>
          <w:p>
            <w:pPr>
              <w:pStyle w:val="TableContents"/>
              <w:bidi w:val="0"/>
              <w:spacing w:before="0" w:after="283"/>
              <w:jc w:val="right"/>
              <w:rPr/>
            </w:pPr>
            <w:r>
              <w:rPr/>
              <w:t>21,087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46" w:type="dxa"/>
            <w:tcBorders>
              <w:bottom w:val="single" w:sz="8" w:space="0" w:color="000000"/>
            </w:tcBorders>
            <w:shd w:fill="CCEEFF" w:val="clear"/>
            <w:vAlign w:val="center"/>
          </w:tcPr>
          <w:p>
            <w:pPr>
              <w:pStyle w:val="TableContents"/>
              <w:bidi w:val="0"/>
              <w:spacing w:before="0" w:after="283"/>
              <w:jc w:val="left"/>
              <w:rPr/>
            </w:pPr>
            <w:r>
              <w:rPr/>
              <w:t> </w:t>
            </w:r>
          </w:p>
        </w:tc>
        <w:tc>
          <w:tcPr>
            <w:tcW w:w="1553" w:type="dxa"/>
            <w:tcBorders>
              <w:bottom w:val="single" w:sz="8" w:space="0" w:color="000000"/>
            </w:tcBorders>
            <w:shd w:fill="CCEEFF" w:val="clear"/>
            <w:vAlign w:val="center"/>
          </w:tcPr>
          <w:p>
            <w:pPr>
              <w:pStyle w:val="TableContents"/>
              <w:bidi w:val="0"/>
              <w:spacing w:before="0" w:after="283"/>
              <w:jc w:val="right"/>
              <w:rPr/>
            </w:pPr>
            <w:r>
              <w:rPr/>
              <w:t>5,900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Total</w:t>
            </w:r>
          </w:p>
        </w:tc>
        <w:tc>
          <w:tcPr>
            <w:tcW w:w="90" w:type="dxa"/>
            <w:tcBorders/>
            <w:tcMar>
              <w:bottom w:w="0" w:type="dxa"/>
            </w:tcMar>
            <w:vAlign w:val="center"/>
          </w:tcPr>
          <w:p>
            <w:pPr>
              <w:pStyle w:val="TableContents"/>
              <w:bidi w:val="0"/>
              <w:spacing w:before="0" w:after="283"/>
              <w:jc w:val="left"/>
              <w:rPr/>
            </w:pPr>
            <w:r>
              <w:rPr/>
              <w:t> </w:t>
            </w:r>
          </w:p>
        </w:tc>
        <w:tc>
          <w:tcPr>
            <w:tcW w:w="184" w:type="dxa"/>
            <w:tcBorders>
              <w:bottom w:val="double" w:sz="6" w:space="0" w:color="000000"/>
            </w:tcBorders>
            <w:vAlign w:val="center"/>
          </w:tcPr>
          <w:p>
            <w:pPr>
              <w:pStyle w:val="TableContents"/>
              <w:bidi w:val="0"/>
              <w:spacing w:before="0" w:after="283"/>
              <w:jc w:val="left"/>
              <w:rPr/>
            </w:pPr>
            <w:r>
              <w:rPr/>
              <w:t> </w:t>
            </w:r>
          </w:p>
        </w:tc>
        <w:tc>
          <w:tcPr>
            <w:tcW w:w="1456" w:type="dxa"/>
            <w:tcBorders>
              <w:bottom w:val="double" w:sz="6" w:space="0" w:color="000000"/>
            </w:tcBorders>
            <w:vAlign w:val="center"/>
          </w:tcPr>
          <w:p>
            <w:pPr>
              <w:pStyle w:val="TableContents"/>
              <w:bidi w:val="0"/>
              <w:spacing w:before="0" w:after="283"/>
              <w:jc w:val="right"/>
              <w:rPr/>
            </w:pPr>
            <w:r>
              <w:rPr/>
              <w:t>87,199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72" w:type="dxa"/>
            <w:tcBorders>
              <w:bottom w:val="double" w:sz="6" w:space="0" w:color="000000"/>
            </w:tcBorders>
            <w:vAlign w:val="center"/>
          </w:tcPr>
          <w:p>
            <w:pPr>
              <w:pStyle w:val="TableContents"/>
              <w:bidi w:val="0"/>
              <w:spacing w:before="0" w:after="283"/>
              <w:jc w:val="left"/>
              <w:rPr/>
            </w:pPr>
            <w:r>
              <w:rPr/>
              <w:t>$</w:t>
            </w:r>
          </w:p>
        </w:tc>
        <w:tc>
          <w:tcPr>
            <w:tcW w:w="947" w:type="dxa"/>
            <w:tcBorders>
              <w:bottom w:val="double" w:sz="6" w:space="0" w:color="000000"/>
            </w:tcBorders>
            <w:vAlign w:val="center"/>
          </w:tcPr>
          <w:p>
            <w:pPr>
              <w:pStyle w:val="TableContents"/>
              <w:bidi w:val="0"/>
              <w:spacing w:before="0" w:after="283"/>
              <w:jc w:val="right"/>
              <w:rPr/>
            </w:pPr>
            <w:r>
              <w:rPr/>
              <w:t>13.19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4" w:type="dxa"/>
            <w:tcBorders>
              <w:bottom w:val="double" w:sz="6" w:space="0" w:color="000000"/>
            </w:tcBorders>
            <w:vAlign w:val="center"/>
          </w:tcPr>
          <w:p>
            <w:pPr>
              <w:pStyle w:val="TableContents"/>
              <w:bidi w:val="0"/>
              <w:spacing w:before="0" w:after="283"/>
              <w:jc w:val="left"/>
              <w:rPr/>
            </w:pPr>
            <w:r>
              <w:rPr/>
              <w:t> </w:t>
            </w:r>
          </w:p>
        </w:tc>
        <w:tc>
          <w:tcPr>
            <w:tcW w:w="1390" w:type="dxa"/>
            <w:tcBorders>
              <w:bottom w:val="double" w:sz="6" w:space="0" w:color="000000"/>
            </w:tcBorders>
            <w:vAlign w:val="center"/>
          </w:tcPr>
          <w:p>
            <w:pPr>
              <w:pStyle w:val="TableContents"/>
              <w:bidi w:val="0"/>
              <w:spacing w:before="0" w:after="283"/>
              <w:jc w:val="right"/>
              <w:rPr/>
            </w:pPr>
            <w:r>
              <w:rPr/>
              <w:t>87,199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46" w:type="dxa"/>
            <w:tcBorders>
              <w:bottom w:val="double" w:sz="6" w:space="0" w:color="000000"/>
            </w:tcBorders>
            <w:vAlign w:val="center"/>
          </w:tcPr>
          <w:p>
            <w:pPr>
              <w:pStyle w:val="TableContents"/>
              <w:bidi w:val="0"/>
              <w:spacing w:before="0" w:after="283"/>
              <w:jc w:val="left"/>
              <w:rPr/>
            </w:pPr>
            <w:r>
              <w:rPr/>
              <w:t>$</w:t>
            </w:r>
          </w:p>
        </w:tc>
        <w:tc>
          <w:tcPr>
            <w:tcW w:w="1553" w:type="dxa"/>
            <w:tcBorders>
              <w:bottom w:val="double" w:sz="6" w:space="0" w:color="000000"/>
            </w:tcBorders>
            <w:vAlign w:val="center"/>
          </w:tcPr>
          <w:p>
            <w:pPr>
              <w:pStyle w:val="TableContents"/>
              <w:bidi w:val="0"/>
              <w:spacing w:before="0" w:after="283"/>
              <w:jc w:val="right"/>
              <w:rPr/>
            </w:pPr>
            <w:r>
              <w:rPr/>
              <w:t>5,900</w:t>
            </w:r>
          </w:p>
        </w:tc>
        <w:tc>
          <w:tcPr>
            <w:tcW w:w="135"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4" w:type="dxa"/>
            <w:tcBorders/>
            <w:tcMar>
              <w:bottom w:w="0" w:type="dxa"/>
            </w:tcMar>
            <w:vAlign w:val="center"/>
          </w:tcPr>
          <w:p>
            <w:pPr>
              <w:pStyle w:val="TableContents"/>
              <w:bidi w:val="0"/>
              <w:spacing w:before="0" w:after="283"/>
              <w:jc w:val="left"/>
              <w:rPr/>
            </w:pPr>
            <w:r>
              <w:rPr/>
              <w:t> </w:t>
            </w:r>
          </w:p>
        </w:tc>
        <w:tc>
          <w:tcPr>
            <w:tcW w:w="145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72" w:type="dxa"/>
            <w:tcBorders/>
            <w:tcMar>
              <w:bottom w:w="0" w:type="dxa"/>
            </w:tcMar>
            <w:vAlign w:val="center"/>
          </w:tcPr>
          <w:p>
            <w:pPr>
              <w:pStyle w:val="TableContents"/>
              <w:bidi w:val="0"/>
              <w:spacing w:before="0" w:after="283"/>
              <w:jc w:val="left"/>
              <w:rPr/>
            </w:pPr>
            <w:r>
              <w:rPr/>
              <w:t> </w:t>
            </w:r>
          </w:p>
        </w:tc>
        <w:tc>
          <w:tcPr>
            <w:tcW w:w="94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4"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46" w:type="dxa"/>
            <w:tcBorders/>
            <w:tcMar>
              <w:bottom w:w="0" w:type="dxa"/>
            </w:tcMar>
            <w:vAlign w:val="center"/>
          </w:tcPr>
          <w:p>
            <w:pPr>
              <w:pStyle w:val="TableContents"/>
              <w:bidi w:val="0"/>
              <w:spacing w:before="0" w:after="283"/>
              <w:jc w:val="left"/>
              <w:rPr/>
            </w:pPr>
            <w:r>
              <w:rPr/>
              <w:t> </w:t>
            </w:r>
          </w:p>
        </w:tc>
        <w:tc>
          <w:tcPr>
            <w:tcW w:w="1553"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67"/>
        <w:gridCol w:w="247"/>
        <w:gridCol w:w="9891"/>
      </w:tblGrid>
      <w:tr>
        <w:trPr/>
        <w:tc>
          <w:tcPr>
            <w:tcW w:w="6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osition w:val="8"/>
                <w:sz w:val="19"/>
              </w:rPr>
            </w:pPr>
            <w:r>
              <w:rPr>
                <w:position w:val="8"/>
                <w:sz w:val="19"/>
              </w:rPr>
              <w:t>(1)</w:t>
            </w:r>
          </w:p>
        </w:tc>
        <w:tc>
          <w:tcPr>
            <w:tcW w:w="9891" w:type="dxa"/>
            <w:tcBorders/>
            <w:vAlign w:val="center"/>
          </w:tcPr>
          <w:p>
            <w:pPr>
              <w:pStyle w:val="TableContents"/>
              <w:bidi w:val="0"/>
              <w:spacing w:before="0" w:after="283"/>
              <w:jc w:val="left"/>
              <w:rPr/>
            </w:pPr>
            <w:r>
              <w:rPr/>
              <w:t>Shares purchased pursuant to the May 9, 2022, publicly announced share repurchase authorization of up to approximately $10,000 of the Company’s outstanding common stock.</w:t>
            </w:r>
          </w:p>
        </w:tc>
      </w:tr>
    </w:tbl>
    <w:tbl>
      <w:tblPr>
        <w:tblW w:w="5000" w:type="pct"/>
        <w:jc w:val="left"/>
        <w:tblInd w:w="0" w:type="dxa"/>
        <w:tblLayout w:type="fixed"/>
        <w:tblCellMar>
          <w:top w:w="0" w:type="dxa"/>
          <w:left w:w="0" w:type="dxa"/>
          <w:bottom w:w="0" w:type="dxa"/>
          <w:right w:w="0" w:type="dxa"/>
        </w:tblCellMar>
      </w:tblPr>
      <w:tblGrid>
        <w:gridCol w:w="67"/>
        <w:gridCol w:w="234"/>
        <w:gridCol w:w="9904"/>
      </w:tblGrid>
      <w:tr>
        <w:trPr/>
        <w:tc>
          <w:tcPr>
            <w:tcW w:w="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osition w:val="8"/>
                <w:sz w:val="19"/>
              </w:rPr>
            </w:pPr>
            <w:r>
              <w:rPr>
                <w:position w:val="8"/>
                <w:sz w:val="19"/>
              </w:rPr>
              <w:t>(2)</w:t>
            </w:r>
          </w:p>
        </w:tc>
        <w:tc>
          <w:tcPr>
            <w:tcW w:w="9904" w:type="dxa"/>
            <w:tcBorders/>
            <w:vAlign w:val="center"/>
          </w:tcPr>
          <w:p>
            <w:pPr>
              <w:pStyle w:val="TableContents"/>
              <w:bidi w:val="0"/>
              <w:spacing w:before="0" w:after="283"/>
              <w:jc w:val="left"/>
              <w:rPr/>
            </w:pPr>
            <w:r>
              <w:rPr/>
              <w:t>Maximum dollar value of shares that may yet be purchased consist of up to approximately $900 under the May 9, 2022, publicly announced share repurchase authorization and up to approximately $5,000 under the August 25, 2025, publicly announced share repurchase authorization.</w:t>
            </w:r>
          </w:p>
        </w:tc>
      </w:tr>
    </w:tbl>
    <w:tbl>
      <w:tblPr>
        <w:tblW w:w="5000" w:type="pct"/>
        <w:jc w:val="left"/>
        <w:tblInd w:w="0" w:type="dxa"/>
        <w:tblLayout w:type="fixed"/>
        <w:tblCellMar>
          <w:top w:w="0" w:type="dxa"/>
          <w:left w:w="0" w:type="dxa"/>
          <w:bottom w:w="0" w:type="dxa"/>
          <w:right w:w="0" w:type="dxa"/>
        </w:tblCellMar>
      </w:tblPr>
      <w:tblGrid>
        <w:gridCol w:w="67"/>
        <w:gridCol w:w="242"/>
        <w:gridCol w:w="9896"/>
      </w:tblGrid>
      <w:tr>
        <w:trPr/>
        <w:tc>
          <w:tcPr>
            <w:tcW w:w="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osition w:val="8"/>
                <w:sz w:val="19"/>
              </w:rPr>
            </w:pPr>
            <w:r>
              <w:rPr>
                <w:position w:val="8"/>
                <w:sz w:val="19"/>
              </w:rPr>
              <w:t>(3)</w:t>
            </w:r>
          </w:p>
        </w:tc>
        <w:tc>
          <w:tcPr>
            <w:tcW w:w="9896" w:type="dxa"/>
            <w:tcBorders/>
            <w:vAlign w:val="center"/>
          </w:tcPr>
          <w:p>
            <w:pPr>
              <w:pStyle w:val="TableContents"/>
              <w:bidi w:val="0"/>
              <w:spacing w:before="0" w:after="283"/>
              <w:jc w:val="left"/>
              <w:rPr/>
            </w:pPr>
            <w:r>
              <w:rPr/>
              <w:t>The Inflation Reduction Act of 2022 imposed a 1% excise tax on the net value of certain share repurchases made after December 31, 2022. All dollar amounts presented exclude such excise taxes, as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19" w:name="a_014"/>
      <w:bookmarkEnd w:id="19"/>
      <w:r>
        <w:rPr>
          <w:rFonts w:ascii="Times New Roman;Times;Serif" w:hAnsi="Times New Roman;Times;Serif"/>
          <w:b/>
          <w:i w:val="false"/>
          <w:caps w:val="false"/>
          <w:smallCaps w:val="false"/>
          <w:sz w:val="20"/>
        </w:rPr>
        <w:t>Item 3. - Defaults upon Senior Securities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20" w:name="a_015"/>
      <w:bookmarkEnd w:id="20"/>
      <w:r>
        <w:rPr>
          <w:rFonts w:ascii="Times New Roman;Times;Serif" w:hAnsi="Times New Roman;Times;Serif"/>
          <w:b/>
          <w:i w:val="false"/>
          <w:caps w:val="false"/>
          <w:smallCaps w:val="false"/>
          <w:sz w:val="20"/>
        </w:rPr>
        <w:t>Item 4. - Mine Safety Disclosures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21" w:name="a_016"/>
      <w:bookmarkEnd w:id="21"/>
      <w:r>
        <w:rPr>
          <w:rFonts w:ascii="Times New Roman;Times;Serif" w:hAnsi="Times New Roman;Times;Serif"/>
          <w:b/>
          <w:i w:val="false"/>
          <w:caps w:val="false"/>
          <w:smallCaps w:val="false"/>
          <w:sz w:val="20"/>
        </w:rPr>
        <w:t>Item 5. - Other Information</w:t>
      </w:r>
    </w:p>
    <w:p>
      <w:pPr>
        <w:pStyle w:val="TextBody"/>
        <w:bidi w:val="0"/>
        <w:spacing w:before="0" w:after="20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10b5-1 Trading Plans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third quarter of 2025, none of our directors or executive officers (as defined in Rule 16a-1(f) under the Exchange Act) adopted or terminated any “Rule 10b5-1 trading arrangement” or “non-Rule 10b5-1 trading arrangement” (as each term is defined in Item 408(a) of Regulation S-K).</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22" w:name="a_017"/>
      <w:bookmarkEnd w:id="22"/>
      <w:r>
        <w:rPr>
          <w:rFonts w:ascii="Times New Roman;Times;Serif" w:hAnsi="Times New Roman;Times;Serif"/>
          <w:b/>
          <w:i w:val="false"/>
          <w:caps w:val="false"/>
          <w:smallCaps w:val="false"/>
          <w:sz w:val="20"/>
        </w:rPr>
        <w:t>Item 6. - Exhibits</w:t>
      </w:r>
    </w:p>
    <w:tbl>
      <w:tblPr>
        <w:tblW w:w="10205" w:type="dxa"/>
        <w:jc w:val="left"/>
        <w:tblInd w:w="0" w:type="dxa"/>
        <w:tblLayout w:type="fixed"/>
        <w:tblCellMar>
          <w:top w:w="0" w:type="dxa"/>
          <w:left w:w="0" w:type="dxa"/>
          <w:bottom w:w="0" w:type="dxa"/>
          <w:right w:w="0" w:type="dxa"/>
        </w:tblCellMar>
      </w:tblPr>
      <w:tblGrid>
        <w:gridCol w:w="1238"/>
        <w:gridCol w:w="8967"/>
      </w:tblGrid>
      <w:tr>
        <w:trPr/>
        <w:tc>
          <w:tcPr>
            <w:tcW w:w="1238" w:type="dxa"/>
            <w:tcBorders/>
            <w:vAlign w:val="center"/>
          </w:tcPr>
          <w:p>
            <w:pPr>
              <w:pStyle w:val="TableContents"/>
              <w:bidi w:val="0"/>
              <w:spacing w:before="0" w:after="283"/>
              <w:jc w:val="left"/>
              <w:rPr/>
            </w:pPr>
            <w:r>
              <w:rPr/>
              <w:t>EXHIBIT NO.</w:t>
            </w:r>
          </w:p>
        </w:tc>
        <w:tc>
          <w:tcPr>
            <w:tcW w:w="8967" w:type="dxa"/>
            <w:tcBorders/>
            <w:vAlign w:val="center"/>
          </w:tcPr>
          <w:p>
            <w:pPr>
              <w:pStyle w:val="TableContents"/>
              <w:bidi w:val="0"/>
              <w:spacing w:before="0" w:after="283"/>
              <w:jc w:val="left"/>
              <w:rPr/>
            </w:pPr>
            <w:r>
              <w:rPr/>
              <w:t>DESCRIPTION OF EXHIBIT</w:t>
            </w:r>
          </w:p>
        </w:tc>
      </w:tr>
      <w:tr>
        <w:trPr/>
        <w:tc>
          <w:tcPr>
            <w:tcW w:w="1238" w:type="dxa"/>
            <w:tcBorders/>
            <w:vAlign w:val="center"/>
          </w:tcPr>
          <w:p>
            <w:pPr>
              <w:pStyle w:val="TableContents"/>
              <w:bidi w:val="0"/>
              <w:spacing w:before="0" w:after="283"/>
              <w:jc w:val="left"/>
              <w:rPr/>
            </w:pPr>
            <w:r>
              <w:rPr/>
              <w:t>31.1*</w:t>
            </w:r>
          </w:p>
        </w:tc>
        <w:tc>
          <w:tcPr>
            <w:tcW w:w="8967" w:type="dxa"/>
            <w:tcBorders/>
            <w:vAlign w:val="center"/>
          </w:tcPr>
          <w:p>
            <w:pPr>
              <w:pStyle w:val="TableContents"/>
              <w:bidi w:val="0"/>
              <w:spacing w:before="0" w:after="283"/>
              <w:jc w:val="left"/>
              <w:rPr/>
            </w:pPr>
            <w:hyperlink w:anchor="ex31-1.htm">
              <w:r>
                <w:rPr>
                  <w:rStyle w:val="InternetLink"/>
                </w:rPr>
                <w:t>Certification of Principal Executive Officer Pursuant to Rules 13a-14(a) and 15d-14(a) under the Securities Exchange Act of 1934, as Adopted Pursuant to Section 302 of the Sarbanes-Oxley Act of 2002.</w:t>
              </w:r>
            </w:hyperlink>
          </w:p>
        </w:tc>
      </w:tr>
      <w:tr>
        <w:trPr/>
        <w:tc>
          <w:tcPr>
            <w:tcW w:w="1238" w:type="dxa"/>
            <w:tcBorders/>
            <w:vAlign w:val="center"/>
          </w:tcPr>
          <w:p>
            <w:pPr>
              <w:pStyle w:val="TableContents"/>
              <w:bidi w:val="0"/>
              <w:spacing w:before="0" w:after="283"/>
              <w:jc w:val="left"/>
              <w:rPr/>
            </w:pPr>
            <w:r>
              <w:rPr/>
              <w:t>31.2*</w:t>
            </w:r>
          </w:p>
        </w:tc>
        <w:tc>
          <w:tcPr>
            <w:tcW w:w="8967" w:type="dxa"/>
            <w:tcBorders/>
            <w:vAlign w:val="center"/>
          </w:tcPr>
          <w:p>
            <w:pPr>
              <w:pStyle w:val="TableContents"/>
              <w:bidi w:val="0"/>
              <w:spacing w:before="0" w:after="283"/>
              <w:jc w:val="left"/>
              <w:rPr/>
            </w:pPr>
            <w:hyperlink w:anchor="ex31-2.htm">
              <w:r>
                <w:rPr>
                  <w:rStyle w:val="InternetLink"/>
                </w:rPr>
                <w:t>Certification of Principal Financial Officer Pursuant to Rules 13a-14(a) and 15d-14(a) under the Securities Exchange Act of 1934, as Adopted Pursuant to Section 302 of the Sarbanes-Oxley Act of 2002.</w:t>
              </w:r>
            </w:hyperlink>
          </w:p>
        </w:tc>
      </w:tr>
      <w:tr>
        <w:trPr/>
        <w:tc>
          <w:tcPr>
            <w:tcW w:w="1238" w:type="dxa"/>
            <w:tcBorders/>
            <w:vAlign w:val="center"/>
          </w:tcPr>
          <w:p>
            <w:pPr>
              <w:pStyle w:val="TableContents"/>
              <w:bidi w:val="0"/>
              <w:spacing w:before="0" w:after="283"/>
              <w:jc w:val="left"/>
              <w:rPr/>
            </w:pPr>
            <w:r>
              <w:rPr/>
              <w:t>32**</w:t>
            </w:r>
          </w:p>
        </w:tc>
        <w:tc>
          <w:tcPr>
            <w:tcW w:w="8967" w:type="dxa"/>
            <w:tcBorders/>
            <w:vAlign w:val="center"/>
          </w:tcPr>
          <w:p>
            <w:pPr>
              <w:pStyle w:val="TableContents"/>
              <w:bidi w:val="0"/>
              <w:spacing w:before="0" w:after="283"/>
              <w:jc w:val="left"/>
              <w:rPr/>
            </w:pPr>
            <w:hyperlink w:anchor="ex32.htm">
              <w:r>
                <w:rPr>
                  <w:rStyle w:val="InternetLink"/>
                </w:rPr>
                <w:t>Certification of Principal Executive Officer and Principal Financial Officer Pursuant to 18 U.S.C. Section 1350, as Adopted Pursuant to Section 906 of the Sarbanes-Oxley Act of 2002.</w:t>
              </w:r>
            </w:hyperlink>
          </w:p>
        </w:tc>
      </w:tr>
      <w:tr>
        <w:trPr/>
        <w:tc>
          <w:tcPr>
            <w:tcW w:w="1238" w:type="dxa"/>
            <w:tcBorders/>
            <w:vAlign w:val="center"/>
          </w:tcPr>
          <w:p>
            <w:pPr>
              <w:pStyle w:val="TableContents"/>
              <w:bidi w:val="0"/>
              <w:spacing w:before="0" w:after="283"/>
              <w:jc w:val="left"/>
              <w:rPr/>
            </w:pPr>
            <w:r>
              <w:rPr/>
              <w:t>101.INS***</w:t>
            </w:r>
          </w:p>
        </w:tc>
        <w:tc>
          <w:tcPr>
            <w:tcW w:w="8967" w:type="dxa"/>
            <w:tcBorders/>
            <w:vAlign w:val="center"/>
          </w:tcPr>
          <w:p>
            <w:pPr>
              <w:pStyle w:val="TableContents"/>
              <w:bidi w:val="0"/>
              <w:spacing w:before="0" w:after="283"/>
              <w:jc w:val="left"/>
              <w:rPr/>
            </w:pPr>
            <w:r>
              <w:rPr/>
              <w:t>Inline XBRL Instance Document – the instance document does not appear in the Interactive Data File because its XBRL tags are embedded within the Inline XBRL document</w:t>
            </w:r>
          </w:p>
        </w:tc>
      </w:tr>
      <w:tr>
        <w:trPr/>
        <w:tc>
          <w:tcPr>
            <w:tcW w:w="1238" w:type="dxa"/>
            <w:tcBorders/>
            <w:vAlign w:val="center"/>
          </w:tcPr>
          <w:p>
            <w:pPr>
              <w:pStyle w:val="TableContents"/>
              <w:bidi w:val="0"/>
              <w:spacing w:before="0" w:after="283"/>
              <w:jc w:val="left"/>
              <w:rPr/>
            </w:pPr>
            <w:r>
              <w:rPr/>
              <w:t>101.SCH**</w:t>
            </w:r>
          </w:p>
        </w:tc>
        <w:tc>
          <w:tcPr>
            <w:tcW w:w="8967" w:type="dxa"/>
            <w:tcBorders/>
            <w:vAlign w:val="center"/>
          </w:tcPr>
          <w:p>
            <w:pPr>
              <w:pStyle w:val="TableContents"/>
              <w:bidi w:val="0"/>
              <w:spacing w:before="0" w:after="283"/>
              <w:jc w:val="left"/>
              <w:rPr/>
            </w:pPr>
            <w:r>
              <w:rPr/>
              <w:t>Inline XBRL Taxonomy Extension Schema Linkbase Document</w:t>
            </w:r>
          </w:p>
        </w:tc>
      </w:tr>
      <w:tr>
        <w:trPr/>
        <w:tc>
          <w:tcPr>
            <w:tcW w:w="1238" w:type="dxa"/>
            <w:tcBorders/>
            <w:vAlign w:val="center"/>
          </w:tcPr>
          <w:p>
            <w:pPr>
              <w:pStyle w:val="TableContents"/>
              <w:bidi w:val="0"/>
              <w:spacing w:before="0" w:after="283"/>
              <w:jc w:val="left"/>
              <w:rPr/>
            </w:pPr>
            <w:r>
              <w:rPr/>
              <w:t>101.CAL**</w:t>
            </w:r>
          </w:p>
        </w:tc>
        <w:tc>
          <w:tcPr>
            <w:tcW w:w="8967" w:type="dxa"/>
            <w:tcBorders/>
            <w:vAlign w:val="center"/>
          </w:tcPr>
          <w:p>
            <w:pPr>
              <w:pStyle w:val="TableContents"/>
              <w:bidi w:val="0"/>
              <w:spacing w:before="0" w:after="283"/>
              <w:jc w:val="left"/>
              <w:rPr/>
            </w:pPr>
            <w:r>
              <w:rPr/>
              <w:t>Inline XBRL Taxonomy Extension Calculation Linkbase Document</w:t>
            </w:r>
          </w:p>
        </w:tc>
      </w:tr>
      <w:tr>
        <w:trPr/>
        <w:tc>
          <w:tcPr>
            <w:tcW w:w="1238" w:type="dxa"/>
            <w:tcBorders/>
            <w:vAlign w:val="center"/>
          </w:tcPr>
          <w:p>
            <w:pPr>
              <w:pStyle w:val="TableContents"/>
              <w:bidi w:val="0"/>
              <w:spacing w:before="0" w:after="283"/>
              <w:jc w:val="left"/>
              <w:rPr/>
            </w:pPr>
            <w:r>
              <w:rPr/>
              <w:t>101.DEF**</w:t>
            </w:r>
          </w:p>
        </w:tc>
        <w:tc>
          <w:tcPr>
            <w:tcW w:w="8967" w:type="dxa"/>
            <w:tcBorders/>
            <w:vAlign w:val="center"/>
          </w:tcPr>
          <w:p>
            <w:pPr>
              <w:pStyle w:val="TableContents"/>
              <w:bidi w:val="0"/>
              <w:spacing w:before="0" w:after="283"/>
              <w:jc w:val="left"/>
              <w:rPr/>
            </w:pPr>
            <w:r>
              <w:rPr/>
              <w:t>Inline XBRL Taxonomy Extension Definition Linkbase Document</w:t>
            </w:r>
          </w:p>
        </w:tc>
      </w:tr>
      <w:tr>
        <w:trPr/>
        <w:tc>
          <w:tcPr>
            <w:tcW w:w="1238" w:type="dxa"/>
            <w:tcBorders/>
            <w:vAlign w:val="center"/>
          </w:tcPr>
          <w:p>
            <w:pPr>
              <w:pStyle w:val="TableContents"/>
              <w:bidi w:val="0"/>
              <w:spacing w:before="0" w:after="283"/>
              <w:jc w:val="left"/>
              <w:rPr/>
            </w:pPr>
            <w:r>
              <w:rPr/>
              <w:t>101.LAB**</w:t>
            </w:r>
          </w:p>
        </w:tc>
        <w:tc>
          <w:tcPr>
            <w:tcW w:w="8967" w:type="dxa"/>
            <w:tcBorders/>
            <w:vAlign w:val="center"/>
          </w:tcPr>
          <w:p>
            <w:pPr>
              <w:pStyle w:val="TableContents"/>
              <w:bidi w:val="0"/>
              <w:spacing w:before="0" w:after="283"/>
              <w:jc w:val="left"/>
              <w:rPr/>
            </w:pPr>
            <w:r>
              <w:rPr/>
              <w:t>Inline XBRL Taxonomy Extension Label Linkbase Document</w:t>
            </w:r>
          </w:p>
        </w:tc>
      </w:tr>
      <w:tr>
        <w:trPr/>
        <w:tc>
          <w:tcPr>
            <w:tcW w:w="1238" w:type="dxa"/>
            <w:tcBorders/>
            <w:vAlign w:val="center"/>
          </w:tcPr>
          <w:p>
            <w:pPr>
              <w:pStyle w:val="TableContents"/>
              <w:bidi w:val="0"/>
              <w:spacing w:before="0" w:after="283"/>
              <w:jc w:val="left"/>
              <w:rPr/>
            </w:pPr>
            <w:r>
              <w:rPr/>
              <w:t>101.PRE**</w:t>
            </w:r>
          </w:p>
        </w:tc>
        <w:tc>
          <w:tcPr>
            <w:tcW w:w="8967" w:type="dxa"/>
            <w:tcBorders/>
            <w:vAlign w:val="center"/>
          </w:tcPr>
          <w:p>
            <w:pPr>
              <w:pStyle w:val="TableContents"/>
              <w:bidi w:val="0"/>
              <w:spacing w:before="0" w:after="283"/>
              <w:jc w:val="left"/>
              <w:rPr/>
            </w:pPr>
            <w:r>
              <w:rPr/>
              <w:t>Inline XBRL Taxonomy Extension Presentation Linkbase Document</w:t>
            </w:r>
          </w:p>
        </w:tc>
      </w:tr>
      <w:tr>
        <w:trPr/>
        <w:tc>
          <w:tcPr>
            <w:tcW w:w="1238" w:type="dxa"/>
            <w:tcBorders/>
            <w:vAlign w:val="center"/>
          </w:tcPr>
          <w:p>
            <w:pPr>
              <w:pStyle w:val="TableContents"/>
              <w:bidi w:val="0"/>
              <w:spacing w:before="0" w:after="283"/>
              <w:jc w:val="left"/>
              <w:rPr/>
            </w:pPr>
            <w:r>
              <w:rPr/>
              <w:t>104</w:t>
            </w:r>
          </w:p>
        </w:tc>
        <w:tc>
          <w:tcPr>
            <w:tcW w:w="8967"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987"/>
        <w:gridCol w:w="8824"/>
      </w:tblGrid>
      <w:tr>
        <w:trPr/>
        <w:tc>
          <w:tcPr>
            <w:tcW w:w="39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pPr>
            <w:r>
              <w:rPr/>
              <w:t>*</w:t>
            </w:r>
          </w:p>
        </w:tc>
        <w:tc>
          <w:tcPr>
            <w:tcW w:w="8824" w:type="dxa"/>
            <w:tcBorders/>
            <w:vAlign w:val="center"/>
          </w:tcPr>
          <w:p>
            <w:pPr>
              <w:pStyle w:val="TableContents"/>
              <w:bidi w:val="0"/>
              <w:spacing w:before="0" w:after="283"/>
              <w:jc w:val="left"/>
              <w:rPr/>
            </w:pPr>
            <w:r>
              <w:rPr/>
              <w:t>Filed herewith.</w:t>
            </w:r>
          </w:p>
        </w:tc>
      </w:tr>
    </w:tbl>
    <w:tbl>
      <w:tblPr>
        <w:tblW w:w="5000" w:type="pct"/>
        <w:jc w:val="left"/>
        <w:tblInd w:w="0" w:type="dxa"/>
        <w:tblLayout w:type="fixed"/>
        <w:tblCellMar>
          <w:top w:w="0" w:type="dxa"/>
          <w:left w:w="0" w:type="dxa"/>
          <w:bottom w:w="0" w:type="dxa"/>
          <w:right w:w="0" w:type="dxa"/>
        </w:tblCellMar>
      </w:tblPr>
      <w:tblGrid>
        <w:gridCol w:w="296"/>
        <w:gridCol w:w="1263"/>
        <w:gridCol w:w="8646"/>
      </w:tblGrid>
      <w:tr>
        <w:trPr/>
        <w:tc>
          <w:tcPr>
            <w:tcW w:w="29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pPr>
            <w:r>
              <w:rPr/>
              <w:t>**</w:t>
            </w:r>
          </w:p>
        </w:tc>
        <w:tc>
          <w:tcPr>
            <w:tcW w:w="8646" w:type="dxa"/>
            <w:tcBorders/>
            <w:vAlign w:val="center"/>
          </w:tcPr>
          <w:p>
            <w:pPr>
              <w:pStyle w:val="TableContents"/>
              <w:bidi w:val="0"/>
              <w:spacing w:before="0" w:after="283"/>
              <w:jc w:val="left"/>
              <w:rPr/>
            </w:pPr>
            <w:r>
              <w:rPr/>
              <w:t>Furnished herewith.</w:t>
            </w:r>
          </w:p>
        </w:tc>
      </w:tr>
    </w:tbl>
    <w:tbl>
      <w:tblPr>
        <w:tblW w:w="5000" w:type="pct"/>
        <w:jc w:val="left"/>
        <w:tblInd w:w="0" w:type="dxa"/>
        <w:tblLayout w:type="fixed"/>
        <w:tblCellMar>
          <w:top w:w="0" w:type="dxa"/>
          <w:left w:w="0" w:type="dxa"/>
          <w:bottom w:w="0" w:type="dxa"/>
          <w:right w:w="0" w:type="dxa"/>
        </w:tblCellMar>
      </w:tblPr>
      <w:tblGrid>
        <w:gridCol w:w="67"/>
        <w:gridCol w:w="230"/>
        <w:gridCol w:w="9908"/>
      </w:tblGrid>
      <w:tr>
        <w:trPr/>
        <w:tc>
          <w:tcPr>
            <w:tcW w:w="6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08" w:type="dxa"/>
            <w:tcBorders/>
            <w:vAlign w:val="center"/>
          </w:tcPr>
          <w:p>
            <w:pPr>
              <w:pStyle w:val="TableContents"/>
              <w:bidi w:val="0"/>
              <w:spacing w:before="0" w:after="283"/>
              <w:jc w:val="left"/>
              <w:rPr/>
            </w:pPr>
            <w:r>
              <w:rPr/>
              <w:t>Inline 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49 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sz w:val="20"/>
        </w:rPr>
      </w:pPr>
      <w:bookmarkStart w:id="23" w:name="a_018"/>
      <w:bookmarkEnd w:id="23"/>
      <w:r>
        <w:rPr>
          <w:rFonts w:ascii="Times New Roman;Times;Serif" w:hAnsi="Times New Roman;Times;Serif"/>
          <w:b w:val="false"/>
          <w:i w:val="false"/>
          <w:caps/>
          <w:sz w:val="20"/>
        </w:rPr>
        <w:t>Signatures</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 on November 7, 2025.</w:t>
      </w:r>
    </w:p>
    <w:p>
      <w:pPr>
        <w:pStyle w:val="TextBody"/>
        <w:bidi w:val="0"/>
        <w:spacing w:before="240" w:after="240"/>
        <w:ind w:left="240" w:right="240" w:hanging="0"/>
        <w:jc w:val="left"/>
        <w:rPr>
          <w:caps w:val="false"/>
          <w:smallCaps w:val="false"/>
        </w:rPr>
      </w:pPr>
      <w:r>
        <w:rPr>
          <w:caps w:val="false"/>
          <w:smallCaps w:val="false"/>
        </w:rPr>
        <w:t> </w:t>
      </w:r>
    </w:p>
    <w:tbl>
      <w:tblPr>
        <w:tblW w:w="3260" w:type="dxa"/>
        <w:jc w:val="left"/>
        <w:tblInd w:w="0" w:type="dxa"/>
        <w:tblLayout w:type="fixed"/>
        <w:tblCellMar>
          <w:top w:w="0" w:type="dxa"/>
          <w:left w:w="0" w:type="dxa"/>
          <w:bottom w:w="0" w:type="dxa"/>
          <w:right w:w="0" w:type="dxa"/>
        </w:tblCellMar>
      </w:tblPr>
      <w:tblGrid>
        <w:gridCol w:w="105"/>
        <w:gridCol w:w="3155"/>
      </w:tblGrid>
      <w:tr>
        <w:trPr/>
        <w:tc>
          <w:tcPr>
            <w:tcW w:w="10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 HOLDINGS, INC.</w:t>
            </w:r>
          </w:p>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1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Cindy L. Launer</w:t>
            </w:r>
          </w:p>
        </w:tc>
      </w:tr>
      <w:tr>
        <w:trPr/>
        <w:tc>
          <w:tcPr>
            <w:tcW w:w="10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sz w:val="20"/>
              </w:rPr>
            </w:pPr>
            <w:r>
              <w:rPr>
                <w:sz w:val="20"/>
              </w:rPr>
              <w:t>Cindy L. Launer</w:t>
            </w:r>
          </w:p>
        </w:tc>
      </w:tr>
      <w:tr>
        <w:trPr/>
        <w:tc>
          <w:tcPr>
            <w:tcW w:w="10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r>
      <w:tr>
        <w:trPr/>
        <w:tc>
          <w:tcPr>
            <w:tcW w:w="10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1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Matthew J. Maki</w:t>
            </w:r>
          </w:p>
        </w:tc>
      </w:tr>
      <w:tr>
        <w:trPr/>
        <w:tc>
          <w:tcPr>
            <w:tcW w:w="10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sz w:val="20"/>
              </w:rPr>
            </w:pPr>
            <w:r>
              <w:rPr>
                <w:sz w:val="20"/>
              </w:rPr>
              <w:t>Matthew J. Maki</w:t>
            </w:r>
          </w:p>
        </w:tc>
      </w:tr>
      <w:tr>
        <w:trPr/>
        <w:tc>
          <w:tcPr>
            <w:tcW w:w="10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Officer)</w:t>
            </w:r>
          </w:p>
        </w:tc>
      </w:tr>
      <w:tr>
        <w:trPr/>
        <w:tc>
          <w:tcPr>
            <w:tcW w:w="10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 </w:t>
            </w:r>
          </w:p>
        </w:tc>
      </w:tr>
    </w:tbl>
    <w:p>
      <w:pPr>
        <w:pStyle w:val="TextBody"/>
        <w:bidi w:val="0"/>
        <w:ind w:left="0" w:right="0" w:firstLine="600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50 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4" w:name="ex31-1.htm"/>
      <w:bookmarkStart w:id="25" w:name="ksex311"/>
      <w:bookmarkEnd w:id="24"/>
      <w:bookmarkEnd w:id="25"/>
      <w:r>
        <w:rPr>
          <w:rFonts w:ascii="Times New Roman;Times;Serif" w:hAnsi="Times New Roman;Times;Serif"/>
          <w:b/>
          <w:i w:val="false"/>
          <w:caps w:val="false"/>
          <w:smallCaps w:val="false"/>
          <w:sz w:val="20"/>
        </w:rPr>
        <w:t>Exhibit 31.1</w:t>
      </w:r>
      <w:r>
        <w:br w:type="page"/>
      </w:r>
    </w:p>
    <w:p>
      <w:pPr>
        <w:pStyle w:val="TextBody"/>
        <w:bidi w:val="0"/>
        <w:spacing w:before="0" w:after="4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PERIODIC REPORT UNDER SECTION 302 OF THE</w:t>
        <w:br/>
        <w:t>SARBANES-OXLEY ACT OF 2002</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Cindy L. Launer, certify that:</w:t>
      </w:r>
    </w:p>
    <w:tbl>
      <w:tblPr>
        <w:tblW w:w="5000" w:type="pct"/>
        <w:jc w:val="left"/>
        <w:tblInd w:w="0" w:type="dxa"/>
        <w:tblLayout w:type="fixed"/>
        <w:tblCellMar>
          <w:top w:w="0" w:type="dxa"/>
          <w:left w:w="0" w:type="dxa"/>
          <w:bottom w:w="0" w:type="dxa"/>
          <w:right w:w="0" w:type="dxa"/>
        </w:tblCellMar>
      </w:tblPr>
      <w:tblGrid>
        <w:gridCol w:w="54"/>
        <w:gridCol w:w="285"/>
        <w:gridCol w:w="9866"/>
      </w:tblGrid>
      <w:tr>
        <w:trPr/>
        <w:tc>
          <w:tcPr>
            <w:tcW w:w="5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w:t>
            </w:r>
          </w:p>
        </w:tc>
        <w:tc>
          <w:tcPr>
            <w:tcW w:w="9866" w:type="dxa"/>
            <w:tcBorders/>
            <w:vAlign w:val="center"/>
          </w:tcPr>
          <w:p>
            <w:pPr>
              <w:pStyle w:val="TableContents"/>
              <w:bidi w:val="0"/>
              <w:spacing w:before="0" w:after="283"/>
              <w:jc w:val="left"/>
              <w:rPr/>
            </w:pPr>
            <w:r>
              <w:rPr/>
              <w:t>I have reviewed this quarterly report on Form 10-Q of NI Holdings, Inc.;</w:t>
            </w:r>
          </w:p>
        </w:tc>
      </w:tr>
    </w:tbl>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tbl>
      <w:tblPr>
        <w:tblW w:w="5575" w:type="dxa"/>
        <w:jc w:val="left"/>
        <w:tblInd w:w="0" w:type="dxa"/>
        <w:tblLayout w:type="fixed"/>
        <w:tblCellMar>
          <w:top w:w="0" w:type="dxa"/>
          <w:left w:w="0" w:type="dxa"/>
          <w:bottom w:w="0" w:type="dxa"/>
          <w:right w:w="0" w:type="dxa"/>
        </w:tblCellMar>
      </w:tblPr>
      <w:tblGrid>
        <w:gridCol w:w="75"/>
        <w:gridCol w:w="1805"/>
        <w:gridCol w:w="3620"/>
        <w:gridCol w:w="75"/>
      </w:tblGrid>
      <w:tr>
        <w:trPr/>
        <w:tc>
          <w:tcPr>
            <w:tcW w:w="75" w:type="dxa"/>
            <w:tcBorders/>
            <w:vAlign w:val="center"/>
          </w:tcPr>
          <w:p>
            <w:pPr>
              <w:pStyle w:val="TableContents"/>
              <w:bidi w:val="0"/>
              <w:spacing w:before="0" w:after="283"/>
              <w:ind w:left="0" w:right="0" w:hanging="0"/>
              <w:jc w:val="left"/>
              <w:rPr/>
            </w:pPr>
            <w:r>
              <w:rPr/>
              <w:t> </w:t>
            </w:r>
          </w:p>
        </w:tc>
        <w:tc>
          <w:tcPr>
            <w:tcW w:w="1805" w:type="dxa"/>
            <w:tcBorders/>
            <w:vAlign w:val="center"/>
          </w:tcPr>
          <w:p>
            <w:pPr>
              <w:pStyle w:val="TableContents"/>
              <w:bidi w:val="0"/>
              <w:spacing w:before="0" w:after="283"/>
              <w:ind w:left="0" w:right="0" w:hanging="0"/>
              <w:jc w:val="left"/>
              <w:rPr/>
            </w:pPr>
            <w:r>
              <w:rPr/>
              <w:t>November 7, 2025</w:t>
            </w:r>
          </w:p>
        </w:tc>
        <w:tc>
          <w:tcPr>
            <w:tcW w:w="3620" w:type="dxa"/>
            <w:tcBorders>
              <w:bottom w:val="single" w:sz="8" w:space="0" w:color="000000"/>
            </w:tcBorders>
            <w:tcMar>
              <w:bottom w:w="28" w:type="dxa"/>
            </w:tcMar>
            <w:vAlign w:val="center"/>
          </w:tcPr>
          <w:p>
            <w:pPr>
              <w:pStyle w:val="TableContents"/>
              <w:bidi w:val="0"/>
              <w:spacing w:before="0" w:after="283"/>
              <w:jc w:val="left"/>
              <w:rPr/>
            </w:pPr>
            <w:r>
              <w:rPr/>
              <w:t>/s/ Cindy L. Launer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805" w:type="dxa"/>
            <w:tcBorders/>
            <w:vAlign w:val="center"/>
          </w:tcPr>
          <w:p>
            <w:pPr>
              <w:pStyle w:val="TableContents"/>
              <w:bidi w:val="0"/>
              <w:spacing w:before="0" w:after="283"/>
              <w:ind w:left="0" w:right="0" w:hanging="0"/>
              <w:jc w:val="left"/>
              <w:rPr/>
            </w:pPr>
            <w:r>
              <w:rPr/>
              <w:t> </w:t>
            </w:r>
          </w:p>
        </w:tc>
        <w:tc>
          <w:tcPr>
            <w:tcW w:w="3620" w:type="dxa"/>
            <w:tcBorders/>
            <w:vAlign w:val="center"/>
          </w:tcPr>
          <w:p>
            <w:pPr>
              <w:pStyle w:val="TableContents"/>
              <w:bidi w:val="0"/>
              <w:spacing w:before="0" w:after="283"/>
              <w:jc w:val="left"/>
              <w:rPr/>
            </w:pPr>
            <w:r>
              <w:rPr/>
              <w:t>Cindy L. Launer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805" w:type="dxa"/>
            <w:tcBorders/>
            <w:vAlign w:val="center"/>
          </w:tcPr>
          <w:p>
            <w:pPr>
              <w:pStyle w:val="TableContents"/>
              <w:bidi w:val="0"/>
              <w:spacing w:before="0" w:after="283"/>
              <w:ind w:left="0" w:right="0" w:hanging="0"/>
              <w:jc w:val="left"/>
              <w:rPr/>
            </w:pPr>
            <w:r>
              <w:rPr/>
              <w:t> </w:t>
            </w:r>
          </w:p>
        </w:tc>
        <w:tc>
          <w:tcPr>
            <w:tcW w:w="3620" w:type="dxa"/>
            <w:tcBorders/>
            <w:vAlign w:val="center"/>
          </w:tcPr>
          <w:p>
            <w:pPr>
              <w:pStyle w:val="TableContents"/>
              <w:bidi w:val="0"/>
              <w:spacing w:before="0" w:after="283"/>
              <w:jc w:val="left"/>
              <w:rPr/>
            </w:pPr>
            <w:r>
              <w:rPr/>
              <w:t>President and Chief Executive Officer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805" w:type="dxa"/>
            <w:tcBorders/>
            <w:vAlign w:val="center"/>
          </w:tcPr>
          <w:p>
            <w:pPr>
              <w:pStyle w:val="TableContents"/>
              <w:bidi w:val="0"/>
              <w:spacing w:before="0" w:after="283"/>
              <w:ind w:left="0" w:right="0" w:hanging="0"/>
              <w:jc w:val="left"/>
              <w:rPr/>
            </w:pPr>
            <w:r>
              <w:rPr/>
              <w:t> </w:t>
            </w:r>
          </w:p>
        </w:tc>
        <w:tc>
          <w:tcPr>
            <w:tcW w:w="3620" w:type="dxa"/>
            <w:tcBorders/>
            <w:vAlign w:val="center"/>
          </w:tcPr>
          <w:p>
            <w:pPr>
              <w:pStyle w:val="TableContents"/>
              <w:bidi w:val="0"/>
              <w:spacing w:before="0" w:after="283"/>
              <w:jc w:val="left"/>
              <w:rPr/>
            </w:pPr>
            <w:r>
              <w:rPr/>
              <w:t>(</w:t>
            </w:r>
            <w:r>
              <w:rPr>
                <w:i/>
              </w:rPr>
              <w:t>Principal Executive Officer</w:t>
            </w: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bdr w:val="single" w:sz="16" w:space="1" w:color="000000"/>
        </w:rPr>
      </w:pPr>
      <w:r>
        <w:rPr>
          <w:bdr w:val="single" w:sz="16" w:space="1" w:color="000000"/>
        </w:rPr>
        <w:t>51 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jc w:val="right"/>
        <w:rPr>
          <w:rFonts w:ascii="Times New Roman;Times;Serif" w:hAnsi="Times New Roman;Times;Serif"/>
          <w:b/>
          <w:i w:val="false"/>
          <w:caps w:val="false"/>
          <w:smallCaps w:val="false"/>
          <w:sz w:val="20"/>
        </w:rPr>
      </w:pPr>
      <w:bookmarkStart w:id="26" w:name="ex31-2.htm"/>
      <w:bookmarkStart w:id="27" w:name="ksex312"/>
      <w:bookmarkEnd w:id="26"/>
      <w:bookmarkEnd w:id="27"/>
      <w:r>
        <w:rPr>
          <w:rFonts w:ascii="Times New Roman;Times;Serif" w:hAnsi="Times New Roman;Times;Serif"/>
          <w:b/>
          <w:i w:val="false"/>
          <w:caps w:val="false"/>
          <w:smallCaps w:val="false"/>
          <w:sz w:val="20"/>
        </w:rPr>
        <w:t>Exhibit 31.2</w:t>
      </w:r>
      <w:r>
        <w:br w:type="page"/>
      </w:r>
    </w:p>
    <w:p>
      <w:pPr>
        <w:pStyle w:val="TextBody"/>
        <w:bidi w:val="0"/>
        <w:spacing w:before="0" w:after="4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PERIODIC REPORT UNDER SECTION 302 OF THE</w:t>
        <w:br/>
        <w:t>SARBANES-OXLEY ACT OF 2002</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Matthew J. Maki, certify that:</w:t>
      </w:r>
    </w:p>
    <w:tbl>
      <w:tblPr>
        <w:tblW w:w="5000" w:type="pct"/>
        <w:jc w:val="left"/>
        <w:tblInd w:w="0" w:type="dxa"/>
        <w:tblLayout w:type="fixed"/>
        <w:tblCellMar>
          <w:top w:w="0" w:type="dxa"/>
          <w:left w:w="0" w:type="dxa"/>
          <w:bottom w:w="0" w:type="dxa"/>
          <w:right w:w="0" w:type="dxa"/>
        </w:tblCellMar>
      </w:tblPr>
      <w:tblGrid>
        <w:gridCol w:w="54"/>
        <w:gridCol w:w="285"/>
        <w:gridCol w:w="9866"/>
      </w:tblGrid>
      <w:tr>
        <w:trPr/>
        <w:tc>
          <w:tcPr>
            <w:tcW w:w="5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w:t>
            </w:r>
          </w:p>
        </w:tc>
        <w:tc>
          <w:tcPr>
            <w:tcW w:w="9866" w:type="dxa"/>
            <w:tcBorders/>
            <w:vAlign w:val="center"/>
          </w:tcPr>
          <w:p>
            <w:pPr>
              <w:pStyle w:val="TableContents"/>
              <w:bidi w:val="0"/>
              <w:spacing w:before="0" w:after="283"/>
              <w:jc w:val="left"/>
              <w:rPr/>
            </w:pPr>
            <w:r>
              <w:rPr/>
              <w:t>I have reviewed this quarterly report on Form 10-Q of NI Holdings, Inc.;</w:t>
            </w:r>
          </w:p>
        </w:tc>
      </w:tr>
    </w:tbl>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tbl>
      <w:tblPr>
        <w:tblW w:w="4705" w:type="dxa"/>
        <w:jc w:val="left"/>
        <w:tblInd w:w="0" w:type="dxa"/>
        <w:tblLayout w:type="fixed"/>
        <w:tblCellMar>
          <w:top w:w="0" w:type="dxa"/>
          <w:left w:w="0" w:type="dxa"/>
          <w:bottom w:w="0" w:type="dxa"/>
          <w:right w:w="0" w:type="dxa"/>
        </w:tblCellMar>
      </w:tblPr>
      <w:tblGrid>
        <w:gridCol w:w="75"/>
        <w:gridCol w:w="1805"/>
        <w:gridCol w:w="2750"/>
        <w:gridCol w:w="75"/>
      </w:tblGrid>
      <w:tr>
        <w:trPr/>
        <w:tc>
          <w:tcPr>
            <w:tcW w:w="75" w:type="dxa"/>
            <w:tcBorders/>
            <w:vAlign w:val="center"/>
          </w:tcPr>
          <w:p>
            <w:pPr>
              <w:pStyle w:val="TableContents"/>
              <w:bidi w:val="0"/>
              <w:spacing w:before="0" w:after="283"/>
              <w:ind w:left="0" w:right="0" w:hanging="0"/>
              <w:jc w:val="left"/>
              <w:rPr/>
            </w:pPr>
            <w:r>
              <w:rPr/>
              <w:t> </w:t>
            </w:r>
          </w:p>
        </w:tc>
        <w:tc>
          <w:tcPr>
            <w:tcW w:w="1805" w:type="dxa"/>
            <w:tcBorders/>
            <w:vAlign w:val="center"/>
          </w:tcPr>
          <w:p>
            <w:pPr>
              <w:pStyle w:val="TableContents"/>
              <w:bidi w:val="0"/>
              <w:spacing w:before="0" w:after="283"/>
              <w:ind w:left="0" w:right="0" w:hanging="0"/>
              <w:jc w:val="left"/>
              <w:rPr/>
            </w:pPr>
            <w:r>
              <w:rPr/>
              <w:t>November 7, 2025</w:t>
            </w:r>
          </w:p>
        </w:tc>
        <w:tc>
          <w:tcPr>
            <w:tcW w:w="2750" w:type="dxa"/>
            <w:tcBorders>
              <w:bottom w:val="single" w:sz="8" w:space="0" w:color="000000"/>
            </w:tcBorders>
            <w:tcMar>
              <w:bottom w:w="28" w:type="dxa"/>
            </w:tcMar>
            <w:vAlign w:val="center"/>
          </w:tcPr>
          <w:p>
            <w:pPr>
              <w:pStyle w:val="TableContents"/>
              <w:bidi w:val="0"/>
              <w:spacing w:before="0" w:after="283"/>
              <w:jc w:val="left"/>
              <w:rPr/>
            </w:pPr>
            <w:r>
              <w:rPr/>
              <w:t>/s/ Matthew J. Maki</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805" w:type="dxa"/>
            <w:tcBorders/>
            <w:vAlign w:val="center"/>
          </w:tcPr>
          <w:p>
            <w:pPr>
              <w:pStyle w:val="TableContents"/>
              <w:bidi w:val="0"/>
              <w:spacing w:before="0" w:after="283"/>
              <w:ind w:left="0" w:right="0" w:hanging="0"/>
              <w:jc w:val="left"/>
              <w:rPr/>
            </w:pPr>
            <w:r>
              <w:rPr/>
              <w:t> </w:t>
            </w:r>
          </w:p>
        </w:tc>
        <w:tc>
          <w:tcPr>
            <w:tcW w:w="2750" w:type="dxa"/>
            <w:tcBorders/>
            <w:vAlign w:val="center"/>
          </w:tcPr>
          <w:p>
            <w:pPr>
              <w:pStyle w:val="TableContents"/>
              <w:bidi w:val="0"/>
              <w:spacing w:before="0" w:after="283"/>
              <w:jc w:val="left"/>
              <w:rPr/>
            </w:pPr>
            <w:r>
              <w:rPr/>
              <w:t>Matthew J. Maki</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805" w:type="dxa"/>
            <w:tcBorders/>
            <w:vAlign w:val="center"/>
          </w:tcPr>
          <w:p>
            <w:pPr>
              <w:pStyle w:val="TableContents"/>
              <w:bidi w:val="0"/>
              <w:spacing w:before="0" w:after="283"/>
              <w:ind w:left="0" w:right="0" w:hanging="0"/>
              <w:jc w:val="left"/>
              <w:rPr/>
            </w:pPr>
            <w:r>
              <w:rPr/>
              <w:t> </w:t>
            </w:r>
          </w:p>
        </w:tc>
        <w:tc>
          <w:tcPr>
            <w:tcW w:w="2750" w:type="dxa"/>
            <w:tcBorders/>
            <w:vAlign w:val="center"/>
          </w:tcPr>
          <w:p>
            <w:pPr>
              <w:pStyle w:val="TableContents"/>
              <w:bidi w:val="0"/>
              <w:spacing w:before="0" w:after="283"/>
              <w:jc w:val="left"/>
              <w:rPr/>
            </w:pPr>
            <w:r>
              <w:rPr/>
              <w:t xml:space="preserve">Chief Financial Officer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805" w:type="dxa"/>
            <w:tcBorders/>
            <w:vAlign w:val="center"/>
          </w:tcPr>
          <w:p>
            <w:pPr>
              <w:pStyle w:val="TableContents"/>
              <w:bidi w:val="0"/>
              <w:spacing w:before="0" w:after="283"/>
              <w:ind w:left="0" w:right="0" w:hanging="0"/>
              <w:jc w:val="left"/>
              <w:rPr/>
            </w:pPr>
            <w:r>
              <w:rPr/>
              <w:t> </w:t>
            </w:r>
          </w:p>
        </w:tc>
        <w:tc>
          <w:tcPr>
            <w:tcW w:w="2750" w:type="dxa"/>
            <w:tcBorders/>
            <w:vAlign w:val="center"/>
          </w:tcPr>
          <w:p>
            <w:pPr>
              <w:pStyle w:val="TableContents"/>
              <w:bidi w:val="0"/>
              <w:spacing w:before="0" w:after="283"/>
              <w:jc w:val="left"/>
              <w:rPr/>
            </w:pPr>
            <w:r>
              <w:rPr/>
              <w:t>(</w:t>
            </w:r>
            <w:r>
              <w:rPr>
                <w:i/>
              </w:rPr>
              <w:t>Principal Financial Officer</w:t>
            </w: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bdr w:val="single" w:sz="16" w:space="1" w:color="000000"/>
        </w:rPr>
      </w:pPr>
      <w:r>
        <w:rPr>
          <w:bdr w:val="single" w:sz="16" w:space="1" w:color="000000"/>
        </w:rPr>
        <w:t>52 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jc w:val="right"/>
        <w:rPr>
          <w:rFonts w:ascii="Times New Roman;Times;Serif" w:hAnsi="Times New Roman;Times;Serif"/>
          <w:b/>
          <w:i w:val="false"/>
          <w:caps w:val="false"/>
          <w:smallCaps w:val="false"/>
          <w:sz w:val="20"/>
        </w:rPr>
      </w:pPr>
      <w:bookmarkStart w:id="28" w:name="ex32.htm"/>
      <w:bookmarkStart w:id="29" w:name="ksex32"/>
      <w:bookmarkEnd w:id="28"/>
      <w:bookmarkEnd w:id="29"/>
      <w:r>
        <w:rPr>
          <w:rFonts w:ascii="Times New Roman;Times;Serif" w:hAnsi="Times New Roman;Times;Serif"/>
          <w:b/>
          <w:i w:val="false"/>
          <w:caps w:val="false"/>
          <w:smallCaps w:val="false"/>
          <w:sz w:val="20"/>
        </w:rPr>
        <w:t>Exhibit 32</w:t>
      </w:r>
      <w:r>
        <w:br w:type="page"/>
      </w:r>
    </w:p>
    <w:p>
      <w:pPr>
        <w:pStyle w:val="TextBody"/>
        <w:bidi w:val="0"/>
        <w:spacing w:before="0" w:after="4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PURSUANT TO</w:t>
        <w:br/>
        <w:t>18 U.S.C. SECTION 1350,</w:t>
        <w:br/>
        <w:t>AS ADOPTED PURSUANT TO</w:t>
        <w:br/>
        <w:t>SECTION 906 OF THE SARBANES-OXLEY ACT OF 2002</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NI Holdings, Inc. (the “Company”) on Form 10-Q for the period ended September 30, 2025, as filed with the Securities and Exchange Commission on the date hereof (the “Report”), we, Cindy L. Launer, President and Chief Executive Officer, and Matthew J. Maki, Chief Financial Officer, of the Company, certify, pursuant to 18 U.S.C. Section 1350, as adopted pursuant to Section 906 of the Sarbanes-Oxley Act of 2002, that, to our knowledge:</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w:t>
            </w:r>
          </w:p>
        </w:tc>
        <w:tc>
          <w:tcPr>
            <w:tcW w:w="9889" w:type="dxa"/>
            <w:tcBorders/>
            <w:vAlign w:val="center"/>
          </w:tcPr>
          <w:p>
            <w:pPr>
              <w:pStyle w:val="TableContents"/>
              <w:bidi w:val="0"/>
              <w:spacing w:before="0" w:after="283"/>
              <w:jc w:val="left"/>
              <w:rPr/>
            </w:pPr>
            <w:r>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left"/>
              <w:rPr/>
            </w:pPr>
            <w:r>
              <w:rPr/>
              <w:t>The information contained in the Report fairly presents, in all material respects, the financial condition and results of operations of the Company.</w:t>
            </w:r>
          </w:p>
        </w:tc>
      </w:tr>
    </w:tbl>
    <w:p>
      <w:pPr>
        <w:pStyle w:val="TextBody"/>
        <w:bidi w:val="0"/>
        <w:spacing w:before="0" w:after="283"/>
        <w:jc w:val="left"/>
        <w:rPr/>
      </w:pPr>
      <w:r>
        <w:rPr/>
        <w:t> </w:t>
      </w:r>
    </w:p>
    <w:p>
      <w:pPr>
        <w:pStyle w:val="TextBody"/>
        <w:bidi w:val="0"/>
        <w:spacing w:before="0" w:after="283"/>
        <w:jc w:val="left"/>
        <w:rPr/>
      </w:pPr>
      <w:r>
        <w:rPr/>
        <w:t> </w:t>
      </w:r>
    </w:p>
    <w:tbl>
      <w:tblPr>
        <w:tblW w:w="5575" w:type="dxa"/>
        <w:jc w:val="left"/>
        <w:tblInd w:w="0" w:type="dxa"/>
        <w:tblLayout w:type="fixed"/>
        <w:tblCellMar>
          <w:top w:w="0" w:type="dxa"/>
          <w:left w:w="0" w:type="dxa"/>
          <w:bottom w:w="0" w:type="dxa"/>
          <w:right w:w="0" w:type="dxa"/>
        </w:tblCellMar>
      </w:tblPr>
      <w:tblGrid>
        <w:gridCol w:w="75"/>
        <w:gridCol w:w="1805"/>
        <w:gridCol w:w="3620"/>
        <w:gridCol w:w="75"/>
      </w:tblGrid>
      <w:tr>
        <w:trPr/>
        <w:tc>
          <w:tcPr>
            <w:tcW w:w="75" w:type="dxa"/>
            <w:tcBorders/>
            <w:vAlign w:val="center"/>
          </w:tcPr>
          <w:p>
            <w:pPr>
              <w:pStyle w:val="TableContents"/>
              <w:bidi w:val="0"/>
              <w:spacing w:before="0" w:after="283"/>
              <w:ind w:left="0" w:right="0" w:hanging="0"/>
              <w:jc w:val="left"/>
              <w:rPr/>
            </w:pPr>
            <w:r>
              <w:rPr/>
              <w:t> </w:t>
            </w:r>
          </w:p>
        </w:tc>
        <w:tc>
          <w:tcPr>
            <w:tcW w:w="1805" w:type="dxa"/>
            <w:tcBorders/>
            <w:vAlign w:val="center"/>
          </w:tcPr>
          <w:p>
            <w:pPr>
              <w:pStyle w:val="TableContents"/>
              <w:bidi w:val="0"/>
              <w:spacing w:before="0" w:after="283"/>
              <w:ind w:left="0" w:right="0" w:hanging="0"/>
              <w:jc w:val="left"/>
              <w:rPr/>
            </w:pPr>
            <w:r>
              <w:rPr/>
              <w:t>November 7, 2025</w:t>
            </w:r>
          </w:p>
        </w:tc>
        <w:tc>
          <w:tcPr>
            <w:tcW w:w="3620" w:type="dxa"/>
            <w:tcBorders>
              <w:bottom w:val="single" w:sz="8" w:space="0" w:color="000000"/>
            </w:tcBorders>
            <w:tcMar>
              <w:bottom w:w="28" w:type="dxa"/>
            </w:tcMar>
            <w:vAlign w:val="center"/>
          </w:tcPr>
          <w:p>
            <w:pPr>
              <w:pStyle w:val="TableContents"/>
              <w:bidi w:val="0"/>
              <w:spacing w:before="0" w:after="283"/>
              <w:jc w:val="left"/>
              <w:rPr/>
            </w:pPr>
            <w:r>
              <w:rPr/>
              <w:t>/s/ Cindy L. Launer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805" w:type="dxa"/>
            <w:tcBorders/>
            <w:vAlign w:val="center"/>
          </w:tcPr>
          <w:p>
            <w:pPr>
              <w:pStyle w:val="TableContents"/>
              <w:bidi w:val="0"/>
              <w:spacing w:before="0" w:after="283"/>
              <w:ind w:left="0" w:right="0" w:hanging="0"/>
              <w:jc w:val="left"/>
              <w:rPr/>
            </w:pPr>
            <w:r>
              <w:rPr/>
              <w:t> </w:t>
            </w:r>
          </w:p>
        </w:tc>
        <w:tc>
          <w:tcPr>
            <w:tcW w:w="3620" w:type="dxa"/>
            <w:tcBorders/>
            <w:vAlign w:val="center"/>
          </w:tcPr>
          <w:p>
            <w:pPr>
              <w:pStyle w:val="TableContents"/>
              <w:bidi w:val="0"/>
              <w:spacing w:before="0" w:after="283"/>
              <w:jc w:val="left"/>
              <w:rPr/>
            </w:pPr>
            <w:r>
              <w:rPr/>
              <w:t>Cindy L. Launer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805" w:type="dxa"/>
            <w:tcBorders/>
            <w:vAlign w:val="center"/>
          </w:tcPr>
          <w:p>
            <w:pPr>
              <w:pStyle w:val="TableContents"/>
              <w:bidi w:val="0"/>
              <w:spacing w:before="0" w:after="283"/>
              <w:ind w:left="0" w:right="0" w:hanging="0"/>
              <w:jc w:val="left"/>
              <w:rPr/>
            </w:pPr>
            <w:r>
              <w:rPr/>
              <w:t> </w:t>
            </w:r>
          </w:p>
        </w:tc>
        <w:tc>
          <w:tcPr>
            <w:tcW w:w="3620" w:type="dxa"/>
            <w:tcBorders/>
            <w:vAlign w:val="center"/>
          </w:tcPr>
          <w:p>
            <w:pPr>
              <w:pStyle w:val="TableContents"/>
              <w:bidi w:val="0"/>
              <w:spacing w:before="0" w:after="283"/>
              <w:jc w:val="left"/>
              <w:rPr/>
            </w:pPr>
            <w:r>
              <w:rPr/>
              <w:t>President and Chief Executive Officer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805" w:type="dxa"/>
            <w:tcBorders/>
            <w:vAlign w:val="center"/>
          </w:tcPr>
          <w:p>
            <w:pPr>
              <w:pStyle w:val="TableContents"/>
              <w:bidi w:val="0"/>
              <w:spacing w:before="0" w:after="283"/>
              <w:ind w:left="0" w:right="0" w:hanging="0"/>
              <w:jc w:val="left"/>
              <w:rPr/>
            </w:pPr>
            <w:r>
              <w:rPr/>
              <w:t> </w:t>
            </w:r>
          </w:p>
        </w:tc>
        <w:tc>
          <w:tcPr>
            <w:tcW w:w="3620" w:type="dxa"/>
            <w:tcBorders/>
            <w:vAlign w:val="center"/>
          </w:tcPr>
          <w:p>
            <w:pPr>
              <w:pStyle w:val="TableContents"/>
              <w:bidi w:val="0"/>
              <w:spacing w:before="0" w:after="283"/>
              <w:jc w:val="left"/>
              <w:rPr/>
            </w:pPr>
            <w:r>
              <w:rPr/>
              <w:t>(</w:t>
            </w:r>
            <w:r>
              <w:rPr>
                <w:i/>
              </w:rPr>
              <w:t>Principal Executive Officer</w:t>
            </w: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4705" w:type="dxa"/>
        <w:jc w:val="left"/>
        <w:tblInd w:w="0" w:type="dxa"/>
        <w:tblLayout w:type="fixed"/>
        <w:tblCellMar>
          <w:top w:w="0" w:type="dxa"/>
          <w:left w:w="0" w:type="dxa"/>
          <w:bottom w:w="0" w:type="dxa"/>
          <w:right w:w="0" w:type="dxa"/>
        </w:tblCellMar>
      </w:tblPr>
      <w:tblGrid>
        <w:gridCol w:w="75"/>
        <w:gridCol w:w="1805"/>
        <w:gridCol w:w="2750"/>
        <w:gridCol w:w="75"/>
      </w:tblGrid>
      <w:tr>
        <w:trPr/>
        <w:tc>
          <w:tcPr>
            <w:tcW w:w="75" w:type="dxa"/>
            <w:tcBorders/>
            <w:vAlign w:val="center"/>
          </w:tcPr>
          <w:p>
            <w:pPr>
              <w:pStyle w:val="TableContents"/>
              <w:bidi w:val="0"/>
              <w:spacing w:before="0" w:after="283"/>
              <w:ind w:left="0" w:right="0" w:hanging="0"/>
              <w:jc w:val="left"/>
              <w:rPr/>
            </w:pPr>
            <w:r>
              <w:rPr/>
              <w:t> </w:t>
            </w:r>
          </w:p>
        </w:tc>
        <w:tc>
          <w:tcPr>
            <w:tcW w:w="1805" w:type="dxa"/>
            <w:tcBorders/>
            <w:vAlign w:val="center"/>
          </w:tcPr>
          <w:p>
            <w:pPr>
              <w:pStyle w:val="TableContents"/>
              <w:bidi w:val="0"/>
              <w:spacing w:before="0" w:after="283"/>
              <w:ind w:left="0" w:right="0" w:hanging="0"/>
              <w:jc w:val="left"/>
              <w:rPr/>
            </w:pPr>
            <w:r>
              <w:rPr/>
              <w:t>November 7, 2025</w:t>
            </w:r>
          </w:p>
        </w:tc>
        <w:tc>
          <w:tcPr>
            <w:tcW w:w="2750" w:type="dxa"/>
            <w:tcBorders>
              <w:bottom w:val="single" w:sz="8" w:space="0" w:color="000000"/>
            </w:tcBorders>
            <w:tcMar>
              <w:bottom w:w="28" w:type="dxa"/>
            </w:tcMar>
            <w:vAlign w:val="center"/>
          </w:tcPr>
          <w:p>
            <w:pPr>
              <w:pStyle w:val="TableContents"/>
              <w:bidi w:val="0"/>
              <w:spacing w:before="0" w:after="283"/>
              <w:jc w:val="left"/>
              <w:rPr/>
            </w:pPr>
            <w:r>
              <w:rPr/>
              <w:t>/s/ Matthew J. Maki</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805" w:type="dxa"/>
            <w:tcBorders/>
            <w:vAlign w:val="center"/>
          </w:tcPr>
          <w:p>
            <w:pPr>
              <w:pStyle w:val="TableContents"/>
              <w:bidi w:val="0"/>
              <w:spacing w:before="0" w:after="283"/>
              <w:ind w:left="0" w:right="0" w:hanging="0"/>
              <w:jc w:val="left"/>
              <w:rPr/>
            </w:pPr>
            <w:r>
              <w:rPr/>
              <w:t> </w:t>
            </w:r>
          </w:p>
        </w:tc>
        <w:tc>
          <w:tcPr>
            <w:tcW w:w="2750" w:type="dxa"/>
            <w:tcBorders/>
            <w:vAlign w:val="center"/>
          </w:tcPr>
          <w:p>
            <w:pPr>
              <w:pStyle w:val="TableContents"/>
              <w:bidi w:val="0"/>
              <w:spacing w:before="0" w:after="283"/>
              <w:jc w:val="left"/>
              <w:rPr/>
            </w:pPr>
            <w:r>
              <w:rPr/>
              <w:t>Matthew J. Maki</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805" w:type="dxa"/>
            <w:tcBorders/>
            <w:vAlign w:val="center"/>
          </w:tcPr>
          <w:p>
            <w:pPr>
              <w:pStyle w:val="TableContents"/>
              <w:bidi w:val="0"/>
              <w:spacing w:before="0" w:after="283"/>
              <w:ind w:left="0" w:right="0" w:hanging="0"/>
              <w:jc w:val="left"/>
              <w:rPr/>
            </w:pPr>
            <w:r>
              <w:rPr/>
              <w:t> </w:t>
            </w:r>
          </w:p>
        </w:tc>
        <w:tc>
          <w:tcPr>
            <w:tcW w:w="2750" w:type="dxa"/>
            <w:tcBorders/>
            <w:vAlign w:val="center"/>
          </w:tcPr>
          <w:p>
            <w:pPr>
              <w:pStyle w:val="TableContents"/>
              <w:bidi w:val="0"/>
              <w:spacing w:before="0" w:after="283"/>
              <w:jc w:val="left"/>
              <w:rPr/>
            </w:pPr>
            <w:r>
              <w:rPr/>
              <w:t xml:space="preserve">Chief Financial Officer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805" w:type="dxa"/>
            <w:tcBorders/>
            <w:vAlign w:val="center"/>
          </w:tcPr>
          <w:p>
            <w:pPr>
              <w:pStyle w:val="TableContents"/>
              <w:bidi w:val="0"/>
              <w:spacing w:before="0" w:after="283"/>
              <w:ind w:left="0" w:right="0" w:hanging="0"/>
              <w:jc w:val="left"/>
              <w:rPr/>
            </w:pPr>
            <w:r>
              <w:rPr/>
              <w:t> </w:t>
            </w:r>
          </w:p>
        </w:tc>
        <w:tc>
          <w:tcPr>
            <w:tcW w:w="2750" w:type="dxa"/>
            <w:tcBorders/>
            <w:vAlign w:val="center"/>
          </w:tcPr>
          <w:p>
            <w:pPr>
              <w:pStyle w:val="TableContents"/>
              <w:bidi w:val="0"/>
              <w:spacing w:before="0" w:after="283"/>
              <w:jc w:val="left"/>
              <w:rPr/>
            </w:pPr>
            <w:r>
              <w:rPr/>
              <w:t>(</w:t>
            </w:r>
            <w:r>
              <w:rPr>
                <w:i/>
              </w:rPr>
              <w:t>Principal Financial Officer</w:t>
            </w: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bdr w:val="single" w:sz="16" w:space="1" w:color="000000"/>
        </w:rPr>
      </w:pPr>
      <w:r>
        <w:rPr>
          <w:bdr w:val="single" w:sz="16" w:space="1" w:color="000000"/>
        </w:rPr>
        <w:t>53 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24056</Words>
  <Characters>131501</Characters>
  <CharactersWithSpaces>161735</CharactersWithSpaces>
  <Paragraphs>15128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