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134620</wp:posOffset>
            </wp:positionH>
            <wp:positionV relativeFrom="page">
              <wp:posOffset>243205</wp:posOffset>
            </wp:positionV>
            <wp:extent cx="72923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page">
              <wp:posOffset>134620</wp:posOffset>
            </wp:positionH>
            <wp:positionV relativeFrom="page">
              <wp:posOffset>254635</wp:posOffset>
            </wp:positionV>
            <wp:extent cx="72923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2340" cy="5715"/>
                    </a:xfrm>
                    <a:prstGeom prst="rect">
                      <a:avLst/>
                    </a:prstGeom>
                    <a:noFill/>
                  </pic:spPr>
                </pic:pic>
              </a:graphicData>
            </a:graphic>
          </wp:anchor>
        </w:drawing>
        <w:t>UNITED STATES</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SECURITIES AND EXCHANGE COMMISSION</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923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9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2923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12" w:lineRule="exact"/>
        <w:rPr>
          <w:sz w:val="24"/>
          <w:szCs w:val="24"/>
          <w:color w:val="auto"/>
        </w:rPr>
      </w:pPr>
    </w:p>
    <w:p>
      <w:pPr>
        <w:ind w:left="8" w:right="4920" w:hanging="8"/>
        <w:spacing w:after="0" w:line="283" w:lineRule="auto"/>
        <w:tabs>
          <w:tab w:leader="none" w:pos="467" w:val="left"/>
        </w:tabs>
        <w:numPr>
          <w:ilvl w:val="0"/>
          <w:numId w:val="1"/>
        </w:numPr>
        <w:rPr>
          <w:rFonts w:ascii="Arial" w:cs="Arial" w:eastAsia="Arial" w:hAnsi="Arial"/>
          <w:sz w:val="12"/>
          <w:szCs w:val="12"/>
          <w:b w:val="1"/>
          <w:bCs w:val="1"/>
          <w:color w:val="auto"/>
        </w:rPr>
      </w:pPr>
      <w:r>
        <w:rPr>
          <w:rFonts w:ascii="Arial" w:cs="Arial" w:eastAsia="Arial" w:hAnsi="Arial"/>
          <w:sz w:val="12"/>
          <w:szCs w:val="12"/>
          <w:b w:val="1"/>
          <w:bCs w:val="1"/>
          <w:color w:val="auto"/>
        </w:rPr>
        <w:t>QUARTERLY REPORT PURSUANT TO SECTION 13 OR 15(d) OF THE SECURITIES EXCHANGE ACT OF 1934 For the quarterly period ended June 30, 2018</w:t>
      </w:r>
    </w:p>
    <w:p>
      <w:pPr>
        <w:spacing w:after="0" w:line="53" w:lineRule="exact"/>
        <w:rPr>
          <w:sz w:val="24"/>
          <w:szCs w:val="24"/>
          <w:color w:val="auto"/>
        </w:rPr>
      </w:pPr>
    </w:p>
    <w:p>
      <w:pPr>
        <w:ind w:left="468" w:hanging="468"/>
        <w:spacing w:after="0"/>
        <w:tabs>
          <w:tab w:leader="none" w:pos="468" w:val="left"/>
        </w:tabs>
        <w:numPr>
          <w:ilvl w:val="0"/>
          <w:numId w:val="2"/>
        </w:numPr>
        <w:rPr>
          <w:rFonts w:ascii="Arial" w:cs="Arial" w:eastAsia="Arial" w:hAnsi="Arial"/>
          <w:sz w:val="12"/>
          <w:szCs w:val="12"/>
          <w:b w:val="1"/>
          <w:bCs w:val="1"/>
          <w:color w:val="auto"/>
        </w:rPr>
      </w:pPr>
      <w:r>
        <w:rPr>
          <w:rFonts w:ascii="Arial" w:cs="Arial" w:eastAsia="Arial" w:hAnsi="Arial"/>
          <w:sz w:val="12"/>
          <w:szCs w:val="12"/>
          <w:b w:val="1"/>
          <w:bCs w:val="1"/>
          <w:color w:val="auto"/>
        </w:rPr>
        <w:t>TRANSITION REPORT PURSUANT TO SECTION 13 OR 15(d) OF THE SECURITIES EXCHANGE ACT OF 1934</w:t>
      </w:r>
    </w:p>
    <w:tbl>
      <w:tblPr>
        <w:tblLayout w:type="fixed"/>
        <w:tblInd w:w="8" w:type="dxa"/>
        <w:tblCellMar>
          <w:top w:w="0" w:type="dxa"/>
          <w:left w:w="0" w:type="dxa"/>
          <w:bottom w:w="0" w:type="dxa"/>
          <w:right w:w="0" w:type="dxa"/>
        </w:tblCellMar>
      </w:tblPr>
      <w:tr>
        <w:trPr>
          <w:trHeight w:val="136"/>
        </w:trPr>
        <w:tc>
          <w:tcPr>
            <w:tcW w:w="1580" w:type="dxa"/>
            <w:vAlign w:val="bottom"/>
          </w:tcPr>
          <w:p>
            <w:pPr>
              <w:spacing w:after="0" w:line="136" w:lineRule="exact"/>
              <w:rPr>
                <w:sz w:val="20"/>
                <w:szCs w:val="20"/>
                <w:color w:val="auto"/>
              </w:rPr>
            </w:pPr>
            <w:r>
              <w:rPr>
                <w:rFonts w:ascii="Arial" w:cs="Arial" w:eastAsia="Arial" w:hAnsi="Arial"/>
                <w:sz w:val="12"/>
                <w:szCs w:val="12"/>
                <w:b w:val="1"/>
                <w:bCs w:val="1"/>
                <w:color w:val="auto"/>
                <w:w w:val="92"/>
              </w:rPr>
              <w:t>For the transition period from</w:t>
            </w:r>
          </w:p>
        </w:tc>
        <w:tc>
          <w:tcPr>
            <w:tcW w:w="440" w:type="dxa"/>
            <w:vAlign w:val="bottom"/>
          </w:tcPr>
          <w:p>
            <w:pPr>
              <w:spacing w:after="0"/>
              <w:rPr>
                <w:sz w:val="11"/>
                <w:szCs w:val="11"/>
                <w:color w:val="auto"/>
              </w:rPr>
            </w:pPr>
          </w:p>
        </w:tc>
        <w:tc>
          <w:tcPr>
            <w:tcW w:w="6040" w:type="dxa"/>
            <w:vAlign w:val="bottom"/>
            <w:gridSpan w:val="5"/>
          </w:tcPr>
          <w:p>
            <w:pPr>
              <w:ind w:left="40"/>
              <w:spacing w:after="0" w:line="136" w:lineRule="exact"/>
              <w:rPr>
                <w:sz w:val="20"/>
                <w:szCs w:val="20"/>
                <w:color w:val="auto"/>
              </w:rPr>
            </w:pPr>
            <w:r>
              <w:rPr>
                <w:rFonts w:ascii="Arial" w:cs="Arial" w:eastAsia="Arial" w:hAnsi="Arial"/>
                <w:sz w:val="12"/>
                <w:szCs w:val="12"/>
                <w:b w:val="1"/>
                <w:bCs w:val="1"/>
                <w:color w:val="auto"/>
              </w:rPr>
              <w:t>to</w:t>
            </w:r>
          </w:p>
        </w:tc>
        <w:tc>
          <w:tcPr>
            <w:tcW w:w="3420" w:type="dxa"/>
            <w:vAlign w:val="bottom"/>
          </w:tcPr>
          <w:p>
            <w:pPr>
              <w:spacing w:after="0"/>
              <w:rPr>
                <w:sz w:val="11"/>
                <w:szCs w:val="11"/>
                <w:color w:val="auto"/>
              </w:rPr>
            </w:pPr>
          </w:p>
        </w:tc>
      </w:tr>
      <w:tr>
        <w:trPr>
          <w:trHeight w:val="223"/>
        </w:trPr>
        <w:tc>
          <w:tcPr>
            <w:tcW w:w="15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5420" w:type="dxa"/>
            <w:vAlign w:val="bottom"/>
            <w:gridSpan w:val="3"/>
          </w:tcPr>
          <w:p>
            <w:pPr>
              <w:jc w:val="center"/>
              <w:ind w:left="700"/>
              <w:spacing w:after="0"/>
              <w:rPr>
                <w:sz w:val="20"/>
                <w:szCs w:val="20"/>
                <w:color w:val="auto"/>
              </w:rPr>
            </w:pPr>
            <w:r>
              <w:rPr>
                <w:rFonts w:ascii="Arial" w:cs="Arial" w:eastAsia="Arial" w:hAnsi="Arial"/>
                <w:sz w:val="12"/>
                <w:szCs w:val="12"/>
                <w:b w:val="1"/>
                <w:bCs w:val="1"/>
                <w:color w:val="auto"/>
                <w:w w:val="90"/>
              </w:rPr>
              <w:t>Commission file number 001-37973</w:t>
            </w:r>
          </w:p>
        </w:tc>
        <w:tc>
          <w:tcPr>
            <w:tcW w:w="3420" w:type="dxa"/>
            <w:vAlign w:val="bottom"/>
          </w:tcPr>
          <w:p>
            <w:pPr>
              <w:spacing w:after="0"/>
              <w:rPr>
                <w:sz w:val="19"/>
                <w:szCs w:val="19"/>
                <w:color w:val="auto"/>
              </w:rPr>
            </w:pPr>
          </w:p>
        </w:tc>
      </w:tr>
      <w:tr>
        <w:trPr>
          <w:trHeight w:val="259"/>
        </w:trPr>
        <w:tc>
          <w:tcPr>
            <w:tcW w:w="15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3480" w:type="dxa"/>
            <w:vAlign w:val="bottom"/>
            <w:tcBorders>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3420" w:type="dxa"/>
            <w:vAlign w:val="bottom"/>
            <w:tcBorders>
              <w:bottom w:val="single" w:sz="8" w:color="auto"/>
            </w:tcBorders>
          </w:tcPr>
          <w:p>
            <w:pPr>
              <w:spacing w:after="0"/>
              <w:rPr>
                <w:sz w:val="22"/>
                <w:szCs w:val="22"/>
                <w:color w:val="auto"/>
              </w:rPr>
            </w:pPr>
          </w:p>
        </w:tc>
      </w:tr>
      <w:tr>
        <w:trPr>
          <w:trHeight w:val="228"/>
        </w:trPr>
        <w:tc>
          <w:tcPr>
            <w:tcW w:w="1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20" w:type="dxa"/>
            <w:vAlign w:val="bottom"/>
            <w:gridSpan w:val="3"/>
          </w:tcPr>
          <w:p>
            <w:pPr>
              <w:jc w:val="center"/>
              <w:ind w:left="720"/>
              <w:spacing w:after="0"/>
              <w:rPr>
                <w:sz w:val="20"/>
                <w:szCs w:val="20"/>
                <w:color w:val="auto"/>
              </w:rPr>
            </w:pPr>
            <w:r>
              <w:rPr>
                <w:rFonts w:ascii="Arial" w:cs="Arial" w:eastAsia="Arial" w:hAnsi="Arial"/>
                <w:sz w:val="12"/>
                <w:szCs w:val="12"/>
                <w:b w:val="1"/>
                <w:bCs w:val="1"/>
                <w:color w:val="auto"/>
              </w:rPr>
              <w:t>NI HOLDINGS, INC.</w:t>
            </w:r>
          </w:p>
        </w:tc>
        <w:tc>
          <w:tcPr>
            <w:tcW w:w="3420" w:type="dxa"/>
            <w:vAlign w:val="bottom"/>
          </w:tcPr>
          <w:p>
            <w:pPr>
              <w:spacing w:after="0"/>
              <w:rPr>
                <w:sz w:val="19"/>
                <w:szCs w:val="19"/>
                <w:color w:val="auto"/>
              </w:rPr>
            </w:pPr>
          </w:p>
        </w:tc>
      </w:tr>
      <w:tr>
        <w:trPr>
          <w:trHeight w:val="161"/>
        </w:trPr>
        <w:tc>
          <w:tcPr>
            <w:tcW w:w="1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420" w:type="dxa"/>
            <w:vAlign w:val="bottom"/>
            <w:tcBorders>
              <w:bottom w:val="single" w:sz="8" w:color="auto"/>
            </w:tcBorders>
            <w:gridSpan w:val="3"/>
          </w:tcPr>
          <w:p>
            <w:pPr>
              <w:jc w:val="center"/>
              <w:ind w:left="700"/>
              <w:spacing w:after="0"/>
              <w:rPr>
                <w:sz w:val="20"/>
                <w:szCs w:val="20"/>
                <w:color w:val="auto"/>
              </w:rPr>
            </w:pPr>
            <w:r>
              <w:rPr>
                <w:rFonts w:ascii="Arial" w:cs="Arial" w:eastAsia="Arial" w:hAnsi="Arial"/>
                <w:sz w:val="12"/>
                <w:szCs w:val="12"/>
                <w:b w:val="1"/>
                <w:bCs w:val="1"/>
                <w:color w:val="auto"/>
                <w:w w:val="90"/>
              </w:rPr>
              <w:t>(Exact name of registrant as specified in its charter)</w:t>
            </w:r>
          </w:p>
        </w:tc>
        <w:tc>
          <w:tcPr>
            <w:tcW w:w="3420" w:type="dxa"/>
            <w:vAlign w:val="bottom"/>
            <w:tcBorders>
              <w:bottom w:val="single" w:sz="8" w:color="auto"/>
            </w:tcBorders>
          </w:tcPr>
          <w:p>
            <w:pPr>
              <w:spacing w:after="0"/>
              <w:rPr>
                <w:sz w:val="14"/>
                <w:szCs w:val="14"/>
                <w:color w:val="auto"/>
              </w:rPr>
            </w:pPr>
          </w:p>
        </w:tc>
      </w:tr>
      <w:tr>
        <w:trPr>
          <w:trHeight w:val="287"/>
        </w:trPr>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80" w:type="dxa"/>
            <w:vAlign w:val="bottom"/>
            <w:gridSpan w:val="4"/>
          </w:tcPr>
          <w:p>
            <w:pPr>
              <w:jc w:val="center"/>
              <w:ind w:right="4620"/>
              <w:spacing w:after="0"/>
              <w:rPr>
                <w:sz w:val="20"/>
                <w:szCs w:val="20"/>
                <w:color w:val="auto"/>
              </w:rPr>
            </w:pPr>
            <w:r>
              <w:rPr>
                <w:rFonts w:ascii="Arial" w:cs="Arial" w:eastAsia="Arial" w:hAnsi="Arial"/>
                <w:sz w:val="12"/>
                <w:szCs w:val="12"/>
                <w:b w:val="1"/>
                <w:bCs w:val="1"/>
                <w:color w:val="auto"/>
              </w:rPr>
              <w:t>NORTH DAKOTA</w:t>
            </w:r>
          </w:p>
        </w:tc>
        <w:tc>
          <w:tcPr>
            <w:tcW w:w="3420" w:type="dxa"/>
            <w:vAlign w:val="bottom"/>
          </w:tcPr>
          <w:p>
            <w:pPr>
              <w:jc w:val="right"/>
              <w:ind w:right="2400"/>
              <w:spacing w:after="0"/>
              <w:rPr>
                <w:sz w:val="20"/>
                <w:szCs w:val="20"/>
                <w:color w:val="auto"/>
              </w:rPr>
            </w:pPr>
            <w:r>
              <w:rPr>
                <w:rFonts w:ascii="Arial" w:cs="Arial" w:eastAsia="Arial" w:hAnsi="Arial"/>
                <w:sz w:val="12"/>
                <w:szCs w:val="12"/>
                <w:b w:val="1"/>
                <w:bCs w:val="1"/>
                <w:color w:val="auto"/>
              </w:rPr>
              <w:t>81-2683619</w:t>
            </w:r>
          </w:p>
        </w:tc>
      </w:tr>
      <w:tr>
        <w:trPr>
          <w:trHeight w:val="144"/>
        </w:trPr>
        <w:tc>
          <w:tcPr>
            <w:tcW w:w="1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40" w:type="dxa"/>
            <w:vAlign w:val="bottom"/>
            <w:gridSpan w:val="5"/>
          </w:tcPr>
          <w:p>
            <w:pPr>
              <w:jc w:val="center"/>
              <w:ind w:right="4460"/>
              <w:spacing w:after="0"/>
              <w:rPr>
                <w:sz w:val="20"/>
                <w:szCs w:val="20"/>
                <w:color w:val="auto"/>
              </w:rPr>
            </w:pPr>
            <w:r>
              <w:rPr>
                <w:rFonts w:ascii="Arial" w:cs="Arial" w:eastAsia="Arial" w:hAnsi="Arial"/>
                <w:sz w:val="12"/>
                <w:szCs w:val="12"/>
                <w:b w:val="1"/>
                <w:bCs w:val="1"/>
                <w:color w:val="auto"/>
                <w:w w:val="91"/>
              </w:rPr>
              <w:t>(State or other jurisdiction of</w:t>
            </w:r>
          </w:p>
        </w:tc>
        <w:tc>
          <w:tcPr>
            <w:tcW w:w="3420" w:type="dxa"/>
            <w:vAlign w:val="bottom"/>
          </w:tcPr>
          <w:p>
            <w:pPr>
              <w:jc w:val="center"/>
              <w:ind w:right="2040"/>
              <w:spacing w:after="0"/>
              <w:rPr>
                <w:sz w:val="20"/>
                <w:szCs w:val="20"/>
                <w:color w:val="auto"/>
              </w:rPr>
            </w:pPr>
            <w:r>
              <w:rPr>
                <w:rFonts w:ascii="Arial" w:cs="Arial" w:eastAsia="Arial" w:hAnsi="Arial"/>
                <w:sz w:val="12"/>
                <w:szCs w:val="12"/>
                <w:b w:val="1"/>
                <w:bCs w:val="1"/>
                <w:color w:val="auto"/>
                <w:w w:val="92"/>
              </w:rPr>
              <w:t>(IRS Employer</w:t>
            </w:r>
          </w:p>
        </w:tc>
      </w:tr>
      <w:tr>
        <w:trPr>
          <w:trHeight w:val="157"/>
        </w:trPr>
        <w:tc>
          <w:tcPr>
            <w:tcW w:w="1580" w:type="dxa"/>
            <w:vAlign w:val="bottom"/>
          </w:tcPr>
          <w:p>
            <w:pPr>
              <w:spacing w:after="0"/>
              <w:rPr>
                <w:sz w:val="13"/>
                <w:szCs w:val="13"/>
                <w:color w:val="auto"/>
              </w:rPr>
            </w:pPr>
          </w:p>
        </w:tc>
        <w:tc>
          <w:tcPr>
            <w:tcW w:w="6480" w:type="dxa"/>
            <w:vAlign w:val="bottom"/>
            <w:gridSpan w:val="6"/>
          </w:tcPr>
          <w:p>
            <w:pPr>
              <w:jc w:val="center"/>
              <w:ind w:right="4020"/>
              <w:spacing w:after="0"/>
              <w:rPr>
                <w:sz w:val="20"/>
                <w:szCs w:val="20"/>
                <w:color w:val="auto"/>
              </w:rPr>
            </w:pPr>
            <w:r>
              <w:rPr>
                <w:rFonts w:ascii="Arial" w:cs="Arial" w:eastAsia="Arial" w:hAnsi="Arial"/>
                <w:sz w:val="12"/>
                <w:szCs w:val="12"/>
                <w:b w:val="1"/>
                <w:bCs w:val="1"/>
                <w:color w:val="auto"/>
                <w:w w:val="92"/>
              </w:rPr>
              <w:t>incorporation or organization)</w:t>
            </w:r>
          </w:p>
        </w:tc>
        <w:tc>
          <w:tcPr>
            <w:tcW w:w="3420" w:type="dxa"/>
            <w:vAlign w:val="bottom"/>
          </w:tcPr>
          <w:p>
            <w:pPr>
              <w:jc w:val="center"/>
              <w:ind w:right="2040"/>
              <w:spacing w:after="0"/>
              <w:rPr>
                <w:sz w:val="20"/>
                <w:szCs w:val="20"/>
                <w:color w:val="auto"/>
              </w:rPr>
            </w:pPr>
            <w:r>
              <w:rPr>
                <w:rFonts w:ascii="Arial" w:cs="Arial" w:eastAsia="Arial" w:hAnsi="Arial"/>
                <w:sz w:val="12"/>
                <w:szCs w:val="12"/>
                <w:b w:val="1"/>
                <w:bCs w:val="1"/>
                <w:color w:val="auto"/>
                <w:w w:val="94"/>
              </w:rPr>
              <w:t>Identification No.)</w:t>
            </w:r>
          </w:p>
        </w:tc>
      </w:tr>
      <w:tr>
        <w:trPr>
          <w:trHeight w:val="275"/>
        </w:trPr>
        <w:tc>
          <w:tcPr>
            <w:tcW w:w="15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40" w:type="dxa"/>
            <w:vAlign w:val="bottom"/>
            <w:gridSpan w:val="5"/>
          </w:tcPr>
          <w:p>
            <w:pPr>
              <w:jc w:val="center"/>
              <w:ind w:right="4460"/>
              <w:spacing w:after="0"/>
              <w:rPr>
                <w:sz w:val="20"/>
                <w:szCs w:val="20"/>
                <w:color w:val="auto"/>
              </w:rPr>
            </w:pPr>
            <w:r>
              <w:rPr>
                <w:rFonts w:ascii="Arial" w:cs="Arial" w:eastAsia="Arial" w:hAnsi="Arial"/>
                <w:sz w:val="12"/>
                <w:szCs w:val="12"/>
                <w:b w:val="1"/>
                <w:bCs w:val="1"/>
                <w:color w:val="auto"/>
                <w:w w:val="91"/>
              </w:rPr>
              <w:t>1101 First Avenue North</w:t>
            </w:r>
          </w:p>
        </w:tc>
        <w:tc>
          <w:tcPr>
            <w:tcW w:w="3420" w:type="dxa"/>
            <w:vAlign w:val="bottom"/>
          </w:tcPr>
          <w:p>
            <w:pPr>
              <w:spacing w:after="0"/>
              <w:rPr>
                <w:sz w:val="23"/>
                <w:szCs w:val="23"/>
                <w:color w:val="auto"/>
              </w:rPr>
            </w:pPr>
          </w:p>
        </w:tc>
      </w:tr>
      <w:tr>
        <w:trPr>
          <w:trHeight w:val="144"/>
        </w:trPr>
        <w:tc>
          <w:tcPr>
            <w:tcW w:w="1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80" w:type="dxa"/>
            <w:vAlign w:val="bottom"/>
            <w:gridSpan w:val="4"/>
          </w:tcPr>
          <w:p>
            <w:pPr>
              <w:jc w:val="center"/>
              <w:ind w:right="4640"/>
              <w:spacing w:after="0"/>
              <w:rPr>
                <w:sz w:val="20"/>
                <w:szCs w:val="20"/>
                <w:color w:val="auto"/>
              </w:rPr>
            </w:pPr>
            <w:r>
              <w:rPr>
                <w:rFonts w:ascii="Arial" w:cs="Arial" w:eastAsia="Arial" w:hAnsi="Arial"/>
                <w:sz w:val="12"/>
                <w:szCs w:val="12"/>
                <w:b w:val="1"/>
                <w:bCs w:val="1"/>
                <w:color w:val="auto"/>
                <w:w w:val="93"/>
              </w:rPr>
              <w:t>Fargo, North Dakota</w:t>
            </w:r>
          </w:p>
        </w:tc>
        <w:tc>
          <w:tcPr>
            <w:tcW w:w="3420" w:type="dxa"/>
            <w:vAlign w:val="bottom"/>
          </w:tcPr>
          <w:p>
            <w:pPr>
              <w:jc w:val="right"/>
              <w:ind w:right="2540"/>
              <w:spacing w:after="0"/>
              <w:rPr>
                <w:sz w:val="20"/>
                <w:szCs w:val="20"/>
                <w:color w:val="auto"/>
              </w:rPr>
            </w:pPr>
            <w:r>
              <w:rPr>
                <w:rFonts w:ascii="Arial" w:cs="Arial" w:eastAsia="Arial" w:hAnsi="Arial"/>
                <w:sz w:val="12"/>
                <w:szCs w:val="12"/>
                <w:b w:val="1"/>
                <w:bCs w:val="1"/>
                <w:color w:val="auto"/>
              </w:rPr>
              <w:t>58102</w:t>
            </w:r>
          </w:p>
        </w:tc>
      </w:tr>
      <w:tr>
        <w:trPr>
          <w:trHeight w:val="157"/>
        </w:trPr>
        <w:tc>
          <w:tcPr>
            <w:tcW w:w="1580" w:type="dxa"/>
            <w:vAlign w:val="bottom"/>
          </w:tcPr>
          <w:p>
            <w:pPr>
              <w:spacing w:after="0"/>
              <w:rPr>
                <w:sz w:val="13"/>
                <w:szCs w:val="13"/>
                <w:color w:val="auto"/>
              </w:rPr>
            </w:pPr>
          </w:p>
        </w:tc>
        <w:tc>
          <w:tcPr>
            <w:tcW w:w="6480" w:type="dxa"/>
            <w:vAlign w:val="bottom"/>
            <w:gridSpan w:val="6"/>
          </w:tcPr>
          <w:p>
            <w:pPr>
              <w:jc w:val="center"/>
              <w:ind w:right="4020"/>
              <w:spacing w:after="0"/>
              <w:rPr>
                <w:sz w:val="20"/>
                <w:szCs w:val="20"/>
                <w:color w:val="auto"/>
              </w:rPr>
            </w:pPr>
            <w:r>
              <w:rPr>
                <w:rFonts w:ascii="Arial" w:cs="Arial" w:eastAsia="Arial" w:hAnsi="Arial"/>
                <w:sz w:val="12"/>
                <w:szCs w:val="12"/>
                <w:b w:val="1"/>
                <w:bCs w:val="1"/>
                <w:color w:val="auto"/>
                <w:w w:val="88"/>
              </w:rPr>
              <w:t>(Address of principal executive offices)</w:t>
            </w:r>
          </w:p>
        </w:tc>
        <w:tc>
          <w:tcPr>
            <w:tcW w:w="3420" w:type="dxa"/>
            <w:vAlign w:val="bottom"/>
          </w:tcPr>
          <w:p>
            <w:pPr>
              <w:jc w:val="center"/>
              <w:ind w:right="2040"/>
              <w:spacing w:after="0"/>
              <w:rPr>
                <w:sz w:val="20"/>
                <w:szCs w:val="20"/>
                <w:color w:val="auto"/>
              </w:rPr>
            </w:pPr>
            <w:r>
              <w:rPr>
                <w:rFonts w:ascii="Arial" w:cs="Arial" w:eastAsia="Arial" w:hAnsi="Arial"/>
                <w:sz w:val="12"/>
                <w:szCs w:val="12"/>
                <w:b w:val="1"/>
                <w:bCs w:val="1"/>
                <w:color w:val="auto"/>
                <w:w w:val="94"/>
              </w:rPr>
              <w:t>(Zip Code)</w:t>
            </w:r>
          </w:p>
        </w:tc>
      </w:tr>
      <w:tr>
        <w:trPr>
          <w:trHeight w:val="230"/>
        </w:trPr>
        <w:tc>
          <w:tcPr>
            <w:tcW w:w="1580" w:type="dxa"/>
            <w:vAlign w:val="bottom"/>
          </w:tcPr>
          <w:p>
            <w:pPr>
              <w:spacing w:after="0"/>
              <w:rPr>
                <w:sz w:val="20"/>
                <w:szCs w:val="20"/>
                <w:color w:val="auto"/>
              </w:rPr>
            </w:pPr>
          </w:p>
        </w:tc>
        <w:tc>
          <w:tcPr>
            <w:tcW w:w="4540" w:type="dxa"/>
            <w:vAlign w:val="bottom"/>
            <w:gridSpan w:val="4"/>
          </w:tcPr>
          <w:p>
            <w:pPr>
              <w:jc w:val="center"/>
              <w:ind w:left="3700"/>
              <w:spacing w:after="0"/>
              <w:rPr>
                <w:sz w:val="20"/>
                <w:szCs w:val="20"/>
                <w:color w:val="auto"/>
              </w:rPr>
            </w:pPr>
            <w:r>
              <w:rPr>
                <w:rFonts w:ascii="Arial" w:cs="Arial" w:eastAsia="Arial" w:hAnsi="Arial"/>
                <w:sz w:val="12"/>
                <w:szCs w:val="12"/>
                <w:b w:val="1"/>
                <w:bCs w:val="1"/>
                <w:color w:val="auto"/>
                <w:w w:val="90"/>
              </w:rPr>
              <w:t>(701) 298-4200</w:t>
            </w:r>
          </w:p>
        </w:tc>
        <w:tc>
          <w:tcPr>
            <w:tcW w:w="5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157"/>
        </w:trPr>
        <w:tc>
          <w:tcPr>
            <w:tcW w:w="1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20" w:type="dxa"/>
            <w:vAlign w:val="bottom"/>
            <w:gridSpan w:val="3"/>
          </w:tcPr>
          <w:p>
            <w:pPr>
              <w:jc w:val="center"/>
              <w:ind w:left="700"/>
              <w:spacing w:after="0"/>
              <w:rPr>
                <w:sz w:val="20"/>
                <w:szCs w:val="20"/>
                <w:color w:val="auto"/>
              </w:rPr>
            </w:pPr>
            <w:r>
              <w:rPr>
                <w:rFonts w:ascii="Arial" w:cs="Arial" w:eastAsia="Arial" w:hAnsi="Arial"/>
                <w:sz w:val="12"/>
                <w:szCs w:val="12"/>
                <w:b w:val="1"/>
                <w:bCs w:val="1"/>
                <w:color w:val="auto"/>
                <w:w w:val="88"/>
              </w:rPr>
              <w:t>Registrant’s telephone number, including area code</w:t>
            </w:r>
          </w:p>
        </w:tc>
        <w:tc>
          <w:tcPr>
            <w:tcW w:w="3420" w:type="dxa"/>
            <w:vAlign w:val="bottom"/>
          </w:tcPr>
          <w:p>
            <w:pPr>
              <w:spacing w:after="0"/>
              <w:rPr>
                <w:sz w:val="13"/>
                <w:szCs w:val="13"/>
                <w:color w:val="auto"/>
              </w:rPr>
            </w:pPr>
          </w:p>
        </w:tc>
      </w:tr>
      <w:tr>
        <w:trPr>
          <w:trHeight w:val="230"/>
        </w:trPr>
        <w:tc>
          <w:tcPr>
            <w:tcW w:w="1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20" w:type="dxa"/>
            <w:vAlign w:val="bottom"/>
            <w:gridSpan w:val="3"/>
          </w:tcPr>
          <w:p>
            <w:pPr>
              <w:jc w:val="center"/>
              <w:ind w:left="700"/>
              <w:spacing w:after="0"/>
              <w:rPr>
                <w:sz w:val="20"/>
                <w:szCs w:val="20"/>
                <w:color w:val="auto"/>
              </w:rPr>
            </w:pPr>
            <w:r>
              <w:rPr>
                <w:rFonts w:ascii="Arial" w:cs="Arial" w:eastAsia="Arial" w:hAnsi="Arial"/>
                <w:sz w:val="12"/>
                <w:szCs w:val="12"/>
                <w:b w:val="1"/>
                <w:bCs w:val="1"/>
                <w:color w:val="auto"/>
                <w:w w:val="92"/>
              </w:rPr>
              <w:t>Not Applicable</w:t>
            </w:r>
          </w:p>
        </w:tc>
        <w:tc>
          <w:tcPr>
            <w:tcW w:w="3420" w:type="dxa"/>
            <w:vAlign w:val="bottom"/>
          </w:tcPr>
          <w:p>
            <w:pPr>
              <w:spacing w:after="0"/>
              <w:rPr>
                <w:sz w:val="20"/>
                <w:szCs w:val="20"/>
                <w:color w:val="auto"/>
              </w:rPr>
            </w:pPr>
          </w:p>
        </w:tc>
      </w:tr>
      <w:tr>
        <w:trPr>
          <w:trHeight w:val="161"/>
        </w:trPr>
        <w:tc>
          <w:tcPr>
            <w:tcW w:w="1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420" w:type="dxa"/>
            <w:vAlign w:val="bottom"/>
            <w:tcBorders>
              <w:bottom w:val="single" w:sz="8" w:color="auto"/>
            </w:tcBorders>
            <w:gridSpan w:val="3"/>
          </w:tcPr>
          <w:p>
            <w:pPr>
              <w:jc w:val="center"/>
              <w:ind w:left="700"/>
              <w:spacing w:after="0"/>
              <w:rPr>
                <w:sz w:val="20"/>
                <w:szCs w:val="20"/>
                <w:color w:val="auto"/>
              </w:rPr>
            </w:pPr>
            <w:r>
              <w:rPr>
                <w:rFonts w:ascii="Arial" w:cs="Arial" w:eastAsia="Arial" w:hAnsi="Arial"/>
                <w:sz w:val="12"/>
                <w:szCs w:val="12"/>
                <w:b w:val="1"/>
                <w:bCs w:val="1"/>
                <w:color w:val="auto"/>
                <w:w w:val="90"/>
              </w:rPr>
              <w:t>(Former name, former address, and former fiscal year, if changed since last report)</w:t>
            </w:r>
          </w:p>
        </w:tc>
        <w:tc>
          <w:tcPr>
            <w:tcW w:w="3420" w:type="dxa"/>
            <w:vAlign w:val="bottom"/>
            <w:tcBorders>
              <w:bottom w:val="single" w:sz="8" w:color="auto"/>
            </w:tcBorders>
          </w:tcPr>
          <w:p>
            <w:pPr>
              <w:spacing w:after="0"/>
              <w:rPr>
                <w:sz w:val="14"/>
                <w:szCs w:val="14"/>
                <w:color w:val="auto"/>
              </w:rPr>
            </w:pPr>
          </w:p>
        </w:tc>
      </w:tr>
    </w:tbl>
    <w:p>
      <w:pPr>
        <w:spacing w:after="0" w:line="99" w:lineRule="exact"/>
        <w:rPr>
          <w:sz w:val="24"/>
          <w:szCs w:val="24"/>
          <w:color w:val="auto"/>
        </w:rPr>
      </w:pPr>
    </w:p>
    <w:p>
      <w:pPr>
        <w:ind w:left="8" w:right="260"/>
        <w:spacing w:after="0" w:line="155"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2"/>
          <w:szCs w:val="12"/>
          <w:color w:val="auto"/>
        </w:rPr>
        <w:t>☒</w:t>
      </w:r>
      <w:r>
        <w:rPr>
          <w:rFonts w:ascii="Arial" w:cs="Arial" w:eastAsia="Arial" w:hAnsi="Arial"/>
          <w:sz w:val="12"/>
          <w:szCs w:val="12"/>
          <w:color w:val="auto"/>
        </w:rPr>
        <w:t xml:space="preserve"> Yes No o</w:t>
      </w:r>
    </w:p>
    <w:p>
      <w:pPr>
        <w:spacing w:after="0" w:line="70" w:lineRule="exact"/>
        <w:rPr>
          <w:sz w:val="24"/>
          <w:szCs w:val="24"/>
          <w:color w:val="auto"/>
        </w:rPr>
      </w:pPr>
    </w:p>
    <w:p>
      <w:pPr>
        <w:ind w:left="8" w:right="140"/>
        <w:spacing w:after="0" w:line="155" w:lineRule="exact"/>
        <w:rPr>
          <w:sz w:val="20"/>
          <w:szCs w:val="20"/>
          <w:color w:val="auto"/>
        </w:rPr>
      </w:pPr>
      <w:r>
        <w:rPr>
          <w:rFonts w:ascii="Arial" w:cs="Arial" w:eastAsia="Arial" w:hAnsi="Arial"/>
          <w:sz w:val="12"/>
          <w:szCs w:val="12"/>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2"/>
          <w:szCs w:val="12"/>
          <w:color w:val="auto"/>
        </w:rPr>
        <w:t>☒</w:t>
      </w:r>
      <w:r>
        <w:rPr>
          <w:rFonts w:ascii="Arial" w:cs="Arial" w:eastAsia="Arial" w:hAnsi="Arial"/>
          <w:sz w:val="12"/>
          <w:szCs w:val="12"/>
          <w:color w:val="auto"/>
        </w:rPr>
        <w:t xml:space="preserve"> Yes No o</w:t>
      </w:r>
    </w:p>
    <w:p>
      <w:pPr>
        <w:spacing w:after="0" w:line="79" w:lineRule="exact"/>
        <w:rPr>
          <w:sz w:val="24"/>
          <w:szCs w:val="24"/>
          <w:color w:val="auto"/>
        </w:rPr>
      </w:pPr>
    </w:p>
    <w:p>
      <w:pPr>
        <w:ind w:left="8" w:right="100"/>
        <w:spacing w:after="0" w:line="276" w:lineRule="auto"/>
        <w:rPr>
          <w:sz w:val="20"/>
          <w:szCs w:val="20"/>
          <w:color w:val="auto"/>
        </w:rPr>
      </w:pPr>
      <w:r>
        <w:rPr>
          <w:rFonts w:ascii="Arial" w:cs="Arial" w:eastAsia="Arial" w:hAnsi="Arial"/>
          <w:sz w:val="12"/>
          <w:szCs w:val="12"/>
          <w:color w:val="auto"/>
        </w:rPr>
        <w:t>Indicate by checkmark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88"/>
          </w:cols>
          <w:pgMar w:left="212" w:top="415" w:right="199" w:bottom="1440" w:gutter="0" w:footer="0" w:header="0"/>
        </w:sectPr>
      </w:pPr>
    </w:p>
    <w:p>
      <w:pPr>
        <w:spacing w:after="0" w:line="124" w:lineRule="exact"/>
        <w:rPr>
          <w:sz w:val="24"/>
          <w:szCs w:val="24"/>
          <w:color w:val="auto"/>
        </w:rPr>
      </w:pPr>
    </w:p>
    <w:p>
      <w:pPr>
        <w:ind w:left="8"/>
        <w:spacing w:after="0"/>
        <w:rPr>
          <w:sz w:val="20"/>
          <w:szCs w:val="20"/>
          <w:color w:val="auto"/>
        </w:rPr>
      </w:pPr>
      <w:r>
        <w:rPr>
          <w:rFonts w:ascii="Arial" w:cs="Arial" w:eastAsia="Arial" w:hAnsi="Arial"/>
          <w:sz w:val="12"/>
          <w:szCs w:val="12"/>
          <w:color w:val="auto"/>
        </w:rPr>
        <w:t>Large accelerated filer</w:t>
      </w:r>
    </w:p>
    <w:p>
      <w:pPr>
        <w:spacing w:after="0" w:line="15" w:lineRule="exact"/>
        <w:rPr>
          <w:sz w:val="24"/>
          <w:szCs w:val="24"/>
          <w:color w:val="auto"/>
        </w:rPr>
      </w:pPr>
    </w:p>
    <w:p>
      <w:pPr>
        <w:ind w:left="8"/>
        <w:spacing w:after="0"/>
        <w:rPr>
          <w:sz w:val="20"/>
          <w:szCs w:val="20"/>
          <w:color w:val="auto"/>
        </w:rPr>
      </w:pPr>
      <w:r>
        <w:rPr>
          <w:rFonts w:ascii="Arial" w:cs="Arial" w:eastAsia="Arial" w:hAnsi="Arial"/>
          <w:sz w:val="12"/>
          <w:szCs w:val="12"/>
          <w:color w:val="auto"/>
        </w:rPr>
        <w:t>Accelerated filer</w:t>
      </w:r>
    </w:p>
    <w:p>
      <w:pPr>
        <w:spacing w:after="0" w:line="15" w:lineRule="exact"/>
        <w:rPr>
          <w:sz w:val="24"/>
          <w:szCs w:val="24"/>
          <w:color w:val="auto"/>
        </w:rPr>
      </w:pPr>
    </w:p>
    <w:p>
      <w:pPr>
        <w:ind w:left="8"/>
        <w:spacing w:after="0"/>
        <w:rPr>
          <w:sz w:val="20"/>
          <w:szCs w:val="20"/>
          <w:color w:val="auto"/>
        </w:rPr>
      </w:pPr>
      <w:r>
        <w:rPr>
          <w:rFonts w:ascii="Arial" w:cs="Arial" w:eastAsia="Arial" w:hAnsi="Arial"/>
          <w:sz w:val="12"/>
          <w:szCs w:val="12"/>
          <w:color w:val="auto"/>
        </w:rPr>
        <w:t>Non-accelerated filer</w:t>
      </w:r>
    </w:p>
    <w:p>
      <w:pPr>
        <w:spacing w:after="0" w:line="15" w:lineRule="exact"/>
        <w:rPr>
          <w:sz w:val="24"/>
          <w:szCs w:val="24"/>
          <w:color w:val="auto"/>
        </w:rPr>
      </w:pPr>
    </w:p>
    <w:p>
      <w:pPr>
        <w:ind w:left="8"/>
        <w:spacing w:after="0"/>
        <w:rPr>
          <w:sz w:val="20"/>
          <w:szCs w:val="20"/>
          <w:color w:val="auto"/>
        </w:rPr>
      </w:pPr>
      <w:r>
        <w:rPr>
          <w:rFonts w:ascii="Arial" w:cs="Arial" w:eastAsia="Arial" w:hAnsi="Arial"/>
          <w:sz w:val="10"/>
          <w:szCs w:val="10"/>
          <w:color w:val="auto"/>
        </w:rPr>
        <w:t>Smaller reporting company</w:t>
      </w:r>
    </w:p>
    <w:p>
      <w:pPr>
        <w:spacing w:after="0" w:line="38" w:lineRule="exact"/>
        <w:rPr>
          <w:sz w:val="24"/>
          <w:szCs w:val="24"/>
          <w:color w:val="auto"/>
        </w:rPr>
      </w:pPr>
    </w:p>
    <w:p>
      <w:pPr>
        <w:ind w:left="8"/>
        <w:spacing w:after="0"/>
        <w:rPr>
          <w:sz w:val="20"/>
          <w:szCs w:val="20"/>
          <w:color w:val="auto"/>
        </w:rPr>
      </w:pPr>
      <w:r>
        <w:rPr>
          <w:rFonts w:ascii="Arial" w:cs="Arial" w:eastAsia="Arial" w:hAnsi="Arial"/>
          <w:sz w:val="10"/>
          <w:szCs w:val="10"/>
          <w:color w:val="auto"/>
        </w:rPr>
        <w:t>Emerging growth company</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0"/>
          <w:szCs w:val="10"/>
          <w:color w:val="auto"/>
        </w:rPr>
        <w:t>o</w:t>
      </w:r>
    </w:p>
    <w:p>
      <w:pPr>
        <w:spacing w:after="0" w:line="38" w:lineRule="exact"/>
        <w:rPr>
          <w:sz w:val="24"/>
          <w:szCs w:val="24"/>
          <w:color w:val="auto"/>
        </w:rPr>
      </w:pPr>
    </w:p>
    <w:p>
      <w:pPr>
        <w:spacing w:after="0"/>
        <w:rPr>
          <w:sz w:val="20"/>
          <w:szCs w:val="20"/>
          <w:color w:val="auto"/>
        </w:rPr>
      </w:pPr>
      <w:r>
        <w:rPr>
          <w:rFonts w:ascii="Arial" w:cs="Arial" w:eastAsia="Arial" w:hAnsi="Arial"/>
          <w:sz w:val="10"/>
          <w:szCs w:val="10"/>
          <w:color w:val="auto"/>
        </w:rPr>
        <w:t>o</w:t>
      </w:r>
    </w:p>
    <w:p>
      <w:pPr>
        <w:spacing w:after="0" w:line="38" w:lineRule="exact"/>
        <w:rPr>
          <w:sz w:val="24"/>
          <w:szCs w:val="24"/>
          <w:color w:val="auto"/>
        </w:rPr>
      </w:pPr>
    </w:p>
    <w:p>
      <w:pPr>
        <w:spacing w:after="0"/>
        <w:rPr>
          <w:sz w:val="20"/>
          <w:szCs w:val="20"/>
          <w:color w:val="auto"/>
        </w:rPr>
      </w:pPr>
      <w:r>
        <w:rPr>
          <w:rFonts w:ascii="Arial" w:cs="Arial" w:eastAsia="Arial" w:hAnsi="Arial"/>
          <w:sz w:val="12"/>
          <w:szCs w:val="12"/>
          <w:color w:val="auto"/>
        </w:rPr>
        <w:t>x</w:t>
      </w:r>
    </w:p>
    <w:p>
      <w:pPr>
        <w:spacing w:after="0" w:line="15" w:lineRule="exact"/>
        <w:rPr>
          <w:sz w:val="24"/>
          <w:szCs w:val="24"/>
          <w:color w:val="auto"/>
        </w:rPr>
      </w:pPr>
    </w:p>
    <w:p>
      <w:pPr>
        <w:spacing w:after="0"/>
        <w:rPr>
          <w:sz w:val="20"/>
          <w:szCs w:val="20"/>
          <w:color w:val="auto"/>
        </w:rPr>
      </w:pPr>
      <w:r>
        <w:rPr>
          <w:rFonts w:ascii="Arial" w:cs="Arial" w:eastAsia="Arial" w:hAnsi="Arial"/>
          <w:sz w:val="10"/>
          <w:szCs w:val="10"/>
          <w:color w:val="auto"/>
        </w:rPr>
        <w:t>o</w:t>
      </w:r>
    </w:p>
    <w:p>
      <w:pPr>
        <w:spacing w:after="0" w:line="38" w:lineRule="exact"/>
        <w:rPr>
          <w:sz w:val="24"/>
          <w:szCs w:val="24"/>
          <w:color w:val="auto"/>
        </w:rPr>
      </w:pPr>
    </w:p>
    <w:p>
      <w:pPr>
        <w:spacing w:after="0"/>
        <w:rPr>
          <w:sz w:val="20"/>
          <w:szCs w:val="20"/>
          <w:color w:val="auto"/>
        </w:rPr>
      </w:pPr>
      <w:r>
        <w:rPr>
          <w:rFonts w:ascii="Arial" w:cs="Arial" w:eastAsia="Arial" w:hAnsi="Arial"/>
          <w:sz w:val="12"/>
          <w:szCs w:val="12"/>
          <w:color w:val="auto"/>
        </w:rPr>
        <w:t>x</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0" w:lineRule="exact"/>
        <w:rPr>
          <w:sz w:val="24"/>
          <w:szCs w:val="24"/>
          <w:color w:val="auto"/>
        </w:rPr>
      </w:pPr>
    </w:p>
    <w:p>
      <w:pPr>
        <w:jc w:val="center"/>
        <w:ind w:right="2920"/>
        <w:spacing w:after="0"/>
        <w:rPr>
          <w:sz w:val="20"/>
          <w:szCs w:val="20"/>
          <w:color w:val="auto"/>
        </w:rPr>
      </w:pPr>
      <w:r>
        <w:rPr>
          <w:rFonts w:ascii="Arial" w:cs="Arial" w:eastAsia="Arial" w:hAnsi="Arial"/>
          <w:sz w:val="11"/>
          <w:szCs w:val="11"/>
          <w:color w:val="auto"/>
        </w:rPr>
        <w:t>(Do not check if a smaller reporting company)</w:t>
      </w:r>
    </w:p>
    <w:p>
      <w:pPr>
        <w:spacing w:after="0" w:line="467" w:lineRule="exact"/>
        <w:rPr>
          <w:sz w:val="24"/>
          <w:szCs w:val="24"/>
          <w:color w:val="auto"/>
        </w:rPr>
      </w:pPr>
    </w:p>
    <w:p>
      <w:pPr>
        <w:sectPr>
          <w:pgSz w:w="11900" w:h="16838" w:orient="portrait"/>
          <w:cols w:equalWidth="0" w:num="3">
            <w:col w:w="2868" w:space="720"/>
            <w:col w:w="2040" w:space="720"/>
            <w:col w:w="5140"/>
          </w:cols>
          <w:pgMar w:left="212" w:top="415" w:right="199" w:bottom="1440" w:gutter="0" w:footer="0" w:header="0"/>
          <w:type w:val="continuous"/>
        </w:sectPr>
      </w:pPr>
    </w:p>
    <w:p>
      <w:pPr>
        <w:ind w:left="8" w:right="100"/>
        <w:spacing w:after="0" w:line="276" w:lineRule="auto"/>
        <w:rPr>
          <w:sz w:val="20"/>
          <w:szCs w:val="20"/>
          <w:color w:val="auto"/>
        </w:rPr>
      </w:pPr>
      <w:r>
        <w:rPr>
          <w:rFonts w:ascii="Arial" w:cs="Arial" w:eastAsia="Arial" w:hAnsi="Arial"/>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47" w:lineRule="exact"/>
        <w:rPr>
          <w:sz w:val="24"/>
          <w:szCs w:val="24"/>
          <w:color w:val="auto"/>
        </w:rPr>
      </w:pPr>
    </w:p>
    <w:p>
      <w:pPr>
        <w:ind w:left="8"/>
        <w:spacing w:after="0" w:line="138" w:lineRule="exact"/>
        <w:tabs>
          <w:tab w:leader="none" w:pos="5908" w:val="left"/>
        </w:tabs>
        <w:rPr>
          <w:sz w:val="20"/>
          <w:szCs w:val="20"/>
          <w:color w:val="auto"/>
        </w:rPr>
      </w:pPr>
      <w:r>
        <w:rPr>
          <w:rFonts w:ascii="Arial" w:cs="Arial" w:eastAsia="Arial" w:hAnsi="Arial"/>
          <w:sz w:val="11"/>
          <w:szCs w:val="11"/>
          <w:color w:val="auto"/>
        </w:rPr>
        <w:t>Indicate by checkmark whether the registrant is a shell company (as defined in Rule 12b-2 of the Exchange Act).  o Yes</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119" w:lineRule="exact"/>
        <w:rPr>
          <w:sz w:val="24"/>
          <w:szCs w:val="24"/>
          <w:color w:val="auto"/>
        </w:rPr>
      </w:pPr>
    </w:p>
    <w:p>
      <w:pPr>
        <w:ind w:left="8"/>
        <w:spacing w:after="0"/>
        <w:rPr>
          <w:sz w:val="20"/>
          <w:szCs w:val="20"/>
          <w:color w:val="auto"/>
        </w:rPr>
      </w:pPr>
      <w:r>
        <w:rPr>
          <w:rFonts w:ascii="Arial" w:cs="Arial" w:eastAsia="Arial" w:hAnsi="Arial"/>
          <w:sz w:val="12"/>
          <w:szCs w:val="12"/>
          <w:color w:val="auto"/>
        </w:rPr>
        <w:t>The number of shares of Registrant’s common stock outstanding on August 3, 2018 was 22,359,844. No preferred shares are issued or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72923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32385</wp:posOffset>
            </wp:positionV>
            <wp:extent cx="72923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328" w:lineRule="exact"/>
        <w:rPr>
          <w:sz w:val="24"/>
          <w:szCs w:val="24"/>
          <w:color w:val="auto"/>
        </w:rPr>
      </w:pPr>
    </w:p>
    <w:p>
      <w:pPr>
        <w:jc w:val="center"/>
        <w:ind w:right="32"/>
        <w:spacing w:after="0"/>
        <w:rPr>
          <w:sz w:val="20"/>
          <w:szCs w:val="20"/>
          <w:color w:val="auto"/>
        </w:rPr>
      </w:pPr>
      <w:r>
        <w:rPr>
          <w:rFonts w:ascii="Arial" w:cs="Arial" w:eastAsia="Arial" w:hAnsi="Arial"/>
          <w:sz w:val="12"/>
          <w:szCs w:val="12"/>
          <w:color w:val="auto"/>
        </w:rPr>
        <w: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2923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2340" cy="17145"/>
                    </a:xfrm>
                    <a:prstGeom prst="rect">
                      <a:avLst/>
                    </a:prstGeom>
                    <a:noFill/>
                  </pic:spPr>
                </pic:pic>
              </a:graphicData>
            </a:graphic>
          </wp:anchor>
        </w:drawing>
      </w:r>
    </w:p>
    <w:p>
      <w:pPr>
        <w:sectPr>
          <w:pgSz w:w="11900" w:h="16838" w:orient="portrait"/>
          <w:cols w:equalWidth="0" w:num="1">
            <w:col w:w="11488"/>
          </w:cols>
          <w:pgMar w:left="212" w:top="415" w:right="1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7"/>
        </w:trPr>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40" w:type="dxa"/>
            <w:vAlign w:val="bottom"/>
            <w:gridSpan w:val="2"/>
          </w:tcPr>
          <w:p>
            <w:pPr>
              <w:ind w:left="880"/>
              <w:spacing w:after="0"/>
              <w:rPr>
                <w:sz w:val="20"/>
                <w:szCs w:val="20"/>
                <w:color w:val="auto"/>
              </w:rPr>
            </w:pPr>
            <w:r>
              <w:rPr>
                <w:rFonts w:ascii="Arial" w:cs="Arial" w:eastAsia="Arial" w:hAnsi="Arial"/>
                <w:sz w:val="12"/>
                <w:szCs w:val="12"/>
                <w:b w:val="1"/>
                <w:bCs w:val="1"/>
                <w:color w:val="auto"/>
              </w:rPr>
              <w:t>TABLE OF CONTENTS</w:t>
            </w:r>
          </w:p>
        </w:tc>
        <w:tc>
          <w:tcPr>
            <w:tcW w:w="2620" w:type="dxa"/>
            <w:vAlign w:val="bottom"/>
          </w:tcPr>
          <w:p>
            <w:pPr>
              <w:spacing w:after="0"/>
              <w:rPr>
                <w:sz w:val="13"/>
                <w:szCs w:val="13"/>
                <w:color w:val="auto"/>
              </w:rPr>
            </w:pPr>
          </w:p>
        </w:tc>
      </w:tr>
      <w:tr>
        <w:trPr>
          <w:trHeight w:val="234"/>
        </w:trPr>
        <w:tc>
          <w:tcPr>
            <w:tcW w:w="8860" w:type="dxa"/>
            <w:vAlign w:val="bottom"/>
            <w:gridSpan w:val="22"/>
          </w:tcPr>
          <w:p>
            <w:pPr>
              <w:spacing w:after="0"/>
              <w:rPr>
                <w:rFonts w:ascii="Arial" w:cs="Arial" w:eastAsia="Arial" w:hAnsi="Arial"/>
                <w:sz w:val="12"/>
                <w:szCs w:val="12"/>
                <w:color w:val="0000EE"/>
              </w:rPr>
            </w:pPr>
            <w:hyperlink w:anchor="page5">
              <w:r>
                <w:rPr>
                  <w:rFonts w:ascii="Arial" w:cs="Arial" w:eastAsia="Arial" w:hAnsi="Arial"/>
                  <w:sz w:val="12"/>
                  <w:szCs w:val="12"/>
                  <w:color w:val="0000EE"/>
                </w:rPr>
                <w:t>Part I. - FINANCIAL INFORMATION</w:t>
              </w:r>
            </w:hyperlink>
          </w:p>
        </w:tc>
        <w:tc>
          <w:tcPr>
            <w:tcW w:w="2620" w:type="dxa"/>
            <w:vAlign w:val="bottom"/>
          </w:tcPr>
          <w:p>
            <w:pPr>
              <w:jc w:val="right"/>
              <w:spacing w:after="0"/>
              <w:rPr>
                <w:sz w:val="20"/>
                <w:szCs w:val="20"/>
                <w:color w:val="auto"/>
              </w:rPr>
            </w:pPr>
            <w:r>
              <w:rPr>
                <w:rFonts w:ascii="Arial" w:cs="Arial" w:eastAsia="Arial" w:hAnsi="Arial"/>
                <w:sz w:val="12"/>
                <w:szCs w:val="12"/>
                <w:color w:val="auto"/>
              </w:rPr>
              <w:t>3</w:t>
            </w:r>
          </w:p>
        </w:tc>
      </w:tr>
      <w:tr>
        <w:trPr>
          <w:trHeight w:val="241"/>
        </w:trPr>
        <w:tc>
          <w:tcPr>
            <w:tcW w:w="420" w:type="dxa"/>
            <w:vAlign w:val="bottom"/>
            <w:tcBorders>
              <w:top w:val="single" w:sz="8" w:color="0000EE"/>
            </w:tcBorders>
          </w:tcPr>
          <w:p>
            <w:pPr>
              <w:spacing w:after="0"/>
              <w:rPr>
                <w:sz w:val="20"/>
                <w:szCs w:val="20"/>
                <w:color w:val="auto"/>
              </w:rPr>
            </w:pPr>
          </w:p>
        </w:tc>
        <w:tc>
          <w:tcPr>
            <w:tcW w:w="1460" w:type="dxa"/>
            <w:vAlign w:val="bottom"/>
            <w:tcBorders>
              <w:top w:val="single" w:sz="8" w:color="0000EE"/>
            </w:tcBorders>
            <w:gridSpan w:val="9"/>
          </w:tcPr>
          <w:p>
            <w:pPr>
              <w:spacing w:after="0"/>
              <w:rPr>
                <w:rFonts w:ascii="Arial" w:cs="Arial" w:eastAsia="Arial" w:hAnsi="Arial"/>
                <w:sz w:val="12"/>
                <w:szCs w:val="12"/>
                <w:color w:val="0000EE"/>
                <w:w w:val="90"/>
              </w:rPr>
            </w:pPr>
            <w:hyperlink w:anchor="page5">
              <w:r>
                <w:rPr>
                  <w:rFonts w:ascii="Arial" w:cs="Arial" w:eastAsia="Arial" w:hAnsi="Arial"/>
                  <w:sz w:val="12"/>
                  <w:szCs w:val="12"/>
                  <w:color w:val="0000EE"/>
                  <w:w w:val="90"/>
                </w:rPr>
                <w:t>Item 1. - Financial Statements</w:t>
              </w:r>
            </w:hyperlink>
          </w:p>
        </w:tc>
        <w:tc>
          <w:tcPr>
            <w:tcW w:w="6980" w:type="dxa"/>
            <w:vAlign w:val="bottom"/>
            <w:gridSpan w:val="12"/>
          </w:tcPr>
          <w:p>
            <w:pPr>
              <w:spacing w:after="0"/>
              <w:rPr>
                <w:sz w:val="20"/>
                <w:szCs w:val="20"/>
                <w:color w:val="auto"/>
              </w:rPr>
            </w:pPr>
          </w:p>
        </w:tc>
        <w:tc>
          <w:tcPr>
            <w:tcW w:w="2620" w:type="dxa"/>
            <w:vAlign w:val="bottom"/>
          </w:tcPr>
          <w:p>
            <w:pPr>
              <w:jc w:val="right"/>
              <w:spacing w:after="0"/>
              <w:rPr>
                <w:sz w:val="20"/>
                <w:szCs w:val="20"/>
                <w:color w:val="auto"/>
              </w:rPr>
            </w:pPr>
            <w:r>
              <w:rPr>
                <w:rFonts w:ascii="Arial" w:cs="Arial" w:eastAsia="Arial" w:hAnsi="Arial"/>
                <w:sz w:val="12"/>
                <w:szCs w:val="12"/>
                <w:color w:val="auto"/>
              </w:rPr>
              <w:t>3</w:t>
            </w:r>
          </w:p>
        </w:tc>
      </w:tr>
      <w:tr>
        <w:trPr>
          <w:trHeight w:val="20"/>
        </w:trPr>
        <w:tc>
          <w:tcPr>
            <w:tcW w:w="4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41"/>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0" w:type="dxa"/>
            <w:vAlign w:val="bottom"/>
            <w:gridSpan w:val="20"/>
          </w:tcPr>
          <w:p>
            <w:pPr>
              <w:spacing w:after="0"/>
              <w:rPr>
                <w:rFonts w:ascii="Arial" w:cs="Arial" w:eastAsia="Arial" w:hAnsi="Arial"/>
                <w:sz w:val="12"/>
                <w:szCs w:val="12"/>
                <w:color w:val="0000EE"/>
              </w:rPr>
            </w:pPr>
            <w:hyperlink w:anchor="page5">
              <w:r>
                <w:rPr>
                  <w:rFonts w:ascii="Arial" w:cs="Arial" w:eastAsia="Arial" w:hAnsi="Arial"/>
                  <w:sz w:val="12"/>
                  <w:szCs w:val="12"/>
                  <w:color w:val="0000EE"/>
                </w:rPr>
                <w:t>Unaudited Consolidated Balance Sheets</w:t>
              </w:r>
            </w:hyperlink>
          </w:p>
        </w:tc>
        <w:tc>
          <w:tcPr>
            <w:tcW w:w="2620" w:type="dxa"/>
            <w:vAlign w:val="bottom"/>
          </w:tcPr>
          <w:p>
            <w:pPr>
              <w:jc w:val="right"/>
              <w:spacing w:after="0"/>
              <w:rPr>
                <w:sz w:val="20"/>
                <w:szCs w:val="20"/>
                <w:color w:val="auto"/>
              </w:rPr>
            </w:pPr>
            <w:r>
              <w:rPr>
                <w:rFonts w:ascii="Arial" w:cs="Arial" w:eastAsia="Arial" w:hAnsi="Arial"/>
                <w:sz w:val="12"/>
                <w:szCs w:val="12"/>
                <w:color w:val="auto"/>
              </w:rPr>
              <w:t>3</w:t>
            </w:r>
          </w:p>
        </w:tc>
      </w:tr>
      <w:tr>
        <w:trPr>
          <w:trHeight w:val="20"/>
        </w:trPr>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0" w:type="dxa"/>
            <w:vAlign w:val="bottom"/>
            <w:gridSpan w:val="20"/>
          </w:tcPr>
          <w:p>
            <w:pPr>
              <w:spacing w:after="0" w:line="124" w:lineRule="exact"/>
              <w:rPr>
                <w:rFonts w:ascii="Arial" w:cs="Arial" w:eastAsia="Arial" w:hAnsi="Arial"/>
                <w:sz w:val="12"/>
                <w:szCs w:val="12"/>
                <w:color w:val="0000EE"/>
              </w:rPr>
            </w:pPr>
            <w:hyperlink w:anchor="page6">
              <w:r>
                <w:rPr>
                  <w:rFonts w:ascii="Arial" w:cs="Arial" w:eastAsia="Arial" w:hAnsi="Arial"/>
                  <w:sz w:val="12"/>
                  <w:szCs w:val="12"/>
                  <w:color w:val="0000EE"/>
                </w:rPr>
                <w:t>Unaudited Consolidated Statements of Operations</w:t>
              </w:r>
            </w:hyperlink>
          </w:p>
        </w:tc>
        <w:tc>
          <w:tcPr>
            <w:tcW w:w="2620" w:type="dxa"/>
            <w:vAlign w:val="bottom"/>
          </w:tcPr>
          <w:p>
            <w:pPr>
              <w:jc w:val="right"/>
              <w:spacing w:after="0" w:line="124" w:lineRule="exact"/>
              <w:rPr>
                <w:sz w:val="20"/>
                <w:szCs w:val="20"/>
                <w:color w:val="auto"/>
              </w:rPr>
            </w:pPr>
            <w:r>
              <w:rPr>
                <w:rFonts w:ascii="Arial" w:cs="Arial" w:eastAsia="Arial" w:hAnsi="Arial"/>
                <w:sz w:val="12"/>
                <w:szCs w:val="12"/>
                <w:color w:val="auto"/>
              </w:rPr>
              <w:t>4</w:t>
            </w:r>
          </w:p>
        </w:tc>
      </w:tr>
      <w:tr>
        <w:trPr>
          <w:trHeight w:val="20"/>
        </w:trPr>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360" w:type="dxa"/>
            <w:vAlign w:val="bottom"/>
            <w:tcBorders>
              <w:bottom w:val="single" w:sz="8" w:color="0000EE"/>
            </w:tcBorders>
            <w:gridSpan w:val="18"/>
          </w:tcPr>
          <w:p>
            <w:pPr>
              <w:spacing w:after="0" w:line="124" w:lineRule="exact"/>
              <w:rPr>
                <w:rFonts w:ascii="Arial" w:cs="Arial" w:eastAsia="Arial" w:hAnsi="Arial"/>
                <w:sz w:val="12"/>
                <w:szCs w:val="12"/>
                <w:color w:val="0000EE"/>
                <w:w w:val="89"/>
              </w:rPr>
            </w:pPr>
            <w:hyperlink w:anchor="page7">
              <w:r>
                <w:rPr>
                  <w:rFonts w:ascii="Arial" w:cs="Arial" w:eastAsia="Arial" w:hAnsi="Arial"/>
                  <w:sz w:val="12"/>
                  <w:szCs w:val="12"/>
                  <w:color w:val="0000EE"/>
                  <w:w w:val="89"/>
                </w:rPr>
                <w:t>Unaudited Consolidated Statements of Comprehensive Income (Loss)</w:t>
              </w:r>
            </w:hyperlink>
          </w:p>
        </w:tc>
        <w:tc>
          <w:tcPr>
            <w:tcW w:w="4640" w:type="dxa"/>
            <w:vAlign w:val="bottom"/>
            <w:gridSpan w:val="2"/>
          </w:tcPr>
          <w:p>
            <w:pPr>
              <w:spacing w:after="0"/>
              <w:rPr>
                <w:sz w:val="10"/>
                <w:szCs w:val="10"/>
                <w:color w:val="auto"/>
              </w:rPr>
            </w:pPr>
          </w:p>
        </w:tc>
        <w:tc>
          <w:tcPr>
            <w:tcW w:w="2620" w:type="dxa"/>
            <w:vAlign w:val="bottom"/>
          </w:tcPr>
          <w:p>
            <w:pPr>
              <w:jc w:val="right"/>
              <w:spacing w:after="0" w:line="124" w:lineRule="exact"/>
              <w:rPr>
                <w:sz w:val="20"/>
                <w:szCs w:val="20"/>
                <w:color w:val="auto"/>
              </w:rPr>
            </w:pPr>
            <w:r>
              <w:rPr>
                <w:rFonts w:ascii="Arial" w:cs="Arial" w:eastAsia="Arial" w:hAnsi="Arial"/>
                <w:sz w:val="12"/>
                <w:szCs w:val="12"/>
                <w:color w:val="auto"/>
              </w:rPr>
              <w:t>5</w:t>
            </w:r>
          </w:p>
        </w:tc>
      </w:tr>
      <w:tr>
        <w:trPr>
          <w:trHeight w:val="124"/>
        </w:trPr>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720" w:type="dxa"/>
            <w:vAlign w:val="bottom"/>
            <w:tcBorders>
              <w:bottom w:val="single" w:sz="8" w:color="0000EE"/>
            </w:tcBorders>
            <w:gridSpan w:val="15"/>
          </w:tcPr>
          <w:p>
            <w:pPr>
              <w:spacing w:after="0" w:line="124" w:lineRule="exact"/>
              <w:rPr>
                <w:rFonts w:ascii="Arial" w:cs="Arial" w:eastAsia="Arial" w:hAnsi="Arial"/>
                <w:sz w:val="12"/>
                <w:szCs w:val="12"/>
                <w:color w:val="0000EE"/>
                <w:w w:val="89"/>
              </w:rPr>
            </w:pPr>
            <w:hyperlink w:anchor="page8">
              <w:r>
                <w:rPr>
                  <w:rFonts w:ascii="Arial" w:cs="Arial" w:eastAsia="Arial" w:hAnsi="Arial"/>
                  <w:sz w:val="12"/>
                  <w:szCs w:val="12"/>
                  <w:color w:val="0000EE"/>
                  <w:w w:val="89"/>
                </w:rPr>
                <w:t>Unaudited Consolidated Statement of Changes in Equity</w:t>
              </w:r>
            </w:hyperlink>
          </w:p>
        </w:tc>
        <w:tc>
          <w:tcPr>
            <w:tcW w:w="5280" w:type="dxa"/>
            <w:vAlign w:val="bottom"/>
            <w:gridSpan w:val="5"/>
          </w:tcPr>
          <w:p>
            <w:pPr>
              <w:spacing w:after="0"/>
              <w:rPr>
                <w:sz w:val="10"/>
                <w:szCs w:val="10"/>
                <w:color w:val="auto"/>
              </w:rPr>
            </w:pPr>
          </w:p>
        </w:tc>
        <w:tc>
          <w:tcPr>
            <w:tcW w:w="2620" w:type="dxa"/>
            <w:vAlign w:val="bottom"/>
          </w:tcPr>
          <w:p>
            <w:pPr>
              <w:jc w:val="right"/>
              <w:spacing w:after="0" w:line="124" w:lineRule="exact"/>
              <w:rPr>
                <w:sz w:val="20"/>
                <w:szCs w:val="20"/>
                <w:color w:val="auto"/>
              </w:rPr>
            </w:pPr>
            <w:r>
              <w:rPr>
                <w:rFonts w:ascii="Arial" w:cs="Arial" w:eastAsia="Arial" w:hAnsi="Arial"/>
                <w:sz w:val="12"/>
                <w:szCs w:val="12"/>
                <w:color w:val="auto"/>
              </w:rPr>
              <w:t>6</w:t>
            </w:r>
          </w:p>
        </w:tc>
      </w:tr>
      <w:tr>
        <w:trPr>
          <w:trHeight w:val="124"/>
        </w:trPr>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0" w:type="dxa"/>
            <w:vAlign w:val="bottom"/>
            <w:gridSpan w:val="20"/>
          </w:tcPr>
          <w:p>
            <w:pPr>
              <w:spacing w:after="0" w:line="124" w:lineRule="exact"/>
              <w:rPr>
                <w:rFonts w:ascii="Arial" w:cs="Arial" w:eastAsia="Arial" w:hAnsi="Arial"/>
                <w:sz w:val="12"/>
                <w:szCs w:val="12"/>
                <w:color w:val="0000EE"/>
              </w:rPr>
            </w:pPr>
            <w:hyperlink w:anchor="page9">
              <w:r>
                <w:rPr>
                  <w:rFonts w:ascii="Arial" w:cs="Arial" w:eastAsia="Arial" w:hAnsi="Arial"/>
                  <w:sz w:val="12"/>
                  <w:szCs w:val="12"/>
                  <w:color w:val="0000EE"/>
                </w:rPr>
                <w:t>Unaudited Consolidated Statements of Cash Flows</w:t>
              </w:r>
            </w:hyperlink>
          </w:p>
        </w:tc>
        <w:tc>
          <w:tcPr>
            <w:tcW w:w="2620" w:type="dxa"/>
            <w:vAlign w:val="bottom"/>
          </w:tcPr>
          <w:p>
            <w:pPr>
              <w:jc w:val="right"/>
              <w:spacing w:after="0" w:line="124" w:lineRule="exact"/>
              <w:rPr>
                <w:sz w:val="20"/>
                <w:szCs w:val="20"/>
                <w:color w:val="auto"/>
              </w:rPr>
            </w:pPr>
            <w:r>
              <w:rPr>
                <w:rFonts w:ascii="Arial" w:cs="Arial" w:eastAsia="Arial" w:hAnsi="Arial"/>
                <w:sz w:val="12"/>
                <w:szCs w:val="12"/>
                <w:color w:val="auto"/>
              </w:rPr>
              <w:t>7</w:t>
            </w:r>
          </w:p>
        </w:tc>
      </w:tr>
      <w:tr>
        <w:trPr>
          <w:trHeight w:val="20"/>
        </w:trPr>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24"/>
        </w:trPr>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0" w:type="dxa"/>
            <w:vAlign w:val="bottom"/>
            <w:gridSpan w:val="20"/>
          </w:tcPr>
          <w:p>
            <w:pPr>
              <w:spacing w:after="0" w:line="124" w:lineRule="exact"/>
              <w:rPr>
                <w:rFonts w:ascii="Arial" w:cs="Arial" w:eastAsia="Arial" w:hAnsi="Arial"/>
                <w:sz w:val="12"/>
                <w:szCs w:val="12"/>
                <w:color w:val="0000EE"/>
              </w:rPr>
            </w:pPr>
            <w:hyperlink w:anchor="page10">
              <w:r>
                <w:rPr>
                  <w:rFonts w:ascii="Arial" w:cs="Arial" w:eastAsia="Arial" w:hAnsi="Arial"/>
                  <w:sz w:val="12"/>
                  <w:szCs w:val="12"/>
                  <w:color w:val="0000EE"/>
                </w:rPr>
                <w:t>Notes to Unaudited Consolidated Financial Statements</w:t>
              </w:r>
            </w:hyperlink>
          </w:p>
        </w:tc>
        <w:tc>
          <w:tcPr>
            <w:tcW w:w="2620" w:type="dxa"/>
            <w:vAlign w:val="bottom"/>
          </w:tcPr>
          <w:p>
            <w:pPr>
              <w:jc w:val="right"/>
              <w:spacing w:after="0" w:line="124" w:lineRule="exact"/>
              <w:rPr>
                <w:sz w:val="20"/>
                <w:szCs w:val="20"/>
                <w:color w:val="auto"/>
              </w:rPr>
            </w:pPr>
            <w:r>
              <w:rPr>
                <w:rFonts w:ascii="Arial" w:cs="Arial" w:eastAsia="Arial" w:hAnsi="Arial"/>
                <w:sz w:val="12"/>
                <w:szCs w:val="12"/>
                <w:color w:val="auto"/>
              </w:rPr>
              <w:t>8</w:t>
            </w:r>
          </w:p>
        </w:tc>
      </w:tr>
      <w:tr>
        <w:trPr>
          <w:trHeight w:val="20"/>
        </w:trPr>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68"/>
        </w:trPr>
        <w:tc>
          <w:tcPr>
            <w:tcW w:w="420" w:type="dxa"/>
            <w:vAlign w:val="bottom"/>
          </w:tcPr>
          <w:p>
            <w:pPr>
              <w:spacing w:after="0"/>
              <w:rPr>
                <w:sz w:val="23"/>
                <w:szCs w:val="23"/>
                <w:color w:val="auto"/>
              </w:rPr>
            </w:pPr>
          </w:p>
        </w:tc>
        <w:tc>
          <w:tcPr>
            <w:tcW w:w="4760" w:type="dxa"/>
            <w:vAlign w:val="bottom"/>
            <w:tcBorders>
              <w:bottom w:val="single" w:sz="8" w:color="0000EE"/>
            </w:tcBorders>
            <w:gridSpan w:val="20"/>
          </w:tcPr>
          <w:p>
            <w:pPr>
              <w:spacing w:after="0"/>
              <w:rPr>
                <w:rFonts w:ascii="Arial" w:cs="Arial" w:eastAsia="Arial" w:hAnsi="Arial"/>
                <w:sz w:val="12"/>
                <w:szCs w:val="12"/>
                <w:color w:val="0000EE"/>
                <w:w w:val="91"/>
              </w:rPr>
            </w:pPr>
            <w:hyperlink w:anchor="page37">
              <w:r>
                <w:rPr>
                  <w:rFonts w:ascii="Arial" w:cs="Arial" w:eastAsia="Arial" w:hAnsi="Arial"/>
                  <w:sz w:val="12"/>
                  <w:szCs w:val="12"/>
                  <w:color w:val="0000EE"/>
                  <w:w w:val="91"/>
                </w:rPr>
                <w:t>Item 2. - Management’s Discussion and Analysis of Financial Condition and Results of Operations</w:t>
              </w:r>
            </w:hyperlink>
          </w:p>
        </w:tc>
        <w:tc>
          <w:tcPr>
            <w:tcW w:w="3680" w:type="dxa"/>
            <w:vAlign w:val="bottom"/>
          </w:tcPr>
          <w:p>
            <w:pPr>
              <w:spacing w:after="0"/>
              <w:rPr>
                <w:sz w:val="23"/>
                <w:szCs w:val="23"/>
                <w:color w:val="auto"/>
              </w:rPr>
            </w:pPr>
          </w:p>
        </w:tc>
        <w:tc>
          <w:tcPr>
            <w:tcW w:w="2620" w:type="dxa"/>
            <w:vAlign w:val="bottom"/>
          </w:tcPr>
          <w:p>
            <w:pPr>
              <w:jc w:val="right"/>
              <w:spacing w:after="0"/>
              <w:rPr>
                <w:sz w:val="20"/>
                <w:szCs w:val="20"/>
                <w:color w:val="auto"/>
              </w:rPr>
            </w:pPr>
            <w:r>
              <w:rPr>
                <w:rFonts w:ascii="Arial" w:cs="Arial" w:eastAsia="Arial" w:hAnsi="Arial"/>
                <w:sz w:val="12"/>
                <w:szCs w:val="12"/>
                <w:color w:val="auto"/>
              </w:rPr>
              <w:t>35</w:t>
            </w:r>
          </w:p>
        </w:tc>
      </w:tr>
      <w:tr>
        <w:trPr>
          <w:trHeight w:val="124"/>
        </w:trPr>
        <w:tc>
          <w:tcPr>
            <w:tcW w:w="420" w:type="dxa"/>
            <w:vAlign w:val="bottom"/>
          </w:tcPr>
          <w:p>
            <w:pPr>
              <w:spacing w:after="0"/>
              <w:rPr>
                <w:sz w:val="10"/>
                <w:szCs w:val="10"/>
                <w:color w:val="auto"/>
              </w:rPr>
            </w:pPr>
          </w:p>
        </w:tc>
        <w:tc>
          <w:tcPr>
            <w:tcW w:w="3320" w:type="dxa"/>
            <w:vAlign w:val="bottom"/>
            <w:tcBorders>
              <w:bottom w:val="single" w:sz="8" w:color="0000EE"/>
            </w:tcBorders>
            <w:gridSpan w:val="17"/>
          </w:tcPr>
          <w:p>
            <w:pPr>
              <w:spacing w:after="0" w:line="124" w:lineRule="exact"/>
              <w:rPr>
                <w:rFonts w:ascii="Arial" w:cs="Arial" w:eastAsia="Arial" w:hAnsi="Arial"/>
                <w:sz w:val="12"/>
                <w:szCs w:val="12"/>
                <w:color w:val="0000EE"/>
                <w:w w:val="91"/>
              </w:rPr>
            </w:pPr>
            <w:hyperlink w:anchor="page58">
              <w:r>
                <w:rPr>
                  <w:rFonts w:ascii="Arial" w:cs="Arial" w:eastAsia="Arial" w:hAnsi="Arial"/>
                  <w:sz w:val="12"/>
                  <w:szCs w:val="12"/>
                  <w:color w:val="0000EE"/>
                  <w:w w:val="91"/>
                </w:rPr>
                <w:t>Item 3. - Quantitative and Qualitative Disclosures about Market Risk</w:t>
              </w:r>
            </w:hyperlink>
          </w:p>
        </w:tc>
        <w:tc>
          <w:tcPr>
            <w:tcW w:w="5120" w:type="dxa"/>
            <w:vAlign w:val="bottom"/>
            <w:gridSpan w:val="4"/>
          </w:tcPr>
          <w:p>
            <w:pPr>
              <w:spacing w:after="0"/>
              <w:rPr>
                <w:sz w:val="10"/>
                <w:szCs w:val="10"/>
                <w:color w:val="auto"/>
              </w:rPr>
            </w:pPr>
          </w:p>
        </w:tc>
        <w:tc>
          <w:tcPr>
            <w:tcW w:w="2620" w:type="dxa"/>
            <w:vAlign w:val="bottom"/>
          </w:tcPr>
          <w:p>
            <w:pPr>
              <w:jc w:val="right"/>
              <w:spacing w:after="0" w:line="124" w:lineRule="exact"/>
              <w:rPr>
                <w:sz w:val="20"/>
                <w:szCs w:val="20"/>
                <w:color w:val="auto"/>
              </w:rPr>
            </w:pPr>
            <w:r>
              <w:rPr>
                <w:rFonts w:ascii="Arial" w:cs="Arial" w:eastAsia="Arial" w:hAnsi="Arial"/>
                <w:sz w:val="12"/>
                <w:szCs w:val="12"/>
                <w:color w:val="auto"/>
              </w:rPr>
              <w:t>56</w:t>
            </w:r>
          </w:p>
        </w:tc>
      </w:tr>
      <w:tr>
        <w:trPr>
          <w:trHeight w:val="124"/>
        </w:trPr>
        <w:tc>
          <w:tcPr>
            <w:tcW w:w="420" w:type="dxa"/>
            <w:vAlign w:val="bottom"/>
          </w:tcPr>
          <w:p>
            <w:pPr>
              <w:spacing w:after="0"/>
              <w:rPr>
                <w:sz w:val="10"/>
                <w:szCs w:val="10"/>
                <w:color w:val="auto"/>
              </w:rPr>
            </w:pPr>
          </w:p>
        </w:tc>
        <w:tc>
          <w:tcPr>
            <w:tcW w:w="8440" w:type="dxa"/>
            <w:vAlign w:val="bottom"/>
            <w:gridSpan w:val="21"/>
          </w:tcPr>
          <w:p>
            <w:pPr>
              <w:spacing w:after="0" w:line="124" w:lineRule="exact"/>
              <w:rPr>
                <w:rFonts w:ascii="Arial" w:cs="Arial" w:eastAsia="Arial" w:hAnsi="Arial"/>
                <w:sz w:val="12"/>
                <w:szCs w:val="12"/>
                <w:color w:val="0000EE"/>
              </w:rPr>
            </w:pPr>
            <w:hyperlink w:anchor="page58">
              <w:r>
                <w:rPr>
                  <w:rFonts w:ascii="Arial" w:cs="Arial" w:eastAsia="Arial" w:hAnsi="Arial"/>
                  <w:sz w:val="12"/>
                  <w:szCs w:val="12"/>
                  <w:color w:val="0000EE"/>
                </w:rPr>
                <w:t>Item 4. - Controls and Procedures</w:t>
              </w:r>
            </w:hyperlink>
          </w:p>
        </w:tc>
        <w:tc>
          <w:tcPr>
            <w:tcW w:w="2620" w:type="dxa"/>
            <w:vAlign w:val="bottom"/>
          </w:tcPr>
          <w:p>
            <w:pPr>
              <w:jc w:val="right"/>
              <w:spacing w:after="0" w:line="124" w:lineRule="exact"/>
              <w:rPr>
                <w:sz w:val="20"/>
                <w:szCs w:val="20"/>
                <w:color w:val="auto"/>
              </w:rPr>
            </w:pPr>
            <w:r>
              <w:rPr>
                <w:rFonts w:ascii="Arial" w:cs="Arial" w:eastAsia="Arial" w:hAnsi="Arial"/>
                <w:sz w:val="12"/>
                <w:szCs w:val="12"/>
                <w:color w:val="auto"/>
              </w:rPr>
              <w:t>56</w:t>
            </w:r>
          </w:p>
        </w:tc>
      </w:tr>
      <w:tr>
        <w:trPr>
          <w:trHeight w:val="20"/>
        </w:trPr>
        <w:tc>
          <w:tcPr>
            <w:tcW w:w="4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gridSpan w:val="7"/>
          </w:tcPr>
          <w:p>
            <w:pPr>
              <w:spacing w:after="0" w:line="20" w:lineRule="exact"/>
              <w:rPr>
                <w:sz w:val="1"/>
                <w:szCs w:val="1"/>
                <w:color w:val="auto"/>
              </w:rPr>
            </w:pPr>
          </w:p>
        </w:tc>
        <w:tc>
          <w:tcPr>
            <w:tcW w:w="5100" w:type="dxa"/>
            <w:vAlign w:val="bottom"/>
            <w:gridSpan w:val="3"/>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41"/>
        </w:trPr>
        <w:tc>
          <w:tcPr>
            <w:tcW w:w="8860" w:type="dxa"/>
            <w:vAlign w:val="bottom"/>
            <w:gridSpan w:val="22"/>
          </w:tcPr>
          <w:p>
            <w:pPr>
              <w:spacing w:after="0"/>
              <w:rPr>
                <w:rFonts w:ascii="Arial" w:cs="Arial" w:eastAsia="Arial" w:hAnsi="Arial"/>
                <w:sz w:val="12"/>
                <w:szCs w:val="12"/>
                <w:color w:val="0000EE"/>
              </w:rPr>
            </w:pPr>
            <w:hyperlink w:anchor="page59">
              <w:r>
                <w:rPr>
                  <w:rFonts w:ascii="Arial" w:cs="Arial" w:eastAsia="Arial" w:hAnsi="Arial"/>
                  <w:sz w:val="12"/>
                  <w:szCs w:val="12"/>
                  <w:color w:val="0000EE"/>
                </w:rPr>
                <w:t>Part II. - OTHER INFORMATION</w:t>
              </w:r>
            </w:hyperlink>
          </w:p>
        </w:tc>
        <w:tc>
          <w:tcPr>
            <w:tcW w:w="2620" w:type="dxa"/>
            <w:vAlign w:val="bottom"/>
          </w:tcPr>
          <w:p>
            <w:pPr>
              <w:jc w:val="right"/>
              <w:spacing w:after="0"/>
              <w:rPr>
                <w:sz w:val="20"/>
                <w:szCs w:val="20"/>
                <w:color w:val="auto"/>
              </w:rPr>
            </w:pPr>
            <w:r>
              <w:rPr>
                <w:rFonts w:ascii="Arial" w:cs="Arial" w:eastAsia="Arial" w:hAnsi="Arial"/>
                <w:sz w:val="12"/>
                <w:szCs w:val="12"/>
                <w:color w:val="auto"/>
              </w:rPr>
              <w:t>57</w:t>
            </w:r>
          </w:p>
        </w:tc>
      </w:tr>
      <w:tr>
        <w:trPr>
          <w:trHeight w:val="20"/>
        </w:trPr>
        <w:tc>
          <w:tcPr>
            <w:tcW w:w="4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380" w:type="dxa"/>
            <w:vAlign w:val="bottom"/>
            <w:gridSpan w:val="7"/>
          </w:tcPr>
          <w:p>
            <w:pPr>
              <w:spacing w:after="0" w:line="20" w:lineRule="exact"/>
              <w:rPr>
                <w:sz w:val="1"/>
                <w:szCs w:val="1"/>
                <w:color w:val="auto"/>
              </w:rPr>
            </w:pPr>
          </w:p>
        </w:tc>
        <w:tc>
          <w:tcPr>
            <w:tcW w:w="5100" w:type="dxa"/>
            <w:vAlign w:val="bottom"/>
            <w:gridSpan w:val="3"/>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41"/>
        </w:trPr>
        <w:tc>
          <w:tcPr>
            <w:tcW w:w="420" w:type="dxa"/>
            <w:vAlign w:val="bottom"/>
          </w:tcPr>
          <w:p>
            <w:pPr>
              <w:spacing w:after="0"/>
              <w:rPr>
                <w:sz w:val="20"/>
                <w:szCs w:val="20"/>
                <w:color w:val="auto"/>
              </w:rPr>
            </w:pPr>
          </w:p>
        </w:tc>
        <w:tc>
          <w:tcPr>
            <w:tcW w:w="1340" w:type="dxa"/>
            <w:vAlign w:val="bottom"/>
            <w:tcBorders>
              <w:bottom w:val="single" w:sz="8" w:color="0000EE"/>
            </w:tcBorders>
            <w:gridSpan w:val="7"/>
          </w:tcPr>
          <w:p>
            <w:pPr>
              <w:spacing w:after="0"/>
              <w:rPr>
                <w:rFonts w:ascii="Arial" w:cs="Arial" w:eastAsia="Arial" w:hAnsi="Arial"/>
                <w:sz w:val="12"/>
                <w:szCs w:val="12"/>
                <w:color w:val="0000EE"/>
                <w:w w:val="89"/>
              </w:rPr>
            </w:pPr>
            <w:hyperlink w:anchor="page59">
              <w:r>
                <w:rPr>
                  <w:rFonts w:ascii="Arial" w:cs="Arial" w:eastAsia="Arial" w:hAnsi="Arial"/>
                  <w:sz w:val="12"/>
                  <w:szCs w:val="12"/>
                  <w:color w:val="0000EE"/>
                  <w:w w:val="89"/>
                </w:rPr>
                <w:t>Item 1. - Legal Proceedings</w:t>
              </w:r>
            </w:hyperlink>
          </w:p>
        </w:tc>
        <w:tc>
          <w:tcPr>
            <w:tcW w:w="7100" w:type="dxa"/>
            <w:vAlign w:val="bottom"/>
            <w:gridSpan w:val="14"/>
          </w:tcPr>
          <w:p>
            <w:pPr>
              <w:spacing w:after="0"/>
              <w:rPr>
                <w:sz w:val="20"/>
                <w:szCs w:val="20"/>
                <w:color w:val="auto"/>
              </w:rPr>
            </w:pPr>
          </w:p>
        </w:tc>
        <w:tc>
          <w:tcPr>
            <w:tcW w:w="2620" w:type="dxa"/>
            <w:vAlign w:val="bottom"/>
          </w:tcPr>
          <w:p>
            <w:pPr>
              <w:jc w:val="right"/>
              <w:spacing w:after="0"/>
              <w:rPr>
                <w:sz w:val="20"/>
                <w:szCs w:val="20"/>
                <w:color w:val="auto"/>
              </w:rPr>
            </w:pPr>
            <w:r>
              <w:rPr>
                <w:rFonts w:ascii="Arial" w:cs="Arial" w:eastAsia="Arial" w:hAnsi="Arial"/>
                <w:sz w:val="12"/>
                <w:szCs w:val="12"/>
                <w:color w:val="auto"/>
              </w:rPr>
              <w:t>57</w:t>
            </w:r>
          </w:p>
        </w:tc>
      </w:tr>
      <w:tr>
        <w:trPr>
          <w:trHeight w:val="124"/>
        </w:trPr>
        <w:tc>
          <w:tcPr>
            <w:tcW w:w="420" w:type="dxa"/>
            <w:vAlign w:val="bottom"/>
          </w:tcPr>
          <w:p>
            <w:pPr>
              <w:spacing w:after="0"/>
              <w:rPr>
                <w:sz w:val="10"/>
                <w:szCs w:val="10"/>
                <w:color w:val="auto"/>
              </w:rPr>
            </w:pPr>
          </w:p>
        </w:tc>
        <w:tc>
          <w:tcPr>
            <w:tcW w:w="1140" w:type="dxa"/>
            <w:vAlign w:val="bottom"/>
            <w:tcBorders>
              <w:bottom w:val="single" w:sz="8" w:color="0000EE"/>
            </w:tcBorders>
            <w:gridSpan w:val="4"/>
          </w:tcPr>
          <w:p>
            <w:pPr>
              <w:spacing w:after="0" w:line="124" w:lineRule="exact"/>
              <w:rPr>
                <w:rFonts w:ascii="Arial" w:cs="Arial" w:eastAsia="Arial" w:hAnsi="Arial"/>
                <w:sz w:val="12"/>
                <w:szCs w:val="12"/>
                <w:color w:val="0000EE"/>
                <w:w w:val="91"/>
              </w:rPr>
            </w:pPr>
            <w:hyperlink w:anchor="page59">
              <w:r>
                <w:rPr>
                  <w:rFonts w:ascii="Arial" w:cs="Arial" w:eastAsia="Arial" w:hAnsi="Arial"/>
                  <w:sz w:val="12"/>
                  <w:szCs w:val="12"/>
                  <w:color w:val="0000EE"/>
                  <w:w w:val="91"/>
                </w:rPr>
                <w:t>Item 1A. - Risk Factors</w:t>
              </w:r>
            </w:hyperlink>
          </w:p>
        </w:tc>
        <w:tc>
          <w:tcPr>
            <w:tcW w:w="7300" w:type="dxa"/>
            <w:vAlign w:val="bottom"/>
            <w:gridSpan w:val="17"/>
          </w:tcPr>
          <w:p>
            <w:pPr>
              <w:spacing w:after="0"/>
              <w:rPr>
                <w:sz w:val="10"/>
                <w:szCs w:val="10"/>
                <w:color w:val="auto"/>
              </w:rPr>
            </w:pPr>
          </w:p>
        </w:tc>
        <w:tc>
          <w:tcPr>
            <w:tcW w:w="2620" w:type="dxa"/>
            <w:vAlign w:val="bottom"/>
          </w:tcPr>
          <w:p>
            <w:pPr>
              <w:jc w:val="right"/>
              <w:spacing w:after="0" w:line="124" w:lineRule="exact"/>
              <w:rPr>
                <w:sz w:val="20"/>
                <w:szCs w:val="20"/>
                <w:color w:val="auto"/>
              </w:rPr>
            </w:pPr>
            <w:r>
              <w:rPr>
                <w:rFonts w:ascii="Arial" w:cs="Arial" w:eastAsia="Arial" w:hAnsi="Arial"/>
                <w:sz w:val="12"/>
                <w:szCs w:val="12"/>
                <w:color w:val="auto"/>
              </w:rPr>
              <w:t>57</w:t>
            </w:r>
          </w:p>
        </w:tc>
      </w:tr>
      <w:tr>
        <w:trPr>
          <w:trHeight w:val="124"/>
        </w:trPr>
        <w:tc>
          <w:tcPr>
            <w:tcW w:w="420" w:type="dxa"/>
            <w:vAlign w:val="bottom"/>
          </w:tcPr>
          <w:p>
            <w:pPr>
              <w:spacing w:after="0"/>
              <w:rPr>
                <w:sz w:val="10"/>
                <w:szCs w:val="10"/>
                <w:color w:val="auto"/>
              </w:rPr>
            </w:pPr>
          </w:p>
        </w:tc>
        <w:tc>
          <w:tcPr>
            <w:tcW w:w="8440" w:type="dxa"/>
            <w:vAlign w:val="bottom"/>
            <w:gridSpan w:val="21"/>
          </w:tcPr>
          <w:p>
            <w:pPr>
              <w:spacing w:after="0" w:line="124" w:lineRule="exact"/>
              <w:rPr>
                <w:rFonts w:ascii="Arial" w:cs="Arial" w:eastAsia="Arial" w:hAnsi="Arial"/>
                <w:sz w:val="12"/>
                <w:szCs w:val="12"/>
                <w:color w:val="0000EE"/>
              </w:rPr>
            </w:pPr>
            <w:hyperlink w:anchor="page59">
              <w:r>
                <w:rPr>
                  <w:rFonts w:ascii="Arial" w:cs="Arial" w:eastAsia="Arial" w:hAnsi="Arial"/>
                  <w:sz w:val="12"/>
                  <w:szCs w:val="12"/>
                  <w:color w:val="0000EE"/>
                </w:rPr>
                <w:t>Item 2. - Unregistered Sales of Equity Securities and Use of Proceeds</w:t>
              </w:r>
            </w:hyperlink>
          </w:p>
        </w:tc>
        <w:tc>
          <w:tcPr>
            <w:tcW w:w="2620" w:type="dxa"/>
            <w:vAlign w:val="bottom"/>
          </w:tcPr>
          <w:p>
            <w:pPr>
              <w:jc w:val="right"/>
              <w:spacing w:after="0" w:line="124" w:lineRule="exact"/>
              <w:rPr>
                <w:sz w:val="20"/>
                <w:szCs w:val="20"/>
                <w:color w:val="auto"/>
              </w:rPr>
            </w:pPr>
            <w:r>
              <w:rPr>
                <w:rFonts w:ascii="Arial" w:cs="Arial" w:eastAsia="Arial" w:hAnsi="Arial"/>
                <w:sz w:val="12"/>
                <w:szCs w:val="12"/>
                <w:color w:val="auto"/>
              </w:rPr>
              <w:t>57</w:t>
            </w:r>
          </w:p>
        </w:tc>
      </w:tr>
      <w:tr>
        <w:trPr>
          <w:trHeight w:val="124"/>
        </w:trPr>
        <w:tc>
          <w:tcPr>
            <w:tcW w:w="420" w:type="dxa"/>
            <w:vAlign w:val="bottom"/>
          </w:tcPr>
          <w:p>
            <w:pPr>
              <w:spacing w:after="0"/>
              <w:rPr>
                <w:sz w:val="10"/>
                <w:szCs w:val="10"/>
                <w:color w:val="auto"/>
              </w:rPr>
            </w:pPr>
          </w:p>
        </w:tc>
        <w:tc>
          <w:tcPr>
            <w:tcW w:w="3340" w:type="dxa"/>
            <w:vAlign w:val="bottom"/>
            <w:tcBorders>
              <w:top w:val="single" w:sz="8" w:color="0000EE"/>
            </w:tcBorders>
            <w:gridSpan w:val="18"/>
          </w:tcPr>
          <w:p>
            <w:pPr>
              <w:spacing w:after="0" w:line="124" w:lineRule="exact"/>
              <w:rPr>
                <w:rFonts w:ascii="Arial" w:cs="Arial" w:eastAsia="Arial" w:hAnsi="Arial"/>
                <w:sz w:val="12"/>
                <w:szCs w:val="12"/>
                <w:color w:val="0000EE"/>
              </w:rPr>
            </w:pPr>
            <w:hyperlink w:anchor="page60">
              <w:r>
                <w:rPr>
                  <w:rFonts w:ascii="Arial" w:cs="Arial" w:eastAsia="Arial" w:hAnsi="Arial"/>
                  <w:sz w:val="12"/>
                  <w:szCs w:val="12"/>
                  <w:color w:val="0000EE"/>
                </w:rPr>
                <w:t>Item 3. - Defaults upon Senior Securities</w:t>
              </w:r>
            </w:hyperlink>
          </w:p>
        </w:tc>
        <w:tc>
          <w:tcPr>
            <w:tcW w:w="5100" w:type="dxa"/>
            <w:vAlign w:val="bottom"/>
            <w:gridSpan w:val="3"/>
          </w:tcPr>
          <w:p>
            <w:pPr>
              <w:spacing w:after="0"/>
              <w:rPr>
                <w:sz w:val="10"/>
                <w:szCs w:val="10"/>
                <w:color w:val="auto"/>
              </w:rPr>
            </w:pPr>
          </w:p>
        </w:tc>
        <w:tc>
          <w:tcPr>
            <w:tcW w:w="2620" w:type="dxa"/>
            <w:vAlign w:val="bottom"/>
          </w:tcPr>
          <w:p>
            <w:pPr>
              <w:jc w:val="right"/>
              <w:spacing w:after="0" w:line="124" w:lineRule="exact"/>
              <w:rPr>
                <w:sz w:val="20"/>
                <w:szCs w:val="20"/>
                <w:color w:val="auto"/>
              </w:rPr>
            </w:pPr>
            <w:r>
              <w:rPr>
                <w:rFonts w:ascii="Arial" w:cs="Arial" w:eastAsia="Arial" w:hAnsi="Arial"/>
                <w:sz w:val="12"/>
                <w:szCs w:val="12"/>
                <w:color w:val="auto"/>
              </w:rPr>
              <w:t>58</w:t>
            </w:r>
          </w:p>
        </w:tc>
      </w:tr>
      <w:tr>
        <w:trPr>
          <w:trHeight w:val="124"/>
        </w:trPr>
        <w:tc>
          <w:tcPr>
            <w:tcW w:w="420" w:type="dxa"/>
            <w:vAlign w:val="bottom"/>
          </w:tcPr>
          <w:p>
            <w:pPr>
              <w:spacing w:after="0"/>
              <w:rPr>
                <w:sz w:val="10"/>
                <w:szCs w:val="10"/>
                <w:color w:val="auto"/>
              </w:rPr>
            </w:pPr>
          </w:p>
        </w:tc>
        <w:tc>
          <w:tcPr>
            <w:tcW w:w="1960" w:type="dxa"/>
            <w:vAlign w:val="bottom"/>
            <w:tcBorders>
              <w:top w:val="single" w:sz="8" w:color="0000EE"/>
            </w:tcBorders>
            <w:gridSpan w:val="11"/>
          </w:tcPr>
          <w:p>
            <w:pPr>
              <w:spacing w:after="0" w:line="124" w:lineRule="exact"/>
              <w:rPr>
                <w:rFonts w:ascii="Arial" w:cs="Arial" w:eastAsia="Arial" w:hAnsi="Arial"/>
                <w:sz w:val="12"/>
                <w:szCs w:val="12"/>
                <w:color w:val="0000EE"/>
              </w:rPr>
            </w:pPr>
            <w:hyperlink w:anchor="page60">
              <w:r>
                <w:rPr>
                  <w:rFonts w:ascii="Arial" w:cs="Arial" w:eastAsia="Arial" w:hAnsi="Arial"/>
                  <w:sz w:val="12"/>
                  <w:szCs w:val="12"/>
                  <w:color w:val="0000EE"/>
                </w:rPr>
                <w:t>Item 4. - Mine Safety Disclosures</w:t>
              </w:r>
            </w:hyperlink>
          </w:p>
        </w:tc>
        <w:tc>
          <w:tcPr>
            <w:tcW w:w="6480" w:type="dxa"/>
            <w:vAlign w:val="bottom"/>
            <w:gridSpan w:val="10"/>
          </w:tcPr>
          <w:p>
            <w:pPr>
              <w:spacing w:after="0"/>
              <w:rPr>
                <w:sz w:val="10"/>
                <w:szCs w:val="10"/>
                <w:color w:val="auto"/>
              </w:rPr>
            </w:pPr>
          </w:p>
        </w:tc>
        <w:tc>
          <w:tcPr>
            <w:tcW w:w="2620" w:type="dxa"/>
            <w:vAlign w:val="bottom"/>
          </w:tcPr>
          <w:p>
            <w:pPr>
              <w:jc w:val="right"/>
              <w:spacing w:after="0" w:line="124" w:lineRule="exact"/>
              <w:rPr>
                <w:sz w:val="20"/>
                <w:szCs w:val="20"/>
                <w:color w:val="auto"/>
              </w:rPr>
            </w:pPr>
            <w:r>
              <w:rPr>
                <w:rFonts w:ascii="Arial" w:cs="Arial" w:eastAsia="Arial" w:hAnsi="Arial"/>
                <w:sz w:val="12"/>
                <w:szCs w:val="12"/>
                <w:color w:val="auto"/>
              </w:rPr>
              <w:t>58</w:t>
            </w:r>
          </w:p>
        </w:tc>
      </w:tr>
      <w:tr>
        <w:trPr>
          <w:trHeight w:val="124"/>
        </w:trPr>
        <w:tc>
          <w:tcPr>
            <w:tcW w:w="420" w:type="dxa"/>
            <w:vAlign w:val="bottom"/>
          </w:tcPr>
          <w:p>
            <w:pPr>
              <w:spacing w:after="0"/>
              <w:rPr>
                <w:sz w:val="10"/>
                <w:szCs w:val="10"/>
                <w:color w:val="auto"/>
              </w:rPr>
            </w:pPr>
          </w:p>
        </w:tc>
        <w:tc>
          <w:tcPr>
            <w:tcW w:w="1620" w:type="dxa"/>
            <w:vAlign w:val="bottom"/>
            <w:tcBorders>
              <w:top w:val="single" w:sz="8" w:color="0000EE"/>
            </w:tcBorders>
            <w:gridSpan w:val="10"/>
          </w:tcPr>
          <w:p>
            <w:pPr>
              <w:spacing w:after="0" w:line="124" w:lineRule="exact"/>
              <w:rPr>
                <w:rFonts w:ascii="Arial" w:cs="Arial" w:eastAsia="Arial" w:hAnsi="Arial"/>
                <w:sz w:val="12"/>
                <w:szCs w:val="12"/>
                <w:color w:val="0000EE"/>
              </w:rPr>
            </w:pPr>
            <w:hyperlink w:anchor="page60">
              <w:r>
                <w:rPr>
                  <w:rFonts w:ascii="Arial" w:cs="Arial" w:eastAsia="Arial" w:hAnsi="Arial"/>
                  <w:sz w:val="12"/>
                  <w:szCs w:val="12"/>
                  <w:color w:val="0000EE"/>
                </w:rPr>
                <w:t>Item 5. - Other Information</w:t>
              </w:r>
            </w:hyperlink>
          </w:p>
        </w:tc>
        <w:tc>
          <w:tcPr>
            <w:tcW w:w="6820" w:type="dxa"/>
            <w:vAlign w:val="bottom"/>
            <w:gridSpan w:val="11"/>
          </w:tcPr>
          <w:p>
            <w:pPr>
              <w:spacing w:after="0"/>
              <w:rPr>
                <w:sz w:val="10"/>
                <w:szCs w:val="10"/>
                <w:color w:val="auto"/>
              </w:rPr>
            </w:pPr>
          </w:p>
        </w:tc>
        <w:tc>
          <w:tcPr>
            <w:tcW w:w="2620" w:type="dxa"/>
            <w:vAlign w:val="bottom"/>
          </w:tcPr>
          <w:p>
            <w:pPr>
              <w:jc w:val="right"/>
              <w:spacing w:after="0" w:line="124" w:lineRule="exact"/>
              <w:rPr>
                <w:sz w:val="20"/>
                <w:szCs w:val="20"/>
                <w:color w:val="auto"/>
              </w:rPr>
            </w:pPr>
            <w:r>
              <w:rPr>
                <w:rFonts w:ascii="Arial" w:cs="Arial" w:eastAsia="Arial" w:hAnsi="Arial"/>
                <w:sz w:val="12"/>
                <w:szCs w:val="12"/>
                <w:color w:val="auto"/>
              </w:rPr>
              <w:t>58</w:t>
            </w:r>
          </w:p>
        </w:tc>
      </w:tr>
      <w:tr>
        <w:trPr>
          <w:trHeight w:val="124"/>
        </w:trPr>
        <w:tc>
          <w:tcPr>
            <w:tcW w:w="420" w:type="dxa"/>
            <w:vAlign w:val="bottom"/>
          </w:tcPr>
          <w:p>
            <w:pPr>
              <w:spacing w:after="0"/>
              <w:rPr>
                <w:sz w:val="10"/>
                <w:szCs w:val="10"/>
                <w:color w:val="auto"/>
              </w:rPr>
            </w:pPr>
          </w:p>
        </w:tc>
        <w:tc>
          <w:tcPr>
            <w:tcW w:w="1320" w:type="dxa"/>
            <w:vAlign w:val="bottom"/>
            <w:tcBorders>
              <w:top w:val="single" w:sz="8" w:color="0000EE"/>
            </w:tcBorders>
            <w:gridSpan w:val="6"/>
          </w:tcPr>
          <w:p>
            <w:pPr>
              <w:spacing w:after="0" w:line="124" w:lineRule="exact"/>
              <w:rPr>
                <w:rFonts w:ascii="Arial" w:cs="Arial" w:eastAsia="Arial" w:hAnsi="Arial"/>
                <w:sz w:val="12"/>
                <w:szCs w:val="12"/>
                <w:color w:val="0000EE"/>
              </w:rPr>
            </w:pPr>
            <w:hyperlink w:anchor="page60">
              <w:r>
                <w:rPr>
                  <w:rFonts w:ascii="Arial" w:cs="Arial" w:eastAsia="Arial" w:hAnsi="Arial"/>
                  <w:sz w:val="12"/>
                  <w:szCs w:val="12"/>
                  <w:color w:val="0000EE"/>
                </w:rPr>
                <w:t>Item 6. - Exhibits</w:t>
              </w:r>
            </w:hyperlink>
          </w:p>
        </w:tc>
        <w:tc>
          <w:tcPr>
            <w:tcW w:w="7120" w:type="dxa"/>
            <w:vAlign w:val="bottom"/>
            <w:gridSpan w:val="15"/>
          </w:tcPr>
          <w:p>
            <w:pPr>
              <w:spacing w:after="0"/>
              <w:rPr>
                <w:sz w:val="10"/>
                <w:szCs w:val="10"/>
                <w:color w:val="auto"/>
              </w:rPr>
            </w:pPr>
          </w:p>
        </w:tc>
        <w:tc>
          <w:tcPr>
            <w:tcW w:w="2620" w:type="dxa"/>
            <w:vAlign w:val="bottom"/>
          </w:tcPr>
          <w:p>
            <w:pPr>
              <w:jc w:val="right"/>
              <w:spacing w:after="0" w:line="124" w:lineRule="exact"/>
              <w:rPr>
                <w:sz w:val="20"/>
                <w:szCs w:val="20"/>
                <w:color w:val="auto"/>
              </w:rPr>
            </w:pPr>
            <w:r>
              <w:rPr>
                <w:rFonts w:ascii="Arial" w:cs="Arial" w:eastAsia="Arial" w:hAnsi="Arial"/>
                <w:sz w:val="12"/>
                <w:szCs w:val="12"/>
                <w:color w:val="auto"/>
              </w:rPr>
              <w:t>58</w:t>
            </w:r>
          </w:p>
        </w:tc>
      </w:tr>
      <w:tr>
        <w:trPr>
          <w:trHeight w:val="124"/>
        </w:trPr>
        <w:tc>
          <w:tcPr>
            <w:tcW w:w="420" w:type="dxa"/>
            <w:vAlign w:val="bottom"/>
          </w:tcPr>
          <w:p>
            <w:pPr>
              <w:spacing w:after="0"/>
              <w:rPr>
                <w:sz w:val="10"/>
                <w:szCs w:val="10"/>
                <w:color w:val="auto"/>
              </w:rPr>
            </w:pPr>
          </w:p>
        </w:tc>
        <w:tc>
          <w:tcPr>
            <w:tcW w:w="520" w:type="dxa"/>
            <w:vAlign w:val="bottom"/>
            <w:tcBorders>
              <w:top w:val="single" w:sz="8" w:color="0000EE"/>
              <w:bottom w:val="single" w:sz="8" w:color="0000EE"/>
            </w:tcBorders>
            <w:gridSpan w:val="2"/>
          </w:tcPr>
          <w:p>
            <w:pPr>
              <w:spacing w:after="0" w:line="124" w:lineRule="exact"/>
              <w:rPr>
                <w:rFonts w:ascii="Arial" w:cs="Arial" w:eastAsia="Arial" w:hAnsi="Arial"/>
                <w:sz w:val="12"/>
                <w:szCs w:val="12"/>
                <w:color w:val="0000EE"/>
                <w:w w:val="87"/>
              </w:rPr>
            </w:pPr>
            <w:hyperlink w:anchor="page61">
              <w:r>
                <w:rPr>
                  <w:rFonts w:ascii="Arial" w:cs="Arial" w:eastAsia="Arial" w:hAnsi="Arial"/>
                  <w:sz w:val="12"/>
                  <w:szCs w:val="12"/>
                  <w:color w:val="0000EE"/>
                  <w:w w:val="87"/>
                </w:rPr>
                <w:t>Signatures</w:t>
              </w:r>
            </w:hyperlink>
          </w:p>
        </w:tc>
        <w:tc>
          <w:tcPr>
            <w:tcW w:w="320" w:type="dxa"/>
            <w:vAlign w:val="bottom"/>
            <w:tcBorders>
              <w:top w:val="single" w:sz="8" w:color="0000EE"/>
            </w:tcBorders>
          </w:tcPr>
          <w:p>
            <w:pPr>
              <w:spacing w:after="0"/>
              <w:rPr>
                <w:sz w:val="10"/>
                <w:szCs w:val="10"/>
                <w:color w:val="auto"/>
              </w:rPr>
            </w:pPr>
          </w:p>
        </w:tc>
        <w:tc>
          <w:tcPr>
            <w:tcW w:w="7600" w:type="dxa"/>
            <w:vAlign w:val="bottom"/>
            <w:gridSpan w:val="18"/>
          </w:tcPr>
          <w:p>
            <w:pPr>
              <w:spacing w:after="0"/>
              <w:rPr>
                <w:sz w:val="10"/>
                <w:szCs w:val="10"/>
                <w:color w:val="auto"/>
              </w:rPr>
            </w:pPr>
          </w:p>
        </w:tc>
        <w:tc>
          <w:tcPr>
            <w:tcW w:w="2620" w:type="dxa"/>
            <w:vAlign w:val="bottom"/>
          </w:tcPr>
          <w:p>
            <w:pPr>
              <w:jc w:val="right"/>
              <w:spacing w:after="0" w:line="124" w:lineRule="exact"/>
              <w:rPr>
                <w:sz w:val="20"/>
                <w:szCs w:val="20"/>
                <w:color w:val="auto"/>
              </w:rPr>
            </w:pPr>
            <w:r>
              <w:rPr>
                <w:rFonts w:ascii="Arial" w:cs="Arial" w:eastAsia="Arial" w:hAnsi="Arial"/>
                <w:sz w:val="12"/>
                <w:szCs w:val="12"/>
                <w:color w:val="auto"/>
              </w:rPr>
              <w:t>59</w:t>
            </w:r>
          </w:p>
        </w:tc>
      </w:tr>
    </w:tbl>
    <w:p>
      <w:pPr>
        <w:spacing w:after="0" w:line="270"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2340" cy="17145"/>
                    </a:xfrm>
                    <a:prstGeom prst="rect">
                      <a:avLst/>
                    </a:prstGeom>
                    <a:noFill/>
                  </pic:spPr>
                </pic:pic>
              </a:graphicData>
            </a:graphic>
          </wp:anchor>
        </w:drawing>
      </w:r>
    </w:p>
    <w:p>
      <w:pPr>
        <w:sectPr>
          <w:pgSz w:w="11900" w:h="16838" w:orient="portrait"/>
          <w:cols w:equalWidth="0" w:num="1">
            <w:col w:w="11480"/>
          </w:cols>
          <w:pgMar w:left="220" w:top="505" w:right="19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2"/>
          <w:szCs w:val="12"/>
          <w:b w:val="1"/>
          <w:bCs w:val="1"/>
          <w:color w:val="auto"/>
        </w:rPr>
        <w:t>CERTAIN IMPORTANT INFORMATION</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color w:val="auto"/>
        </w:rPr>
        <w:t>Unless the context otherwise requires, as used in this quarterly report on Form 10-Q:</w:t>
      </w:r>
    </w:p>
    <w:p>
      <w:pPr>
        <w:spacing w:after="0" w:line="123" w:lineRule="exact"/>
        <w:rPr>
          <w:sz w:val="20"/>
          <w:szCs w:val="20"/>
          <w:color w:val="auto"/>
        </w:rPr>
      </w:pPr>
    </w:p>
    <w:p>
      <w:pPr>
        <w:ind w:left="420" w:right="200" w:hanging="212"/>
        <w:spacing w:after="0" w:line="323" w:lineRule="auto"/>
        <w:tabs>
          <w:tab w:leader="none" w:pos="420" w:val="left"/>
        </w:tabs>
        <w:numPr>
          <w:ilvl w:val="0"/>
          <w:numId w:val="3"/>
        </w:numPr>
        <w:rPr>
          <w:rFonts w:ascii="Arial" w:cs="Arial" w:eastAsia="Arial" w:hAnsi="Arial"/>
          <w:sz w:val="11"/>
          <w:szCs w:val="11"/>
          <w:color w:val="auto"/>
        </w:rPr>
      </w:pPr>
      <w:r>
        <w:rPr>
          <w:rFonts w:ascii="Arial" w:cs="Arial" w:eastAsia="Arial" w:hAnsi="Arial"/>
          <w:sz w:val="11"/>
          <w:szCs w:val="11"/>
          <w:color w:val="auto"/>
        </w:rPr>
        <w:t>“NI Holdings”, “the Company”, “we”, “us”, and “our” refer to NI Holdings, Inc., together with Nodak Insurance and its subsidiaries and Battle Creek Mutual Insurance Company, for periods discussed after completion of the conversion, and for periods discussed prior to completion of the conversion refer to Nodak Mutual Insurance Company and all of its subsidiaries and Battle Creek Mutual Insurance Company;</w:t>
      </w:r>
    </w:p>
    <w:p>
      <w:pPr>
        <w:spacing w:after="0" w:line="73" w:lineRule="exact"/>
        <w:rPr>
          <w:rFonts w:ascii="Arial" w:cs="Arial" w:eastAsia="Arial" w:hAnsi="Arial"/>
          <w:sz w:val="11"/>
          <w:szCs w:val="11"/>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“Nodak Mutual Group” refers to Nodak Mutual Group, Inc., which is the majority shareholder of NI Holdings;</w:t>
      </w:r>
    </w:p>
    <w:p>
      <w:pPr>
        <w:spacing w:after="0" w:line="123" w:lineRule="exact"/>
        <w:rPr>
          <w:rFonts w:ascii="Arial" w:cs="Arial" w:eastAsia="Arial" w:hAnsi="Arial"/>
          <w:sz w:val="12"/>
          <w:szCs w:val="12"/>
          <w:color w:val="auto"/>
        </w:rPr>
      </w:pPr>
    </w:p>
    <w:p>
      <w:pPr>
        <w:ind w:left="420" w:right="80" w:hanging="212"/>
        <w:spacing w:after="0" w:line="276" w:lineRule="auto"/>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“conversion” refers to the series of transactions by which Nodak Mutual Insurance Company converted from a mutual insurance company to a stock insurance company, as Nodak Insurance Company, and became a wholly-owned subsidiary of NI Holdings, an intermediate stock holding company formed on the date of conversion;</w:t>
      </w:r>
    </w:p>
    <w:p>
      <w:pPr>
        <w:spacing w:after="0" w:line="87"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“Nodak Stock” refers to Nodak Insurance Company, the successor company to Nodak Mutual Insurance Company after the conversion;</w:t>
      </w:r>
    </w:p>
    <w:p>
      <w:pPr>
        <w:spacing w:after="0" w:line="132"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“Nodak Mutual” refers to Nodak Mutual Insurance Company, the predecessor company to Nodak Insurance Company prior to the conversion;</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“Nodak Insurance” refers to Nodak Stock or Nodak Mutual interchangeably;</w:t>
      </w:r>
    </w:p>
    <w:p>
      <w:pPr>
        <w:spacing w:after="0" w:line="123"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“members” refers to the policyholders of Nodak Insurance, who are the named insureds under insurance policies issued by Nodak Insurance; and</w:t>
      </w:r>
    </w:p>
    <w:p>
      <w:pPr>
        <w:spacing w:after="0" w:line="132" w:lineRule="exact"/>
        <w:rPr>
          <w:rFonts w:ascii="Arial" w:cs="Arial" w:eastAsia="Arial" w:hAnsi="Arial"/>
          <w:sz w:val="12"/>
          <w:szCs w:val="12"/>
          <w:color w:val="auto"/>
        </w:rPr>
      </w:pPr>
    </w:p>
    <w:p>
      <w:pPr>
        <w:ind w:left="420" w:hanging="212"/>
        <w:spacing w:after="0" w:line="380" w:lineRule="auto"/>
        <w:tabs>
          <w:tab w:leader="none" w:pos="420" w:val="left"/>
        </w:tabs>
        <w:numPr>
          <w:ilvl w:val="0"/>
          <w:numId w:val="3"/>
        </w:numPr>
        <w:rPr>
          <w:rFonts w:ascii="Arial" w:cs="Arial" w:eastAsia="Arial" w:hAnsi="Arial"/>
          <w:sz w:val="10"/>
          <w:szCs w:val="10"/>
          <w:color w:val="auto"/>
        </w:rPr>
      </w:pPr>
      <w:r>
        <w:rPr>
          <w:rFonts w:ascii="Arial" w:cs="Arial" w:eastAsia="Arial" w:hAnsi="Arial"/>
          <w:sz w:val="10"/>
          <w:szCs w:val="10"/>
          <w:color w:val="auto"/>
        </w:rPr>
        <w:t>“Battle Creek” refers to Battle Creek Mutual Insurance Company. Battle Creek is not a subsidiary of Nodak Insurance, but all of its insurance policies are reinsured by Nodak Insurance through a 100% quota-share reinsurance agreement and Battle Creek is controlled by Nodak Insurance as a result of an affiliation agreement between Battle Creek and Nodak Insurance. Battle Creek is consolidated with Nodak Insurance for financial reporting purposes.</w:t>
      </w:r>
    </w:p>
    <w:p>
      <w:pPr>
        <w:spacing w:after="0" w:line="64"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FORWARD-LOOKING STATEMENTS</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This document contains forward-looking statements, which can be identified by the use of such words as “estimate”, “project”, “believe”, “could”, “may”, “intend”, “anticipate”, “plan”, “seek”, “expect” and similar expressions.</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These forward-looking statements include:</w:t>
      </w:r>
    </w:p>
    <w:p>
      <w:pPr>
        <w:spacing w:after="0" w:line="114" w:lineRule="exact"/>
        <w:rPr>
          <w:sz w:val="20"/>
          <w:szCs w:val="20"/>
          <w:color w:val="auto"/>
        </w:rPr>
      </w:pPr>
    </w:p>
    <w:p>
      <w:pPr>
        <w:ind w:left="640" w:hanging="216"/>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statements of goals, intentions and expectations;</w:t>
      </w:r>
    </w:p>
    <w:p>
      <w:pPr>
        <w:spacing w:after="0" w:line="123" w:lineRule="exact"/>
        <w:rPr>
          <w:rFonts w:ascii="Arial" w:cs="Arial" w:eastAsia="Arial" w:hAnsi="Arial"/>
          <w:sz w:val="12"/>
          <w:szCs w:val="12"/>
          <w:color w:val="auto"/>
        </w:rPr>
      </w:pPr>
    </w:p>
    <w:p>
      <w:pPr>
        <w:ind w:left="640" w:hanging="216"/>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statements regarding prospects and business strategy; and</w:t>
      </w:r>
    </w:p>
    <w:p>
      <w:pPr>
        <w:spacing w:after="0" w:line="132" w:lineRule="exact"/>
        <w:rPr>
          <w:rFonts w:ascii="Arial" w:cs="Arial" w:eastAsia="Arial" w:hAnsi="Arial"/>
          <w:sz w:val="12"/>
          <w:szCs w:val="12"/>
          <w:color w:val="auto"/>
        </w:rPr>
      </w:pPr>
    </w:p>
    <w:p>
      <w:pPr>
        <w:ind w:left="640" w:hanging="216"/>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estimates of future costs, benefits and results.</w:t>
      </w:r>
    </w:p>
    <w:p>
      <w:pPr>
        <w:spacing w:after="0" w:line="123"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The forward-looking statements are subject to numerous assumptions, risks and uncertainties, including, among other things, the factors discussed under the heading “Risk Factors” in this Quarterly Report and our Annual Report on Form 10-K that could affect the actual outcome of future events.</w:t>
      </w:r>
    </w:p>
    <w:p>
      <w:pPr>
        <w:spacing w:after="0" w:line="8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All of these factors are difficult to predict and many are beyond our control. These important factors include those discussed under “Risk Factors” and those listed below:</w:t>
      </w:r>
    </w:p>
    <w:p>
      <w:pPr>
        <w:spacing w:after="0" w:line="132" w:lineRule="exact"/>
        <w:rPr>
          <w:sz w:val="20"/>
          <w:szCs w:val="20"/>
          <w:color w:val="auto"/>
        </w:rPr>
      </w:pPr>
    </w:p>
    <w:p>
      <w:pPr>
        <w:ind w:left="640" w:hanging="216"/>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material changes to the federal crop insurance program;</w:t>
      </w:r>
    </w:p>
    <w:p>
      <w:pPr>
        <w:spacing w:after="0" w:line="123" w:lineRule="exact"/>
        <w:rPr>
          <w:rFonts w:ascii="Arial" w:cs="Arial" w:eastAsia="Arial" w:hAnsi="Arial"/>
          <w:sz w:val="12"/>
          <w:szCs w:val="12"/>
          <w:color w:val="auto"/>
        </w:rPr>
      </w:pPr>
    </w:p>
    <w:p>
      <w:pPr>
        <w:ind w:left="640" w:hanging="216"/>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future economic conditions in the markets in which we compete that are less favorable than expected;</w:t>
      </w:r>
    </w:p>
    <w:p>
      <w:pPr>
        <w:spacing w:after="0" w:line="123" w:lineRule="exact"/>
        <w:rPr>
          <w:rFonts w:ascii="Arial" w:cs="Arial" w:eastAsia="Arial" w:hAnsi="Arial"/>
          <w:sz w:val="12"/>
          <w:szCs w:val="12"/>
          <w:color w:val="auto"/>
        </w:rPr>
      </w:pPr>
    </w:p>
    <w:p>
      <w:pPr>
        <w:ind w:left="640" w:hanging="216"/>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effect of legislative, judicial, economic, demographic and regulatory events in the jurisdictions where we do business;</w:t>
      </w:r>
    </w:p>
    <w:p>
      <w:pPr>
        <w:spacing w:after="0" w:line="132" w:lineRule="exact"/>
        <w:rPr>
          <w:rFonts w:ascii="Arial" w:cs="Arial" w:eastAsia="Arial" w:hAnsi="Arial"/>
          <w:sz w:val="12"/>
          <w:szCs w:val="12"/>
          <w:color w:val="auto"/>
        </w:rPr>
      </w:pPr>
    </w:p>
    <w:p>
      <w:pPr>
        <w:ind w:left="640" w:hanging="216"/>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our ability to enter new markets successfully and capitalize on growth opportunities either through acquisitions or the expansion of our producer network;</w:t>
      </w:r>
    </w:p>
    <w:p>
      <w:pPr>
        <w:spacing w:after="0" w:line="123" w:lineRule="exact"/>
        <w:rPr>
          <w:rFonts w:ascii="Arial" w:cs="Arial" w:eastAsia="Arial" w:hAnsi="Arial"/>
          <w:sz w:val="12"/>
          <w:szCs w:val="12"/>
          <w:color w:val="auto"/>
        </w:rPr>
      </w:pPr>
    </w:p>
    <w:p>
      <w:pPr>
        <w:jc w:val="center"/>
        <w:ind w:left="5720" w:right="20" w:hanging="5296"/>
        <w:spacing w:after="0" w:line="527" w:lineRule="auto"/>
        <w:tabs>
          <w:tab w:leader="none" w:pos="642" w:val="left"/>
        </w:tabs>
        <w:numPr>
          <w:ilvl w:val="0"/>
          <w:numId w:val="5"/>
        </w:numPr>
        <w:rPr>
          <w:rFonts w:ascii="Arial" w:cs="Arial" w:eastAsia="Arial" w:hAnsi="Arial"/>
          <w:sz w:val="12"/>
          <w:szCs w:val="12"/>
          <w:color w:val="auto"/>
        </w:rPr>
      </w:pPr>
      <w:r>
        <w:rPr>
          <w:rFonts w:ascii="Arial" w:cs="Arial" w:eastAsia="Arial" w:hAnsi="Arial"/>
          <w:sz w:val="12"/>
          <w:szCs w:val="12"/>
          <w:color w:val="auto"/>
        </w:rPr>
        <w:t>financial market conditions, including, but not limited to, changes in interest rates and the stock markets causing a reduction of investment income or investment gains and a reduction in the value of our investment portfolio;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-104140</wp:posOffset>
            </wp:positionV>
            <wp:extent cx="72923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2340" cy="17145"/>
                    </a:xfrm>
                    <a:prstGeom prst="rect">
                      <a:avLst/>
                    </a:prstGeom>
                    <a:noFill/>
                  </pic:spPr>
                </pic:pic>
              </a:graphicData>
            </a:graphic>
          </wp:anchor>
        </w:drawing>
      </w:r>
    </w:p>
    <w:p>
      <w:pPr>
        <w:sectPr>
          <w:pgSz w:w="11900" w:h="16838" w:orient="portrait"/>
          <w:cols w:equalWidth="0" w:num="1">
            <w:col w:w="11380"/>
          </w:cols>
          <w:pgMar w:left="220" w:top="505" w:right="29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51" w:lineRule="exact"/>
        <w:rPr>
          <w:sz w:val="20"/>
          <w:szCs w:val="20"/>
          <w:color w:val="auto"/>
        </w:rPr>
      </w:pPr>
    </w:p>
    <w:p>
      <w:pPr>
        <w:ind w:left="640" w:hanging="216"/>
        <w:spacing w:after="0" w:line="276" w:lineRule="auto"/>
        <w:tabs>
          <w:tab w:leader="none" w:pos="640" w:val="left"/>
        </w:tabs>
        <w:numPr>
          <w:ilvl w:val="0"/>
          <w:numId w:val="6"/>
        </w:numPr>
        <w:rPr>
          <w:rFonts w:ascii="Arial" w:cs="Arial" w:eastAsia="Arial" w:hAnsi="Arial"/>
          <w:sz w:val="12"/>
          <w:szCs w:val="12"/>
          <w:color w:val="auto"/>
        </w:rPr>
      </w:pPr>
      <w:r>
        <w:rPr>
          <w:rFonts w:ascii="Arial" w:cs="Arial" w:eastAsia="Arial" w:hAnsi="Arial"/>
          <w:sz w:val="12"/>
          <w:szCs w:val="12"/>
          <w:color w:val="auto"/>
        </w:rPr>
        <w:t>heightened competition, including specifically the intensification of price competition, the entry of new competitors and the development of new products by new or existing competitors, resulting in a reduction in the demand for our products;</w:t>
      </w:r>
    </w:p>
    <w:p>
      <w:pPr>
        <w:spacing w:after="0" w:line="87" w:lineRule="exact"/>
        <w:rPr>
          <w:rFonts w:ascii="Arial" w:cs="Arial" w:eastAsia="Arial" w:hAnsi="Arial"/>
          <w:sz w:val="12"/>
          <w:szCs w:val="12"/>
          <w:color w:val="auto"/>
        </w:rPr>
      </w:pPr>
    </w:p>
    <w:p>
      <w:pPr>
        <w:ind w:left="640" w:hanging="216"/>
        <w:spacing w:after="0"/>
        <w:tabs>
          <w:tab w:leader="none" w:pos="640" w:val="left"/>
        </w:tabs>
        <w:numPr>
          <w:ilvl w:val="0"/>
          <w:numId w:val="6"/>
        </w:numPr>
        <w:rPr>
          <w:rFonts w:ascii="Arial" w:cs="Arial" w:eastAsia="Arial" w:hAnsi="Arial"/>
          <w:sz w:val="12"/>
          <w:szCs w:val="12"/>
          <w:color w:val="auto"/>
        </w:rPr>
      </w:pPr>
      <w:r>
        <w:rPr>
          <w:rFonts w:ascii="Arial" w:cs="Arial" w:eastAsia="Arial" w:hAnsi="Arial"/>
          <w:sz w:val="12"/>
          <w:szCs w:val="12"/>
          <w:color w:val="auto"/>
        </w:rPr>
        <w:t>changes in general economic conditions, including inflation, unemployment, interest rates and other factors;</w:t>
      </w:r>
    </w:p>
    <w:p>
      <w:pPr>
        <w:spacing w:after="0" w:line="132" w:lineRule="exact"/>
        <w:rPr>
          <w:rFonts w:ascii="Arial" w:cs="Arial" w:eastAsia="Arial" w:hAnsi="Arial"/>
          <w:sz w:val="12"/>
          <w:szCs w:val="12"/>
          <w:color w:val="auto"/>
        </w:rPr>
      </w:pPr>
    </w:p>
    <w:p>
      <w:pPr>
        <w:ind w:left="640" w:hanging="216"/>
        <w:spacing w:after="0"/>
        <w:tabs>
          <w:tab w:leader="none" w:pos="640" w:val="left"/>
        </w:tabs>
        <w:numPr>
          <w:ilvl w:val="0"/>
          <w:numId w:val="6"/>
        </w:numPr>
        <w:rPr>
          <w:rFonts w:ascii="Arial" w:cs="Arial" w:eastAsia="Arial" w:hAnsi="Arial"/>
          <w:sz w:val="12"/>
          <w:szCs w:val="12"/>
          <w:color w:val="auto"/>
        </w:rPr>
      </w:pPr>
      <w:r>
        <w:rPr>
          <w:rFonts w:ascii="Arial" w:cs="Arial" w:eastAsia="Arial" w:hAnsi="Arial"/>
          <w:sz w:val="12"/>
          <w:szCs w:val="12"/>
          <w:color w:val="auto"/>
        </w:rPr>
        <w:t>estimates and adequacy of loss reserves and trends in loss and loss adjustment expenses;</w:t>
      </w:r>
    </w:p>
    <w:p>
      <w:pPr>
        <w:spacing w:after="0" w:line="123" w:lineRule="exact"/>
        <w:rPr>
          <w:rFonts w:ascii="Arial" w:cs="Arial" w:eastAsia="Arial" w:hAnsi="Arial"/>
          <w:sz w:val="12"/>
          <w:szCs w:val="12"/>
          <w:color w:val="auto"/>
        </w:rPr>
      </w:pPr>
    </w:p>
    <w:p>
      <w:pPr>
        <w:ind w:left="640" w:hanging="216"/>
        <w:spacing w:after="0"/>
        <w:tabs>
          <w:tab w:leader="none" w:pos="640" w:val="left"/>
        </w:tabs>
        <w:numPr>
          <w:ilvl w:val="0"/>
          <w:numId w:val="6"/>
        </w:numPr>
        <w:rPr>
          <w:rFonts w:ascii="Arial" w:cs="Arial" w:eastAsia="Arial" w:hAnsi="Arial"/>
          <w:sz w:val="12"/>
          <w:szCs w:val="12"/>
          <w:color w:val="auto"/>
        </w:rPr>
      </w:pPr>
      <w:r>
        <w:rPr>
          <w:rFonts w:ascii="Arial" w:cs="Arial" w:eastAsia="Arial" w:hAnsi="Arial"/>
          <w:sz w:val="12"/>
          <w:szCs w:val="12"/>
          <w:color w:val="auto"/>
        </w:rPr>
        <w:t>changes in the coverage terms required by state laws with respect to minimum auto liability insurance, including higher minimum limits;</w:t>
      </w:r>
    </w:p>
    <w:p>
      <w:pPr>
        <w:spacing w:after="0" w:line="123" w:lineRule="exact"/>
        <w:rPr>
          <w:rFonts w:ascii="Arial" w:cs="Arial" w:eastAsia="Arial" w:hAnsi="Arial"/>
          <w:sz w:val="12"/>
          <w:szCs w:val="12"/>
          <w:color w:val="auto"/>
        </w:rPr>
      </w:pPr>
    </w:p>
    <w:p>
      <w:pPr>
        <w:ind w:left="640" w:hanging="216"/>
        <w:spacing w:after="0"/>
        <w:tabs>
          <w:tab w:leader="none" w:pos="640" w:val="left"/>
        </w:tabs>
        <w:numPr>
          <w:ilvl w:val="0"/>
          <w:numId w:val="6"/>
        </w:numPr>
        <w:rPr>
          <w:rFonts w:ascii="Arial" w:cs="Arial" w:eastAsia="Arial" w:hAnsi="Arial"/>
          <w:sz w:val="12"/>
          <w:szCs w:val="12"/>
          <w:color w:val="auto"/>
        </w:rPr>
      </w:pPr>
      <w:r>
        <w:rPr>
          <w:rFonts w:ascii="Arial" w:cs="Arial" w:eastAsia="Arial" w:hAnsi="Arial"/>
          <w:sz w:val="12"/>
          <w:szCs w:val="12"/>
          <w:color w:val="auto"/>
        </w:rPr>
        <w:t>our inability to obtain regulatory approval of, or to implement, premium rate increases;</w:t>
      </w:r>
    </w:p>
    <w:p>
      <w:pPr>
        <w:spacing w:after="0" w:line="132" w:lineRule="exact"/>
        <w:rPr>
          <w:rFonts w:ascii="Arial" w:cs="Arial" w:eastAsia="Arial" w:hAnsi="Arial"/>
          <w:sz w:val="12"/>
          <w:szCs w:val="12"/>
          <w:color w:val="auto"/>
        </w:rPr>
      </w:pPr>
    </w:p>
    <w:p>
      <w:pPr>
        <w:ind w:left="640" w:hanging="216"/>
        <w:spacing w:after="0"/>
        <w:tabs>
          <w:tab w:leader="none" w:pos="640" w:val="left"/>
        </w:tabs>
        <w:numPr>
          <w:ilvl w:val="0"/>
          <w:numId w:val="6"/>
        </w:numPr>
        <w:rPr>
          <w:rFonts w:ascii="Arial" w:cs="Arial" w:eastAsia="Arial" w:hAnsi="Arial"/>
          <w:sz w:val="12"/>
          <w:szCs w:val="12"/>
          <w:color w:val="auto"/>
        </w:rPr>
      </w:pPr>
      <w:r>
        <w:rPr>
          <w:rFonts w:ascii="Arial" w:cs="Arial" w:eastAsia="Arial" w:hAnsi="Arial"/>
          <w:sz w:val="12"/>
          <w:szCs w:val="12"/>
          <w:color w:val="auto"/>
        </w:rPr>
        <w:t>our ability to obtain reinsurance coverage at reasonable prices or on terms that adequately protect us and to collect amounts that we believe we are entitled to under such reinsurance;</w:t>
      </w:r>
    </w:p>
    <w:p>
      <w:pPr>
        <w:spacing w:after="0" w:line="123" w:lineRule="exact"/>
        <w:rPr>
          <w:rFonts w:ascii="Arial" w:cs="Arial" w:eastAsia="Arial" w:hAnsi="Arial"/>
          <w:sz w:val="12"/>
          <w:szCs w:val="12"/>
          <w:color w:val="auto"/>
        </w:rPr>
      </w:pPr>
    </w:p>
    <w:p>
      <w:pPr>
        <w:ind w:left="640" w:right="160" w:hanging="216"/>
        <w:spacing w:after="0" w:line="276" w:lineRule="auto"/>
        <w:tabs>
          <w:tab w:leader="none" w:pos="64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potential impact on our reported net income that could result from the adoption of future accounting standards issued by the Public Company Accounting Oversight Board, the Financial Accounting Standards Board, or other standard-setting bodies;</w:t>
      </w:r>
    </w:p>
    <w:p>
      <w:pPr>
        <w:spacing w:after="0" w:line="87" w:lineRule="exact"/>
        <w:rPr>
          <w:rFonts w:ascii="Arial" w:cs="Arial" w:eastAsia="Arial" w:hAnsi="Arial"/>
          <w:sz w:val="12"/>
          <w:szCs w:val="12"/>
          <w:color w:val="auto"/>
        </w:rPr>
      </w:pPr>
    </w:p>
    <w:p>
      <w:pPr>
        <w:ind w:left="640" w:hanging="216"/>
        <w:spacing w:after="0"/>
        <w:tabs>
          <w:tab w:leader="none" w:pos="640" w:val="left"/>
        </w:tabs>
        <w:numPr>
          <w:ilvl w:val="0"/>
          <w:numId w:val="6"/>
        </w:numPr>
        <w:rPr>
          <w:rFonts w:ascii="Arial" w:cs="Arial" w:eastAsia="Arial" w:hAnsi="Arial"/>
          <w:sz w:val="12"/>
          <w:szCs w:val="12"/>
          <w:color w:val="auto"/>
        </w:rPr>
      </w:pPr>
      <w:r>
        <w:rPr>
          <w:rFonts w:ascii="Arial" w:cs="Arial" w:eastAsia="Arial" w:hAnsi="Arial"/>
          <w:sz w:val="12"/>
          <w:szCs w:val="12"/>
          <w:color w:val="auto"/>
        </w:rPr>
        <w:t>unanticipated changes in industry trends and ratings assigned by nationally recognized rating organizations;</w:t>
      </w:r>
    </w:p>
    <w:p>
      <w:pPr>
        <w:spacing w:after="0" w:line="132" w:lineRule="exact"/>
        <w:rPr>
          <w:rFonts w:ascii="Arial" w:cs="Arial" w:eastAsia="Arial" w:hAnsi="Arial"/>
          <w:sz w:val="12"/>
          <w:szCs w:val="12"/>
          <w:color w:val="auto"/>
        </w:rPr>
      </w:pPr>
    </w:p>
    <w:p>
      <w:pPr>
        <w:ind w:left="640" w:hanging="216"/>
        <w:spacing w:after="0"/>
        <w:tabs>
          <w:tab w:leader="none" w:pos="64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potential impact of fraud, operational errors, systems malfunctions, or cybersecurity incidents;</w:t>
      </w:r>
    </w:p>
    <w:p>
      <w:pPr>
        <w:spacing w:after="0" w:line="123" w:lineRule="exact"/>
        <w:rPr>
          <w:rFonts w:ascii="Arial" w:cs="Arial" w:eastAsia="Arial" w:hAnsi="Arial"/>
          <w:sz w:val="12"/>
          <w:szCs w:val="12"/>
          <w:color w:val="auto"/>
        </w:rPr>
      </w:pPr>
    </w:p>
    <w:p>
      <w:pPr>
        <w:ind w:left="640" w:hanging="216"/>
        <w:spacing w:after="0"/>
        <w:tabs>
          <w:tab w:leader="none" w:pos="640" w:val="left"/>
        </w:tabs>
        <w:numPr>
          <w:ilvl w:val="0"/>
          <w:numId w:val="6"/>
        </w:numPr>
        <w:rPr>
          <w:rFonts w:ascii="Arial" w:cs="Arial" w:eastAsia="Arial" w:hAnsi="Arial"/>
          <w:sz w:val="12"/>
          <w:szCs w:val="12"/>
          <w:color w:val="auto"/>
        </w:rPr>
      </w:pPr>
      <w:r>
        <w:rPr>
          <w:rFonts w:ascii="Arial" w:cs="Arial" w:eastAsia="Arial" w:hAnsi="Arial"/>
          <w:sz w:val="12"/>
          <w:szCs w:val="12"/>
          <w:color w:val="auto"/>
        </w:rPr>
        <w:t>adverse litigation or arbitration results; and</w:t>
      </w:r>
    </w:p>
    <w:p>
      <w:pPr>
        <w:spacing w:after="0" w:line="123" w:lineRule="exact"/>
        <w:rPr>
          <w:rFonts w:ascii="Arial" w:cs="Arial" w:eastAsia="Arial" w:hAnsi="Arial"/>
          <w:sz w:val="12"/>
          <w:szCs w:val="12"/>
          <w:color w:val="auto"/>
        </w:rPr>
      </w:pPr>
    </w:p>
    <w:p>
      <w:pPr>
        <w:ind w:left="640" w:right="40" w:hanging="216"/>
        <w:spacing w:after="0" w:line="276" w:lineRule="auto"/>
        <w:tabs>
          <w:tab w:leader="none" w:pos="640" w:val="left"/>
        </w:tabs>
        <w:numPr>
          <w:ilvl w:val="0"/>
          <w:numId w:val="6"/>
        </w:numPr>
        <w:rPr>
          <w:rFonts w:ascii="Arial" w:cs="Arial" w:eastAsia="Arial" w:hAnsi="Arial"/>
          <w:sz w:val="12"/>
          <w:szCs w:val="12"/>
          <w:color w:val="auto"/>
        </w:rPr>
      </w:pPr>
      <w:r>
        <w:rPr>
          <w:rFonts w:ascii="Arial" w:cs="Arial" w:eastAsia="Arial" w:hAnsi="Arial"/>
          <w:sz w:val="12"/>
          <w:szCs w:val="12"/>
          <w:color w:val="auto"/>
        </w:rPr>
        <w:t>adverse changes in applicable laws, regulations or rules governing insurance holding companies and insurance companies, and tax or accounting matters including limitations on premium levels, increases in minimum capital and reserves, and other financial viability requirements, and changes that affect the cost of, or demand for our products.</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Because forward-looking information is subject to various risks and uncertainties, actual results may differ materially from that expressed or implied by the forward-looking information.</w:t>
      </w:r>
    </w:p>
    <w:p>
      <w:pPr>
        <w:spacing w:after="0" w:line="150" w:lineRule="exact"/>
        <w:rPr>
          <w:sz w:val="20"/>
          <w:szCs w:val="20"/>
          <w:color w:val="auto"/>
        </w:rPr>
      </w:pPr>
    </w:p>
    <w:p>
      <w:pPr>
        <w:ind w:left="5720"/>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29234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2340" cy="17145"/>
                    </a:xfrm>
                    <a:prstGeom prst="rect">
                      <a:avLst/>
                    </a:prstGeom>
                    <a:noFill/>
                  </pic:spPr>
                </pic:pic>
              </a:graphicData>
            </a:graphic>
          </wp:anchor>
        </w:drawing>
      </w:r>
    </w:p>
    <w:p>
      <w:pPr>
        <w:sectPr>
          <w:pgSz w:w="11900" w:h="16838" w:orient="portrait"/>
          <w:cols w:equalWidth="0" w:num="1">
            <w:col w:w="11440"/>
          </w:cols>
          <w:pgMar w:left="220" w:top="197" w:right="2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4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 -</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FINANCIAL INFORMATION</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960" w:type="dxa"/>
            <w:vAlign w:val="bottom"/>
            <w:gridSpan w:val="2"/>
          </w:tcPr>
          <w:p>
            <w:pPr>
              <w:spacing w:after="0"/>
              <w:rPr>
                <w:sz w:val="20"/>
                <w:szCs w:val="20"/>
                <w:color w:val="auto"/>
              </w:rPr>
            </w:pPr>
            <w:r>
              <w:rPr>
                <w:rFonts w:ascii="Arial" w:cs="Arial" w:eastAsia="Arial" w:hAnsi="Arial"/>
                <w:sz w:val="12"/>
                <w:szCs w:val="12"/>
                <w:b w:val="1"/>
                <w:bCs w:val="1"/>
                <w:color w:val="auto"/>
              </w:rPr>
              <w:t>Item 1. - Financial Statements</w:t>
            </w:r>
          </w:p>
        </w:tc>
        <w:tc>
          <w:tcPr>
            <w:tcW w:w="3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4960" w:type="dxa"/>
            <w:vAlign w:val="bottom"/>
            <w:gridSpan w:val="2"/>
          </w:tcPr>
          <w:p>
            <w:pPr>
              <w:spacing w:after="0"/>
              <w:rPr>
                <w:sz w:val="20"/>
                <w:szCs w:val="20"/>
                <w:color w:val="auto"/>
              </w:rPr>
            </w:pPr>
            <w:r>
              <w:rPr>
                <w:rFonts w:ascii="Arial" w:cs="Arial" w:eastAsia="Arial" w:hAnsi="Arial"/>
                <w:sz w:val="12"/>
                <w:szCs w:val="12"/>
                <w:b w:val="1"/>
                <w:bCs w:val="1"/>
                <w:color w:val="auto"/>
              </w:rPr>
              <w:t>NI Holdings, Inc.</w:t>
            </w:r>
          </w:p>
        </w:tc>
        <w:tc>
          <w:tcPr>
            <w:tcW w:w="3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4960" w:type="dxa"/>
            <w:vAlign w:val="bottom"/>
            <w:gridSpan w:val="2"/>
          </w:tcPr>
          <w:p>
            <w:pPr>
              <w:spacing w:after="0"/>
              <w:rPr>
                <w:sz w:val="20"/>
                <w:szCs w:val="20"/>
                <w:color w:val="auto"/>
              </w:rPr>
            </w:pPr>
            <w:r>
              <w:rPr>
                <w:rFonts w:ascii="Arial" w:cs="Arial" w:eastAsia="Arial" w:hAnsi="Arial"/>
                <w:sz w:val="12"/>
                <w:szCs w:val="12"/>
                <w:b w:val="1"/>
                <w:bCs w:val="1"/>
                <w:color w:val="auto"/>
              </w:rPr>
              <w:t>Unaudited Consolidated Balance Sheets</w:t>
            </w:r>
          </w:p>
        </w:tc>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960" w:type="dxa"/>
            <w:vAlign w:val="bottom"/>
            <w:gridSpan w:val="2"/>
          </w:tcPr>
          <w:p>
            <w:pPr>
              <w:spacing w:after="0"/>
              <w:rPr>
                <w:sz w:val="20"/>
                <w:szCs w:val="20"/>
                <w:color w:val="auto"/>
              </w:rPr>
            </w:pPr>
            <w:r>
              <w:rPr>
                <w:rFonts w:ascii="Arial" w:cs="Arial" w:eastAsia="Arial" w:hAnsi="Arial"/>
                <w:sz w:val="12"/>
                <w:szCs w:val="12"/>
                <w:b w:val="1"/>
                <w:bCs w:val="1"/>
                <w:color w:val="auto"/>
              </w:rPr>
              <w:t>(dollar amounts in thousands, except par value)</w:t>
            </w:r>
          </w:p>
        </w:tc>
        <w:tc>
          <w:tcPr>
            <w:tcW w:w="3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June 30, 2018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0"/>
              </w:rPr>
              <w:t>December 31, 2017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9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Assets:</w:t>
            </w:r>
          </w:p>
        </w:tc>
        <w:tc>
          <w:tcPr>
            <w:tcW w:w="36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40" w:type="dxa"/>
            <w:vAlign w:val="bottom"/>
          </w:tcPr>
          <w:p>
            <w:pPr>
              <w:ind w:left="80"/>
              <w:spacing w:after="0"/>
              <w:rPr>
                <w:sz w:val="20"/>
                <w:szCs w:val="20"/>
                <w:color w:val="auto"/>
              </w:rPr>
            </w:pPr>
            <w:r>
              <w:rPr>
                <w:rFonts w:ascii="Arial" w:cs="Arial" w:eastAsia="Arial" w:hAnsi="Arial"/>
                <w:sz w:val="12"/>
                <w:szCs w:val="12"/>
                <w:color w:val="auto"/>
              </w:rPr>
              <w:t>Cash and cash equivalents</w:t>
            </w:r>
          </w:p>
        </w:tc>
        <w:tc>
          <w:tcPr>
            <w:tcW w:w="38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2"/>
                <w:szCs w:val="12"/>
                <w:color w:val="auto"/>
              </w:rPr>
              <w:t>30,955</w:t>
            </w:r>
          </w:p>
        </w:tc>
        <w:tc>
          <w:tcPr>
            <w:tcW w:w="2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27,594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40" w:type="dxa"/>
            <w:vAlign w:val="bottom"/>
            <w:shd w:val="clear" w:color="auto" w:fill="CCEEFF"/>
          </w:tcPr>
          <w:p>
            <w:pPr>
              <w:ind w:left="80"/>
              <w:spacing w:after="0"/>
              <w:rPr>
                <w:sz w:val="20"/>
                <w:szCs w:val="20"/>
                <w:color w:val="auto"/>
              </w:rPr>
            </w:pPr>
            <w:r>
              <w:rPr>
                <w:rFonts w:ascii="Arial" w:cs="Arial" w:eastAsia="Arial" w:hAnsi="Arial"/>
                <w:sz w:val="12"/>
                <w:szCs w:val="12"/>
                <w:color w:val="auto"/>
              </w:rPr>
              <w:t>Fixed income securities, at fair value</w:t>
            </w:r>
          </w:p>
        </w:tc>
        <w:tc>
          <w:tcPr>
            <w:tcW w:w="3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241,587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236,758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40" w:type="dxa"/>
            <w:vAlign w:val="bottom"/>
          </w:tcPr>
          <w:p>
            <w:pPr>
              <w:ind w:left="80"/>
              <w:spacing w:after="0"/>
              <w:rPr>
                <w:sz w:val="20"/>
                <w:szCs w:val="20"/>
                <w:color w:val="auto"/>
              </w:rPr>
            </w:pPr>
            <w:r>
              <w:rPr>
                <w:rFonts w:ascii="Arial" w:cs="Arial" w:eastAsia="Arial" w:hAnsi="Arial"/>
                <w:sz w:val="12"/>
                <w:szCs w:val="12"/>
                <w:color w:val="auto"/>
              </w:rPr>
              <w:t>Equity securities, at fair value</w:t>
            </w:r>
          </w:p>
        </w:tc>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2"/>
                <w:szCs w:val="12"/>
                <w:color w:val="auto"/>
              </w:rPr>
              <w:t>49,805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47,561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940" w:type="dxa"/>
            <w:vAlign w:val="bottom"/>
            <w:shd w:val="clear" w:color="auto" w:fill="CCEEFF"/>
          </w:tcPr>
          <w:p>
            <w:pPr>
              <w:ind w:left="80"/>
              <w:spacing w:after="0"/>
              <w:rPr>
                <w:sz w:val="20"/>
                <w:szCs w:val="20"/>
                <w:color w:val="auto"/>
              </w:rPr>
            </w:pPr>
            <w:r>
              <w:rPr>
                <w:rFonts w:ascii="Arial" w:cs="Arial" w:eastAsia="Arial" w:hAnsi="Arial"/>
                <w:sz w:val="12"/>
                <w:szCs w:val="12"/>
                <w:color w:val="auto"/>
              </w:rPr>
              <w:t>Other investments</w:t>
            </w:r>
          </w:p>
        </w:tc>
        <w:tc>
          <w:tcPr>
            <w:tcW w:w="3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1,954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1,972</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940" w:type="dxa"/>
            <w:vAlign w:val="bottom"/>
          </w:tcPr>
          <w:p>
            <w:pPr>
              <w:ind w:left="180"/>
              <w:spacing w:after="0" w:line="133" w:lineRule="exact"/>
              <w:rPr>
                <w:sz w:val="20"/>
                <w:szCs w:val="20"/>
                <w:color w:val="auto"/>
              </w:rPr>
            </w:pPr>
            <w:r>
              <w:rPr>
                <w:rFonts w:ascii="Arial" w:cs="Arial" w:eastAsia="Arial" w:hAnsi="Arial"/>
                <w:sz w:val="12"/>
                <w:szCs w:val="12"/>
                <w:color w:val="auto"/>
              </w:rPr>
              <w:t>Total cash and investments</w:t>
            </w:r>
          </w:p>
        </w:tc>
        <w:tc>
          <w:tcPr>
            <w:tcW w:w="36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324,301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313,885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40" w:type="dxa"/>
            <w:vAlign w:val="bottom"/>
            <w:shd w:val="clear" w:color="auto" w:fill="CCEEFF"/>
          </w:tcPr>
          <w:p>
            <w:pPr>
              <w:spacing w:after="0"/>
              <w:rPr>
                <w:sz w:val="12"/>
                <w:szCs w:val="12"/>
                <w:color w:val="auto"/>
              </w:rPr>
            </w:pPr>
          </w:p>
        </w:tc>
        <w:tc>
          <w:tcPr>
            <w:tcW w:w="3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40" w:type="dxa"/>
            <w:vAlign w:val="bottom"/>
          </w:tcPr>
          <w:p>
            <w:pPr>
              <w:ind w:left="80"/>
              <w:spacing w:after="0"/>
              <w:rPr>
                <w:sz w:val="20"/>
                <w:szCs w:val="20"/>
                <w:color w:val="auto"/>
              </w:rPr>
            </w:pPr>
            <w:r>
              <w:rPr>
                <w:rFonts w:ascii="Arial" w:cs="Arial" w:eastAsia="Arial" w:hAnsi="Arial"/>
                <w:sz w:val="12"/>
                <w:szCs w:val="12"/>
                <w:color w:val="auto"/>
              </w:rPr>
              <w:t>Premiums and agents' balances receivable</w:t>
            </w:r>
          </w:p>
        </w:tc>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2"/>
                <w:szCs w:val="12"/>
                <w:color w:val="auto"/>
              </w:rPr>
              <w:t>74,175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25,632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40" w:type="dxa"/>
            <w:vAlign w:val="bottom"/>
            <w:shd w:val="clear" w:color="auto" w:fill="CCEEFF"/>
          </w:tcPr>
          <w:p>
            <w:pPr>
              <w:ind w:left="80"/>
              <w:spacing w:after="0"/>
              <w:rPr>
                <w:sz w:val="20"/>
                <w:szCs w:val="20"/>
                <w:color w:val="auto"/>
              </w:rPr>
            </w:pPr>
            <w:r>
              <w:rPr>
                <w:rFonts w:ascii="Arial" w:cs="Arial" w:eastAsia="Arial" w:hAnsi="Arial"/>
                <w:sz w:val="12"/>
                <w:szCs w:val="12"/>
                <w:color w:val="auto"/>
              </w:rPr>
              <w:t>Deferred policy acquisition costs</w:t>
            </w:r>
          </w:p>
        </w:tc>
        <w:tc>
          <w:tcPr>
            <w:tcW w:w="3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12,190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8,859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40" w:type="dxa"/>
            <w:vAlign w:val="bottom"/>
          </w:tcPr>
          <w:p>
            <w:pPr>
              <w:ind w:left="80"/>
              <w:spacing w:after="0"/>
              <w:rPr>
                <w:sz w:val="20"/>
                <w:szCs w:val="20"/>
                <w:color w:val="auto"/>
              </w:rPr>
            </w:pPr>
            <w:r>
              <w:rPr>
                <w:rFonts w:ascii="Arial" w:cs="Arial" w:eastAsia="Arial" w:hAnsi="Arial"/>
                <w:sz w:val="12"/>
                <w:szCs w:val="12"/>
                <w:color w:val="auto"/>
              </w:rPr>
              <w:t>Reinsurance premiums receivable</w:t>
            </w:r>
          </w:p>
        </w:tc>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2"/>
                <w:szCs w:val="12"/>
                <w:color w:val="auto"/>
              </w:rPr>
              <w:t>2,256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40" w:type="dxa"/>
            <w:vAlign w:val="bottom"/>
            <w:shd w:val="clear" w:color="auto" w:fill="CCEEFF"/>
          </w:tcPr>
          <w:p>
            <w:pPr>
              <w:ind w:left="80"/>
              <w:spacing w:after="0"/>
              <w:rPr>
                <w:sz w:val="20"/>
                <w:szCs w:val="20"/>
                <w:color w:val="auto"/>
              </w:rPr>
            </w:pPr>
            <w:r>
              <w:rPr>
                <w:rFonts w:ascii="Arial" w:cs="Arial" w:eastAsia="Arial" w:hAnsi="Arial"/>
                <w:sz w:val="12"/>
                <w:szCs w:val="12"/>
                <w:color w:val="auto"/>
              </w:rPr>
              <w:t>Reinsurance recoverables on losses</w:t>
            </w:r>
          </w:p>
        </w:tc>
        <w:tc>
          <w:tcPr>
            <w:tcW w:w="3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3,601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4,128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40" w:type="dxa"/>
            <w:vAlign w:val="bottom"/>
          </w:tcPr>
          <w:p>
            <w:pPr>
              <w:ind w:left="80"/>
              <w:spacing w:after="0"/>
              <w:rPr>
                <w:sz w:val="20"/>
                <w:szCs w:val="20"/>
                <w:color w:val="auto"/>
              </w:rPr>
            </w:pPr>
            <w:r>
              <w:rPr>
                <w:rFonts w:ascii="Arial" w:cs="Arial" w:eastAsia="Arial" w:hAnsi="Arial"/>
                <w:sz w:val="12"/>
                <w:szCs w:val="12"/>
                <w:color w:val="auto"/>
              </w:rPr>
              <w:t>Federal income tax recoverable</w:t>
            </w:r>
          </w:p>
        </w:tc>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40" w:type="dxa"/>
            <w:vAlign w:val="bottom"/>
            <w:shd w:val="clear" w:color="auto" w:fill="CCEEFF"/>
          </w:tcPr>
          <w:p>
            <w:pPr>
              <w:ind w:left="80"/>
              <w:spacing w:after="0"/>
              <w:rPr>
                <w:sz w:val="20"/>
                <w:szCs w:val="20"/>
                <w:color w:val="auto"/>
              </w:rPr>
            </w:pPr>
            <w:r>
              <w:rPr>
                <w:rFonts w:ascii="Arial" w:cs="Arial" w:eastAsia="Arial" w:hAnsi="Arial"/>
                <w:sz w:val="12"/>
                <w:szCs w:val="12"/>
                <w:color w:val="auto"/>
              </w:rPr>
              <w:t>Accrued investment income</w:t>
            </w:r>
          </w:p>
        </w:tc>
        <w:tc>
          <w:tcPr>
            <w:tcW w:w="3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1,832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1,996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40" w:type="dxa"/>
            <w:vAlign w:val="bottom"/>
          </w:tcPr>
          <w:p>
            <w:pPr>
              <w:ind w:left="80"/>
              <w:spacing w:after="0"/>
              <w:rPr>
                <w:sz w:val="20"/>
                <w:szCs w:val="20"/>
                <w:color w:val="auto"/>
              </w:rPr>
            </w:pPr>
            <w:r>
              <w:rPr>
                <w:rFonts w:ascii="Arial" w:cs="Arial" w:eastAsia="Arial" w:hAnsi="Arial"/>
                <w:sz w:val="12"/>
                <w:szCs w:val="12"/>
                <w:color w:val="auto"/>
              </w:rPr>
              <w:t>Property and equipment</w:t>
            </w:r>
          </w:p>
        </w:tc>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2"/>
                <w:szCs w:val="12"/>
                <w:color w:val="auto"/>
              </w:rPr>
              <w:t>6,019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5,877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40" w:type="dxa"/>
            <w:vAlign w:val="bottom"/>
            <w:shd w:val="clear" w:color="auto" w:fill="CCEEFF"/>
          </w:tcPr>
          <w:p>
            <w:pPr>
              <w:ind w:left="80"/>
              <w:spacing w:after="0"/>
              <w:rPr>
                <w:sz w:val="20"/>
                <w:szCs w:val="20"/>
                <w:color w:val="auto"/>
              </w:rPr>
            </w:pPr>
            <w:r>
              <w:rPr>
                <w:rFonts w:ascii="Arial" w:cs="Arial" w:eastAsia="Arial" w:hAnsi="Arial"/>
                <w:sz w:val="12"/>
                <w:szCs w:val="12"/>
                <w:color w:val="auto"/>
              </w:rPr>
              <w:t>Receivable from Federal Crop Insurance Corporation</w:t>
            </w:r>
          </w:p>
        </w:tc>
        <w:tc>
          <w:tcPr>
            <w:tcW w:w="3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11,130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10,501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40" w:type="dxa"/>
            <w:vAlign w:val="bottom"/>
          </w:tcPr>
          <w:p>
            <w:pPr>
              <w:ind w:left="80"/>
              <w:spacing w:after="0"/>
              <w:rPr>
                <w:sz w:val="20"/>
                <w:szCs w:val="20"/>
                <w:color w:val="auto"/>
              </w:rPr>
            </w:pPr>
            <w:r>
              <w:rPr>
                <w:rFonts w:ascii="Arial" w:cs="Arial" w:eastAsia="Arial" w:hAnsi="Arial"/>
                <w:sz w:val="12"/>
                <w:szCs w:val="12"/>
                <w:color w:val="auto"/>
              </w:rPr>
              <w:t>Goodwill</w:t>
            </w:r>
          </w:p>
        </w:tc>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2"/>
                <w:szCs w:val="12"/>
                <w:color w:val="auto"/>
              </w:rPr>
              <w:t>2,628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2,628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940" w:type="dxa"/>
            <w:vAlign w:val="bottom"/>
            <w:shd w:val="clear" w:color="auto" w:fill="CCEEFF"/>
          </w:tcPr>
          <w:p>
            <w:pPr>
              <w:ind w:left="80"/>
              <w:spacing w:after="0"/>
              <w:rPr>
                <w:sz w:val="20"/>
                <w:szCs w:val="20"/>
                <w:color w:val="auto"/>
              </w:rPr>
            </w:pPr>
            <w:r>
              <w:rPr>
                <w:rFonts w:ascii="Arial" w:cs="Arial" w:eastAsia="Arial" w:hAnsi="Arial"/>
                <w:sz w:val="12"/>
                <w:szCs w:val="12"/>
                <w:color w:val="auto"/>
              </w:rPr>
              <w:t>Other assets</w:t>
            </w:r>
          </w:p>
        </w:tc>
        <w:tc>
          <w:tcPr>
            <w:tcW w:w="3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3,253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3,482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vMerge w:val="restart"/>
          </w:tcPr>
          <w:p>
            <w:pPr>
              <w:ind w:left="180"/>
              <w:spacing w:after="0"/>
              <w:rPr>
                <w:sz w:val="20"/>
                <w:szCs w:val="20"/>
                <w:color w:val="auto"/>
              </w:rPr>
            </w:pPr>
            <w:r>
              <w:rPr>
                <w:rFonts w:ascii="Arial" w:cs="Arial" w:eastAsia="Arial" w:hAnsi="Arial"/>
                <w:sz w:val="12"/>
                <w:szCs w:val="12"/>
                <w:color w:val="auto"/>
              </w:rPr>
              <w:t>Total assets</w:t>
            </w:r>
          </w:p>
        </w:tc>
        <w:tc>
          <w:tcPr>
            <w:tcW w:w="3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vMerge w:val="continue"/>
          </w:tcPr>
          <w:p>
            <w:pPr>
              <w:spacing w:after="0"/>
              <w:rPr>
                <w:sz w:val="12"/>
                <w:szCs w:val="12"/>
                <w:color w:val="auto"/>
              </w:rPr>
            </w:pPr>
          </w:p>
        </w:tc>
        <w:tc>
          <w:tcPr>
            <w:tcW w:w="38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2"/>
                <w:szCs w:val="12"/>
                <w:color w:val="auto"/>
              </w:rPr>
              <w:t>441,398</w:t>
            </w:r>
          </w:p>
        </w:tc>
        <w:tc>
          <w:tcPr>
            <w:tcW w:w="2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376,988</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940" w:type="dxa"/>
            <w:vAlign w:val="bottom"/>
            <w:tcBorders>
              <w:top w:val="single" w:sz="8" w:color="CCEEFF"/>
            </w:tcBorders>
            <w:shd w:val="clear" w:color="auto" w:fill="CCEEFF"/>
          </w:tcPr>
          <w:p>
            <w:pPr>
              <w:spacing w:after="0"/>
              <w:rPr>
                <w:sz w:val="12"/>
                <w:szCs w:val="12"/>
                <w:color w:val="auto"/>
              </w:rPr>
            </w:pPr>
          </w:p>
        </w:tc>
        <w:tc>
          <w:tcPr>
            <w:tcW w:w="36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940" w:type="dxa"/>
            <w:vAlign w:val="bottom"/>
          </w:tcPr>
          <w:p>
            <w:pPr>
              <w:spacing w:after="0"/>
              <w:rPr>
                <w:sz w:val="20"/>
                <w:szCs w:val="20"/>
                <w:color w:val="auto"/>
              </w:rPr>
            </w:pPr>
            <w:r>
              <w:rPr>
                <w:rFonts w:ascii="Arial" w:cs="Arial" w:eastAsia="Arial" w:hAnsi="Arial"/>
                <w:sz w:val="12"/>
                <w:szCs w:val="12"/>
                <w:color w:val="auto"/>
              </w:rPr>
              <w:t>Liabilities:</w:t>
            </w:r>
          </w:p>
        </w:tc>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40" w:type="dxa"/>
            <w:vAlign w:val="bottom"/>
            <w:shd w:val="clear" w:color="auto" w:fill="CCEEFF"/>
          </w:tcPr>
          <w:p>
            <w:pPr>
              <w:ind w:left="80"/>
              <w:spacing w:after="0"/>
              <w:rPr>
                <w:sz w:val="20"/>
                <w:szCs w:val="20"/>
                <w:color w:val="auto"/>
              </w:rPr>
            </w:pPr>
            <w:r>
              <w:rPr>
                <w:rFonts w:ascii="Arial" w:cs="Arial" w:eastAsia="Arial" w:hAnsi="Arial"/>
                <w:sz w:val="12"/>
                <w:szCs w:val="12"/>
                <w:color w:val="auto"/>
              </w:rPr>
              <w:t>Unpaid losses and loss adjustment expenses</w:t>
            </w:r>
          </w:p>
        </w:tc>
        <w:tc>
          <w:tcPr>
            <w:tcW w:w="3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63,376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45,890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40" w:type="dxa"/>
            <w:vAlign w:val="bottom"/>
          </w:tcPr>
          <w:p>
            <w:pPr>
              <w:ind w:left="80"/>
              <w:spacing w:after="0"/>
              <w:rPr>
                <w:sz w:val="20"/>
                <w:szCs w:val="20"/>
                <w:color w:val="auto"/>
              </w:rPr>
            </w:pPr>
            <w:r>
              <w:rPr>
                <w:rFonts w:ascii="Arial" w:cs="Arial" w:eastAsia="Arial" w:hAnsi="Arial"/>
                <w:sz w:val="12"/>
                <w:szCs w:val="12"/>
                <w:color w:val="auto"/>
              </w:rPr>
              <w:t>Unearned premiums</w:t>
            </w:r>
          </w:p>
        </w:tc>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2"/>
                <w:szCs w:val="12"/>
                <w:color w:val="auto"/>
              </w:rPr>
              <w:t>99,954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63,262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40" w:type="dxa"/>
            <w:vAlign w:val="bottom"/>
            <w:shd w:val="clear" w:color="auto" w:fill="CCEEFF"/>
          </w:tcPr>
          <w:p>
            <w:pPr>
              <w:ind w:left="80"/>
              <w:spacing w:after="0"/>
              <w:rPr>
                <w:sz w:val="20"/>
                <w:szCs w:val="20"/>
                <w:color w:val="auto"/>
              </w:rPr>
            </w:pPr>
            <w:r>
              <w:rPr>
                <w:rFonts w:ascii="Arial" w:cs="Arial" w:eastAsia="Arial" w:hAnsi="Arial"/>
                <w:sz w:val="12"/>
                <w:szCs w:val="12"/>
                <w:color w:val="auto"/>
              </w:rPr>
              <w:t>Reinsurance payable</w:t>
            </w:r>
          </w:p>
        </w:tc>
        <w:tc>
          <w:tcPr>
            <w:tcW w:w="3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3,099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428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40" w:type="dxa"/>
            <w:vAlign w:val="bottom"/>
          </w:tcPr>
          <w:p>
            <w:pPr>
              <w:ind w:left="80"/>
              <w:spacing w:after="0"/>
              <w:rPr>
                <w:sz w:val="20"/>
                <w:szCs w:val="20"/>
                <w:color w:val="auto"/>
              </w:rPr>
            </w:pPr>
            <w:r>
              <w:rPr>
                <w:rFonts w:ascii="Arial" w:cs="Arial" w:eastAsia="Arial" w:hAnsi="Arial"/>
                <w:sz w:val="12"/>
                <w:szCs w:val="12"/>
                <w:color w:val="auto"/>
              </w:rPr>
              <w:t>Federal income tax payable</w:t>
            </w:r>
          </w:p>
        </w:tc>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991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40" w:type="dxa"/>
            <w:vAlign w:val="bottom"/>
            <w:shd w:val="clear" w:color="auto" w:fill="CCEEFF"/>
          </w:tcPr>
          <w:p>
            <w:pPr>
              <w:ind w:left="80"/>
              <w:spacing w:after="0"/>
              <w:rPr>
                <w:sz w:val="20"/>
                <w:szCs w:val="20"/>
                <w:color w:val="auto"/>
              </w:rPr>
            </w:pPr>
            <w:r>
              <w:rPr>
                <w:rFonts w:ascii="Arial" w:cs="Arial" w:eastAsia="Arial" w:hAnsi="Arial"/>
                <w:sz w:val="12"/>
                <w:szCs w:val="12"/>
                <w:color w:val="auto"/>
              </w:rPr>
              <w:t>Deferred income taxes, net</w:t>
            </w:r>
          </w:p>
        </w:tc>
        <w:tc>
          <w:tcPr>
            <w:tcW w:w="3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695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2,539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40" w:type="dxa"/>
            <w:vAlign w:val="bottom"/>
          </w:tcPr>
          <w:p>
            <w:pPr>
              <w:ind w:left="80"/>
              <w:spacing w:after="0"/>
              <w:rPr>
                <w:sz w:val="20"/>
                <w:szCs w:val="20"/>
                <w:color w:val="auto"/>
              </w:rPr>
            </w:pPr>
            <w:r>
              <w:rPr>
                <w:rFonts w:ascii="Arial" w:cs="Arial" w:eastAsia="Arial" w:hAnsi="Arial"/>
                <w:sz w:val="12"/>
                <w:szCs w:val="12"/>
                <w:color w:val="auto"/>
              </w:rPr>
              <w:t>Accrued expenses and other liabilities</w:t>
            </w:r>
          </w:p>
        </w:tc>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2"/>
                <w:szCs w:val="12"/>
                <w:color w:val="auto"/>
              </w:rPr>
              <w:t>14,708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8,305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94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Commitments and contingencies</w:t>
            </w:r>
          </w:p>
        </w:tc>
        <w:tc>
          <w:tcPr>
            <w:tcW w:w="3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940" w:type="dxa"/>
            <w:vAlign w:val="bottom"/>
            <w:tcBorders>
              <w:bottom w:val="single" w:sz="8" w:color="CCEEFF"/>
            </w:tcBorders>
          </w:tcPr>
          <w:p>
            <w:pPr>
              <w:ind w:left="180"/>
              <w:spacing w:after="0" w:line="133" w:lineRule="exact"/>
              <w:rPr>
                <w:sz w:val="20"/>
                <w:szCs w:val="20"/>
                <w:color w:val="auto"/>
              </w:rPr>
            </w:pPr>
            <w:r>
              <w:rPr>
                <w:rFonts w:ascii="Arial" w:cs="Arial" w:eastAsia="Arial" w:hAnsi="Arial"/>
                <w:sz w:val="12"/>
                <w:szCs w:val="12"/>
                <w:color w:val="auto"/>
              </w:rPr>
              <w:t>Total liabilities</w:t>
            </w:r>
          </w:p>
        </w:tc>
        <w:tc>
          <w:tcPr>
            <w:tcW w:w="366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1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181,832</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1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121,415</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4940" w:type="dxa"/>
            <w:vAlign w:val="bottom"/>
            <w:shd w:val="clear" w:color="auto" w:fill="CCEEFF"/>
          </w:tcPr>
          <w:p>
            <w:pPr>
              <w:spacing w:after="0"/>
              <w:rPr>
                <w:sz w:val="11"/>
                <w:szCs w:val="11"/>
                <w:color w:val="auto"/>
              </w:rPr>
            </w:pPr>
          </w:p>
        </w:tc>
        <w:tc>
          <w:tcPr>
            <w:tcW w:w="3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940" w:type="dxa"/>
            <w:vAlign w:val="bottom"/>
          </w:tcPr>
          <w:p>
            <w:pPr>
              <w:spacing w:after="0"/>
              <w:rPr>
                <w:sz w:val="20"/>
                <w:szCs w:val="20"/>
                <w:color w:val="auto"/>
              </w:rPr>
            </w:pPr>
            <w:r>
              <w:rPr>
                <w:rFonts w:ascii="Arial" w:cs="Arial" w:eastAsia="Arial" w:hAnsi="Arial"/>
                <w:sz w:val="12"/>
                <w:szCs w:val="12"/>
                <w:color w:val="auto"/>
              </w:rPr>
              <w:t>Equity:</w:t>
            </w:r>
          </w:p>
        </w:tc>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940" w:type="dxa"/>
            <w:vAlign w:val="bottom"/>
            <w:shd w:val="clear" w:color="auto" w:fill="CCEEFF"/>
          </w:tcPr>
          <w:p>
            <w:pPr>
              <w:ind w:left="80"/>
              <w:spacing w:after="0" w:line="136" w:lineRule="exact"/>
              <w:rPr>
                <w:sz w:val="20"/>
                <w:szCs w:val="20"/>
                <w:color w:val="auto"/>
              </w:rPr>
            </w:pPr>
            <w:r>
              <w:rPr>
                <w:rFonts w:ascii="Arial" w:cs="Arial" w:eastAsia="Arial" w:hAnsi="Arial"/>
                <w:sz w:val="12"/>
                <w:szCs w:val="12"/>
                <w:color w:val="auto"/>
              </w:rPr>
              <w:t>Common stock, $0.01 par value, authorized: 25,000,000 shares;</w:t>
            </w:r>
          </w:p>
        </w:tc>
        <w:tc>
          <w:tcPr>
            <w:tcW w:w="3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40" w:type="dxa"/>
            <w:vAlign w:val="bottom"/>
            <w:shd w:val="clear" w:color="auto" w:fill="CCEEFF"/>
          </w:tcPr>
          <w:p>
            <w:pPr>
              <w:ind w:left="80"/>
              <w:spacing w:after="0"/>
              <w:rPr>
                <w:sz w:val="20"/>
                <w:szCs w:val="20"/>
                <w:color w:val="auto"/>
              </w:rPr>
            </w:pPr>
            <w:r>
              <w:rPr>
                <w:rFonts w:ascii="Arial" w:cs="Arial" w:eastAsia="Arial" w:hAnsi="Arial"/>
                <w:sz w:val="12"/>
                <w:szCs w:val="12"/>
                <w:color w:val="auto"/>
              </w:rPr>
              <w:t>issued: 23,000,000 shares; and</w:t>
            </w:r>
          </w:p>
        </w:tc>
        <w:tc>
          <w:tcPr>
            <w:tcW w:w="3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940" w:type="dxa"/>
            <w:vAlign w:val="bottom"/>
            <w:shd w:val="clear" w:color="auto" w:fill="CCEEFF"/>
          </w:tcPr>
          <w:p>
            <w:pPr>
              <w:ind w:left="80"/>
              <w:spacing w:after="0"/>
              <w:rPr>
                <w:sz w:val="20"/>
                <w:szCs w:val="20"/>
                <w:color w:val="auto"/>
              </w:rPr>
            </w:pPr>
            <w:r>
              <w:rPr>
                <w:rFonts w:ascii="Arial" w:cs="Arial" w:eastAsia="Arial" w:hAnsi="Arial"/>
                <w:sz w:val="12"/>
                <w:szCs w:val="12"/>
                <w:color w:val="auto"/>
              </w:rPr>
              <w:t>outstanding: 2018 – 22,359,844 shares, 2017 – 22,337,644 shares</w:t>
            </w:r>
          </w:p>
        </w:tc>
        <w:tc>
          <w:tcPr>
            <w:tcW w:w="3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230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230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940" w:type="dxa"/>
            <w:vAlign w:val="bottom"/>
          </w:tcPr>
          <w:p>
            <w:pPr>
              <w:ind w:left="80"/>
              <w:spacing w:after="0" w:line="136" w:lineRule="exact"/>
              <w:rPr>
                <w:sz w:val="20"/>
                <w:szCs w:val="20"/>
                <w:color w:val="auto"/>
              </w:rPr>
            </w:pPr>
            <w:r>
              <w:rPr>
                <w:rFonts w:ascii="Arial" w:cs="Arial" w:eastAsia="Arial" w:hAnsi="Arial"/>
                <w:sz w:val="12"/>
                <w:szCs w:val="12"/>
                <w:color w:val="auto"/>
              </w:rPr>
              <w:t>Preferred stock, without par value, authorized 5,000,000 shares,</w:t>
            </w:r>
          </w:p>
        </w:tc>
        <w:tc>
          <w:tcPr>
            <w:tcW w:w="3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940" w:type="dxa"/>
            <w:vAlign w:val="bottom"/>
          </w:tcPr>
          <w:p>
            <w:pPr>
              <w:ind w:left="80"/>
              <w:spacing w:after="0"/>
              <w:rPr>
                <w:sz w:val="20"/>
                <w:szCs w:val="20"/>
                <w:color w:val="auto"/>
              </w:rPr>
            </w:pPr>
            <w:r>
              <w:rPr>
                <w:rFonts w:ascii="Arial" w:cs="Arial" w:eastAsia="Arial" w:hAnsi="Arial"/>
                <w:sz w:val="12"/>
                <w:szCs w:val="12"/>
                <w:color w:val="auto"/>
              </w:rPr>
              <w:t>no shares issued or outstanding</w:t>
            </w:r>
          </w:p>
        </w:tc>
        <w:tc>
          <w:tcPr>
            <w:tcW w:w="3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40" w:type="dxa"/>
            <w:vAlign w:val="bottom"/>
            <w:shd w:val="clear" w:color="auto" w:fill="CCEEFF"/>
          </w:tcPr>
          <w:p>
            <w:pPr>
              <w:ind w:left="80"/>
              <w:spacing w:after="0"/>
              <w:rPr>
                <w:sz w:val="20"/>
                <w:szCs w:val="20"/>
                <w:color w:val="auto"/>
              </w:rPr>
            </w:pPr>
            <w:r>
              <w:rPr>
                <w:rFonts w:ascii="Arial" w:cs="Arial" w:eastAsia="Arial" w:hAnsi="Arial"/>
                <w:sz w:val="12"/>
                <w:szCs w:val="12"/>
                <w:color w:val="auto"/>
              </w:rPr>
              <w:t>Additional paid-in capital</w:t>
            </w:r>
          </w:p>
        </w:tc>
        <w:tc>
          <w:tcPr>
            <w:tcW w:w="3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93,832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93,496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40" w:type="dxa"/>
            <w:vAlign w:val="bottom"/>
          </w:tcPr>
          <w:p>
            <w:pPr>
              <w:ind w:left="80"/>
              <w:spacing w:after="0"/>
              <w:rPr>
                <w:sz w:val="20"/>
                <w:szCs w:val="20"/>
                <w:color w:val="auto"/>
              </w:rPr>
            </w:pPr>
            <w:r>
              <w:rPr>
                <w:rFonts w:ascii="Arial" w:cs="Arial" w:eastAsia="Arial" w:hAnsi="Arial"/>
                <w:sz w:val="12"/>
                <w:szCs w:val="12"/>
                <w:color w:val="auto"/>
              </w:rPr>
              <w:t>Unearned employee stock ownership plan shares</w:t>
            </w:r>
          </w:p>
        </w:tc>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2"/>
                <w:szCs w:val="12"/>
                <w:color w:val="auto"/>
              </w:rPr>
              <w:t>(2,157)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2"/>
                <w:szCs w:val="12"/>
                <w:color w:val="auto"/>
              </w:rPr>
              <w:t>(2,157)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40" w:type="dxa"/>
            <w:vAlign w:val="bottom"/>
            <w:shd w:val="clear" w:color="auto" w:fill="CCEEFF"/>
          </w:tcPr>
          <w:p>
            <w:pPr>
              <w:ind w:left="80"/>
              <w:spacing w:after="0"/>
              <w:rPr>
                <w:sz w:val="20"/>
                <w:szCs w:val="20"/>
                <w:color w:val="auto"/>
              </w:rPr>
            </w:pPr>
            <w:r>
              <w:rPr>
                <w:rFonts w:ascii="Arial" w:cs="Arial" w:eastAsia="Arial" w:hAnsi="Arial"/>
                <w:sz w:val="12"/>
                <w:szCs w:val="12"/>
                <w:color w:val="auto"/>
              </w:rPr>
              <w:t>Retained earnings</w:t>
            </w:r>
          </w:p>
        </w:tc>
        <w:tc>
          <w:tcPr>
            <w:tcW w:w="3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159,213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152,865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40" w:type="dxa"/>
            <w:vAlign w:val="bottom"/>
          </w:tcPr>
          <w:p>
            <w:pPr>
              <w:ind w:left="80"/>
              <w:spacing w:after="0"/>
              <w:rPr>
                <w:sz w:val="20"/>
                <w:szCs w:val="20"/>
                <w:color w:val="auto"/>
              </w:rPr>
            </w:pPr>
            <w:r>
              <w:rPr>
                <w:rFonts w:ascii="Arial" w:cs="Arial" w:eastAsia="Arial" w:hAnsi="Arial"/>
                <w:sz w:val="12"/>
                <w:szCs w:val="12"/>
                <w:color w:val="auto"/>
              </w:rPr>
              <w:t>Accumulated other comprehensive income, net of income taxes</w:t>
            </w:r>
          </w:p>
        </w:tc>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2"/>
                <w:szCs w:val="12"/>
                <w:color w:val="auto"/>
              </w:rPr>
              <w:t>12,932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15,998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40" w:type="dxa"/>
            <w:vAlign w:val="bottom"/>
            <w:shd w:val="clear" w:color="auto" w:fill="CCEEFF"/>
          </w:tcPr>
          <w:p>
            <w:pPr>
              <w:ind w:left="80"/>
              <w:spacing w:after="0"/>
              <w:rPr>
                <w:sz w:val="20"/>
                <w:szCs w:val="20"/>
                <w:color w:val="auto"/>
              </w:rPr>
            </w:pPr>
            <w:r>
              <w:rPr>
                <w:rFonts w:ascii="Arial" w:cs="Arial" w:eastAsia="Arial" w:hAnsi="Arial"/>
                <w:sz w:val="12"/>
                <w:szCs w:val="12"/>
                <w:color w:val="auto"/>
              </w:rPr>
              <w:t>Treasury stock, at cost, 2018 – 424,471 shares, 2017 – 446,671 shares</w:t>
            </w:r>
          </w:p>
        </w:tc>
        <w:tc>
          <w:tcPr>
            <w:tcW w:w="3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(7,638)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(8,037)</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940" w:type="dxa"/>
            <w:vAlign w:val="bottom"/>
          </w:tcPr>
          <w:p>
            <w:pPr>
              <w:ind w:left="80"/>
              <w:spacing w:after="0"/>
              <w:rPr>
                <w:sz w:val="20"/>
                <w:szCs w:val="20"/>
                <w:color w:val="auto"/>
              </w:rPr>
            </w:pPr>
            <w:r>
              <w:rPr>
                <w:rFonts w:ascii="Arial" w:cs="Arial" w:eastAsia="Arial" w:hAnsi="Arial"/>
                <w:sz w:val="12"/>
                <w:szCs w:val="12"/>
                <w:color w:val="auto"/>
              </w:rPr>
              <w:t>Non-controlling interest</w:t>
            </w:r>
          </w:p>
        </w:tc>
        <w:tc>
          <w:tcPr>
            <w:tcW w:w="3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2"/>
                <w:szCs w:val="12"/>
                <w:color w:val="auto"/>
              </w:rPr>
              <w:t>3,154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3,178</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940" w:type="dxa"/>
            <w:vAlign w:val="bottom"/>
            <w:tcBorders>
              <w:top w:val="single" w:sz="8" w:color="CCEEFF"/>
            </w:tcBorders>
            <w:shd w:val="clear" w:color="auto" w:fill="CCEEFF"/>
          </w:tcPr>
          <w:p>
            <w:pPr>
              <w:ind w:left="180"/>
              <w:spacing w:after="0" w:line="133" w:lineRule="exact"/>
              <w:rPr>
                <w:sz w:val="20"/>
                <w:szCs w:val="20"/>
                <w:color w:val="auto"/>
              </w:rPr>
            </w:pPr>
            <w:r>
              <w:rPr>
                <w:rFonts w:ascii="Arial" w:cs="Arial" w:eastAsia="Arial" w:hAnsi="Arial"/>
                <w:sz w:val="12"/>
                <w:szCs w:val="12"/>
                <w:color w:val="auto"/>
              </w:rPr>
              <w:t>Total equity</w:t>
            </w:r>
          </w:p>
        </w:tc>
        <w:tc>
          <w:tcPr>
            <w:tcW w:w="36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11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259,566</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11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255,573</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Total liabilities and equity</w:t>
            </w:r>
          </w:p>
        </w:tc>
        <w:tc>
          <w:tcPr>
            <w:tcW w:w="3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441,398</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376,988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shd w:val="clear" w:color="auto" w:fill="CCEEFF"/>
          </w:tcPr>
          <w:p>
            <w:pPr>
              <w:spacing w:after="0" w:line="20" w:lineRule="exact"/>
              <w:rPr>
                <w:sz w:val="1"/>
                <w:szCs w:val="1"/>
                <w:color w:val="auto"/>
              </w:rPr>
            </w:pPr>
          </w:p>
        </w:tc>
        <w:tc>
          <w:tcPr>
            <w:tcW w:w="3660" w:type="dxa"/>
            <w:vAlign w:val="bottom"/>
            <w:shd w:val="clear" w:color="auto" w:fill="CCEEFF"/>
          </w:tcPr>
          <w:p>
            <w:pPr>
              <w:spacing w:after="0" w:line="20" w:lineRule="exact"/>
              <w:rPr>
                <w:sz w:val="1"/>
                <w:szCs w:val="1"/>
                <w:color w:val="auto"/>
              </w:rPr>
            </w:pPr>
          </w:p>
        </w:tc>
        <w:tc>
          <w:tcPr>
            <w:tcW w:w="160" w:type="dxa"/>
            <w:vAlign w:val="bottom"/>
            <w:tcBorders>
              <w:bottom w:val="single" w:sz="8" w:color="auto"/>
            </w:tcBorders>
            <w:shd w:val="clear" w:color="auto" w:fill="000000"/>
          </w:tcPr>
          <w:p>
            <w:pPr>
              <w:spacing w:after="0" w:line="20" w:lineRule="exact"/>
              <w:rPr>
                <w:sz w:val="1"/>
                <w:szCs w:val="1"/>
                <w:color w:val="auto"/>
              </w:rPr>
            </w:pPr>
          </w:p>
        </w:tc>
        <w:tc>
          <w:tcPr>
            <w:tcW w:w="110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1140" w:type="dxa"/>
            <w:vAlign w:val="bottom"/>
            <w:tcBorders>
              <w:bottom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960" w:type="dxa"/>
            <w:vAlign w:val="bottom"/>
            <w:gridSpan w:val="2"/>
          </w:tcPr>
          <w:p>
            <w:pPr>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tc>
        <w:tc>
          <w:tcPr>
            <w:tcW w:w="3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jc w:val="right"/>
              <w:ind w:right="2780"/>
              <w:spacing w:after="0"/>
              <w:rPr>
                <w:sz w:val="20"/>
                <w:szCs w:val="20"/>
                <w:color w:val="auto"/>
              </w:rPr>
            </w:pPr>
            <w:r>
              <w:rPr>
                <w:rFonts w:ascii="Arial" w:cs="Arial" w:eastAsia="Arial" w:hAnsi="Arial"/>
                <w:sz w:val="12"/>
                <w:szCs w:val="12"/>
                <w:color w:val="auto"/>
              </w:rPr>
              <w:t>3</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197" w:right="19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NI Holdings, Inc.</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Unaudited Consolidated Statements of Operations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(dollar amounts in thousands, except per share amounts)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60" w:type="dxa"/>
            <w:vAlign w:val="bottom"/>
            <w:gridSpan w:val="3"/>
          </w:tcPr>
          <w:p>
            <w:pPr>
              <w:jc w:val="right"/>
              <w:ind w:right="368"/>
              <w:spacing w:after="0"/>
              <w:rPr>
                <w:sz w:val="20"/>
                <w:szCs w:val="20"/>
                <w:color w:val="auto"/>
              </w:rPr>
            </w:pPr>
            <w:r>
              <w:rPr>
                <w:rFonts w:ascii="Arial" w:cs="Arial" w:eastAsia="Arial" w:hAnsi="Arial"/>
                <w:sz w:val="12"/>
                <w:szCs w:val="12"/>
                <w:b w:val="1"/>
                <w:bCs w:val="1"/>
                <w:color w:val="auto"/>
                <w:w w:val="94"/>
              </w:rPr>
              <w:t>Three Months Ended</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gridSpan w:val="4"/>
          </w:tcPr>
          <w:p>
            <w:pPr>
              <w:jc w:val="right"/>
              <w:ind w:right="10"/>
              <w:spacing w:after="0"/>
              <w:rPr>
                <w:sz w:val="20"/>
                <w:szCs w:val="20"/>
                <w:color w:val="auto"/>
              </w:rPr>
            </w:pPr>
            <w:r>
              <w:rPr>
                <w:rFonts w:ascii="Arial" w:cs="Arial" w:eastAsia="Arial" w:hAnsi="Arial"/>
                <w:sz w:val="12"/>
                <w:szCs w:val="12"/>
                <w:b w:val="1"/>
                <w:bCs w:val="1"/>
                <w:color w:val="auto"/>
                <w:w w:val="96"/>
              </w:rPr>
              <w:t>Six Months Ended</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688"/>
              <w:spacing w:after="0"/>
              <w:rPr>
                <w:sz w:val="20"/>
                <w:szCs w:val="20"/>
                <w:color w:val="auto"/>
              </w:rPr>
            </w:pPr>
            <w:r>
              <w:rPr>
                <w:rFonts w:ascii="Arial" w:cs="Arial" w:eastAsia="Arial" w:hAnsi="Arial"/>
                <w:sz w:val="12"/>
                <w:szCs w:val="12"/>
                <w:b w:val="1"/>
                <w:bCs w:val="1"/>
                <w:color w:val="auto"/>
              </w:rPr>
              <w:t>June 30,</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2"/>
                <w:szCs w:val="12"/>
                <w:b w:val="1"/>
                <w:bCs w:val="1"/>
                <w:color w:val="auto"/>
              </w:rPr>
              <w:t>June 30,</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2018</w:t>
            </w:r>
          </w:p>
        </w:tc>
        <w:tc>
          <w:tcPr>
            <w:tcW w:w="4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2"/>
                <w:szCs w:val="12"/>
                <w:b w:val="1"/>
                <w:bCs w:val="1"/>
                <w:color w:val="auto"/>
              </w:rPr>
              <w:t>2017</w:t>
            </w: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2"/>
                <w:szCs w:val="12"/>
                <w:b w:val="1"/>
                <w:bCs w:val="1"/>
                <w:color w:val="auto"/>
              </w:rPr>
              <w:t>2018</w:t>
            </w: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160" w:type="dxa"/>
            <w:vAlign w:val="bottom"/>
            <w:gridSpan w:val="2"/>
          </w:tcPr>
          <w:p>
            <w:pPr>
              <w:spacing w:after="0" w:line="133" w:lineRule="exact"/>
              <w:rPr>
                <w:sz w:val="20"/>
                <w:szCs w:val="20"/>
                <w:color w:val="auto"/>
              </w:rPr>
            </w:pPr>
            <w:r>
              <w:rPr>
                <w:rFonts w:ascii="Arial" w:cs="Arial" w:eastAsia="Arial" w:hAnsi="Arial"/>
                <w:sz w:val="12"/>
                <w:szCs w:val="12"/>
                <w:color w:val="auto"/>
              </w:rPr>
              <w:t>Revenues:</w:t>
            </w:r>
          </w:p>
        </w:tc>
        <w:tc>
          <w:tcPr>
            <w:tcW w:w="1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40" w:type="dxa"/>
            <w:vAlign w:val="bottom"/>
            <w:shd w:val="clear" w:color="auto" w:fill="CCEEFF"/>
          </w:tcPr>
          <w:p>
            <w:pPr>
              <w:ind w:left="80"/>
              <w:spacing w:after="0"/>
              <w:rPr>
                <w:sz w:val="20"/>
                <w:szCs w:val="20"/>
                <w:color w:val="auto"/>
              </w:rPr>
            </w:pPr>
            <w:r>
              <w:rPr>
                <w:rFonts w:ascii="Arial" w:cs="Arial" w:eastAsia="Arial" w:hAnsi="Arial"/>
                <w:sz w:val="12"/>
                <w:szCs w:val="12"/>
                <w:color w:val="auto"/>
              </w:rPr>
              <w:t>Net premiums earned</w:t>
            </w:r>
          </w:p>
        </w:tc>
        <w:tc>
          <w:tcPr>
            <w:tcW w:w="2260" w:type="dxa"/>
            <w:vAlign w:val="bottom"/>
            <w:gridSpan w:val="2"/>
            <w:shd w:val="clear" w:color="auto" w:fill="CCEEFF"/>
          </w:tcPr>
          <w:p>
            <w:pPr>
              <w:jc w:val="right"/>
              <w:ind w:right="665"/>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50,677</w:t>
            </w:r>
          </w:p>
        </w:tc>
        <w:tc>
          <w:tcPr>
            <w:tcW w:w="840" w:type="dxa"/>
            <w:vAlign w:val="bottom"/>
            <w:shd w:val="clear" w:color="auto" w:fill="CCEEFF"/>
          </w:tcPr>
          <w:p>
            <w:pPr>
              <w:jc w:val="right"/>
              <w:ind w:right="728"/>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45,653</w:t>
            </w:r>
          </w:p>
        </w:tc>
        <w:tc>
          <w:tcPr>
            <w:tcW w:w="820" w:type="dxa"/>
            <w:vAlign w:val="bottom"/>
            <w:shd w:val="clear" w:color="auto" w:fill="CCEEFF"/>
          </w:tcPr>
          <w:p>
            <w:pPr>
              <w:jc w:val="right"/>
              <w:ind w:right="708"/>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86,789</w:t>
            </w:r>
          </w:p>
        </w:tc>
        <w:tc>
          <w:tcPr>
            <w:tcW w:w="540" w:type="dxa"/>
            <w:vAlign w:val="bottom"/>
            <w:gridSpan w:val="2"/>
            <w:shd w:val="clear" w:color="auto" w:fill="CCEEFF"/>
          </w:tcPr>
          <w:p>
            <w:pPr>
              <w:jc w:val="right"/>
              <w:ind w:right="31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78,462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40" w:type="dxa"/>
            <w:vAlign w:val="bottom"/>
          </w:tcPr>
          <w:p>
            <w:pPr>
              <w:ind w:left="80"/>
              <w:spacing w:after="0"/>
              <w:rPr>
                <w:sz w:val="20"/>
                <w:szCs w:val="20"/>
                <w:color w:val="auto"/>
              </w:rPr>
            </w:pPr>
            <w:r>
              <w:rPr>
                <w:rFonts w:ascii="Arial" w:cs="Arial" w:eastAsia="Arial" w:hAnsi="Arial"/>
                <w:sz w:val="12"/>
                <w:szCs w:val="12"/>
                <w:color w:val="auto"/>
              </w:rPr>
              <w:t>Fee and other income</w:t>
            </w:r>
          </w:p>
        </w:tc>
        <w:tc>
          <w:tcPr>
            <w:tcW w:w="1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470</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321</w:t>
            </w:r>
          </w:p>
        </w:tc>
        <w:tc>
          <w:tcPr>
            <w:tcW w:w="82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847</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668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40" w:type="dxa"/>
            <w:vAlign w:val="bottom"/>
            <w:shd w:val="clear" w:color="auto" w:fill="CCEEFF"/>
          </w:tcPr>
          <w:p>
            <w:pPr>
              <w:ind w:left="80"/>
              <w:spacing w:after="0"/>
              <w:rPr>
                <w:sz w:val="20"/>
                <w:szCs w:val="20"/>
                <w:color w:val="auto"/>
              </w:rPr>
            </w:pPr>
            <w:r>
              <w:rPr>
                <w:rFonts w:ascii="Arial" w:cs="Arial" w:eastAsia="Arial" w:hAnsi="Arial"/>
                <w:sz w:val="12"/>
                <w:szCs w:val="12"/>
                <w:color w:val="auto"/>
              </w:rPr>
              <w:t>Net investment income</w:t>
            </w:r>
          </w:p>
        </w:tc>
        <w:tc>
          <w:tcPr>
            <w:tcW w:w="14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1,523</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1,303</w:t>
            </w:r>
          </w:p>
        </w:tc>
        <w:tc>
          <w:tcPr>
            <w:tcW w:w="8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2,892</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2,302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40" w:type="dxa"/>
            <w:vAlign w:val="bottom"/>
          </w:tcPr>
          <w:p>
            <w:pPr>
              <w:ind w:left="80"/>
              <w:spacing w:after="0"/>
              <w:rPr>
                <w:sz w:val="20"/>
                <w:szCs w:val="20"/>
                <w:color w:val="auto"/>
              </w:rPr>
            </w:pPr>
            <w:r>
              <w:rPr>
                <w:rFonts w:ascii="Arial" w:cs="Arial" w:eastAsia="Arial" w:hAnsi="Arial"/>
                <w:sz w:val="12"/>
                <w:szCs w:val="12"/>
                <w:color w:val="auto"/>
              </w:rPr>
              <w:t>Net realized capital gain on investments</w:t>
            </w:r>
          </w:p>
        </w:tc>
        <w:tc>
          <w:tcPr>
            <w:tcW w:w="1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250</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339</w:t>
            </w:r>
          </w:p>
        </w:tc>
        <w:tc>
          <w:tcPr>
            <w:tcW w:w="82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719</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955</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140" w:type="dxa"/>
            <w:vAlign w:val="bottom"/>
            <w:tcBorders>
              <w:top w:val="single" w:sz="8" w:color="CCEEFF"/>
            </w:tcBorders>
            <w:shd w:val="clear" w:color="auto" w:fill="CCEEFF"/>
          </w:tcPr>
          <w:p>
            <w:pPr>
              <w:ind w:left="180"/>
              <w:spacing w:after="0" w:line="133" w:lineRule="exact"/>
              <w:rPr>
                <w:sz w:val="20"/>
                <w:szCs w:val="20"/>
                <w:color w:val="auto"/>
              </w:rPr>
            </w:pPr>
            <w:r>
              <w:rPr>
                <w:rFonts w:ascii="Arial" w:cs="Arial" w:eastAsia="Arial" w:hAnsi="Arial"/>
                <w:sz w:val="12"/>
                <w:szCs w:val="12"/>
                <w:color w:val="auto"/>
              </w:rPr>
              <w:t>Total revenues</w:t>
            </w:r>
          </w:p>
        </w:tc>
        <w:tc>
          <w:tcPr>
            <w:tcW w:w="14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52,920</w:t>
            </w:r>
          </w:p>
        </w:tc>
        <w:tc>
          <w:tcPr>
            <w:tcW w:w="24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47,616</w:t>
            </w:r>
          </w:p>
        </w:tc>
        <w:tc>
          <w:tcPr>
            <w:tcW w:w="24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91,247</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82,387</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4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2"/>
                <w:szCs w:val="12"/>
                <w:color w:val="auto"/>
              </w:rPr>
              <w:t>Expenses:</w:t>
            </w:r>
          </w:p>
        </w:tc>
        <w:tc>
          <w:tcPr>
            <w:tcW w:w="14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40" w:type="dxa"/>
            <w:vAlign w:val="bottom"/>
          </w:tcPr>
          <w:p>
            <w:pPr>
              <w:ind w:left="80"/>
              <w:spacing w:after="0"/>
              <w:rPr>
                <w:sz w:val="20"/>
                <w:szCs w:val="20"/>
                <w:color w:val="auto"/>
              </w:rPr>
            </w:pPr>
            <w:r>
              <w:rPr>
                <w:rFonts w:ascii="Arial" w:cs="Arial" w:eastAsia="Arial" w:hAnsi="Arial"/>
                <w:sz w:val="12"/>
                <w:szCs w:val="12"/>
                <w:color w:val="auto"/>
              </w:rPr>
              <w:t>Losses and loss adjustment expenses</w:t>
            </w:r>
          </w:p>
        </w:tc>
        <w:tc>
          <w:tcPr>
            <w:tcW w:w="1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2"/>
                <w:szCs w:val="12"/>
                <w:color w:val="auto"/>
              </w:rPr>
              <w:t>40,721</w:t>
            </w:r>
          </w:p>
        </w:tc>
        <w:tc>
          <w:tcPr>
            <w:tcW w:w="84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36,230</w:t>
            </w:r>
          </w:p>
        </w:tc>
        <w:tc>
          <w:tcPr>
            <w:tcW w:w="82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59,570</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53,951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40" w:type="dxa"/>
            <w:vAlign w:val="bottom"/>
            <w:shd w:val="clear" w:color="auto" w:fill="CCEEFF"/>
          </w:tcPr>
          <w:p>
            <w:pPr>
              <w:ind w:left="80"/>
              <w:spacing w:after="0"/>
              <w:rPr>
                <w:sz w:val="20"/>
                <w:szCs w:val="20"/>
                <w:color w:val="auto"/>
              </w:rPr>
            </w:pPr>
            <w:r>
              <w:rPr>
                <w:rFonts w:ascii="Arial" w:cs="Arial" w:eastAsia="Arial" w:hAnsi="Arial"/>
                <w:sz w:val="12"/>
                <w:szCs w:val="12"/>
                <w:color w:val="auto"/>
              </w:rPr>
              <w:t>Amortization of deferred policy acquisition costs</w:t>
            </w:r>
          </w:p>
        </w:tc>
        <w:tc>
          <w:tcPr>
            <w:tcW w:w="14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8,618</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6,301</w:t>
            </w:r>
          </w:p>
        </w:tc>
        <w:tc>
          <w:tcPr>
            <w:tcW w:w="8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15,657</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11,310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40" w:type="dxa"/>
            <w:vAlign w:val="bottom"/>
          </w:tcPr>
          <w:p>
            <w:pPr>
              <w:ind w:left="80"/>
              <w:spacing w:after="0"/>
              <w:rPr>
                <w:sz w:val="20"/>
                <w:szCs w:val="20"/>
                <w:color w:val="auto"/>
              </w:rPr>
            </w:pPr>
            <w:r>
              <w:rPr>
                <w:rFonts w:ascii="Arial" w:cs="Arial" w:eastAsia="Arial" w:hAnsi="Arial"/>
                <w:sz w:val="12"/>
                <w:szCs w:val="12"/>
                <w:color w:val="auto"/>
              </w:rPr>
              <w:t>Other underwriting and general expenses</w:t>
            </w:r>
          </w:p>
        </w:tc>
        <w:tc>
          <w:tcPr>
            <w:tcW w:w="1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3,184</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5,124</w:t>
            </w:r>
          </w:p>
        </w:tc>
        <w:tc>
          <w:tcPr>
            <w:tcW w:w="82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8,022</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10,134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140" w:type="dxa"/>
            <w:vAlign w:val="bottom"/>
            <w:tcBorders>
              <w:top w:val="single" w:sz="8" w:color="CCEEFF"/>
            </w:tcBorders>
            <w:shd w:val="clear" w:color="auto" w:fill="CCEEFF"/>
          </w:tcPr>
          <w:p>
            <w:pPr>
              <w:ind w:left="180"/>
              <w:spacing w:after="0" w:line="133" w:lineRule="exact"/>
              <w:rPr>
                <w:sz w:val="20"/>
                <w:szCs w:val="20"/>
                <w:color w:val="auto"/>
              </w:rPr>
            </w:pPr>
            <w:r>
              <w:rPr>
                <w:rFonts w:ascii="Arial" w:cs="Arial" w:eastAsia="Arial" w:hAnsi="Arial"/>
                <w:sz w:val="12"/>
                <w:szCs w:val="12"/>
                <w:color w:val="auto"/>
              </w:rPr>
              <w:t>Total expenses</w:t>
            </w:r>
          </w:p>
        </w:tc>
        <w:tc>
          <w:tcPr>
            <w:tcW w:w="14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52,523</w:t>
            </w:r>
          </w:p>
        </w:tc>
        <w:tc>
          <w:tcPr>
            <w:tcW w:w="24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47,655</w:t>
            </w:r>
          </w:p>
        </w:tc>
        <w:tc>
          <w:tcPr>
            <w:tcW w:w="24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83,249</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75,395</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4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2"/>
                <w:szCs w:val="12"/>
                <w:color w:val="auto"/>
              </w:rPr>
              <w:t>Income (loss) before income taxes</w:t>
            </w:r>
          </w:p>
        </w:tc>
        <w:tc>
          <w:tcPr>
            <w:tcW w:w="14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397</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(39)</w:t>
            </w:r>
          </w:p>
        </w:tc>
        <w:tc>
          <w:tcPr>
            <w:tcW w:w="8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7,998</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6,992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40" w:type="dxa"/>
            <w:vAlign w:val="bottom"/>
          </w:tcPr>
          <w:p>
            <w:pPr>
              <w:spacing w:after="0"/>
              <w:rPr>
                <w:sz w:val="20"/>
                <w:szCs w:val="20"/>
                <w:color w:val="auto"/>
              </w:rPr>
            </w:pPr>
            <w:r>
              <w:rPr>
                <w:rFonts w:ascii="Arial" w:cs="Arial" w:eastAsia="Arial" w:hAnsi="Arial"/>
                <w:sz w:val="12"/>
                <w:szCs w:val="12"/>
                <w:color w:val="auto"/>
              </w:rPr>
              <w:t>Income taxes (benefit)</w:t>
            </w:r>
          </w:p>
        </w:tc>
        <w:tc>
          <w:tcPr>
            <w:tcW w:w="1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141</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(156)</w:t>
            </w:r>
          </w:p>
        </w:tc>
        <w:tc>
          <w:tcPr>
            <w:tcW w:w="82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1,590</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2,126</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140" w:type="dxa"/>
            <w:vAlign w:val="bottom"/>
            <w:tcBorders>
              <w:top w:val="single" w:sz="8" w:color="CCEEFF"/>
            </w:tcBorders>
            <w:shd w:val="clear" w:color="auto" w:fill="CCEEFF"/>
          </w:tcPr>
          <w:p>
            <w:pPr>
              <w:ind w:left="100"/>
              <w:spacing w:after="0" w:line="133" w:lineRule="exact"/>
              <w:rPr>
                <w:sz w:val="20"/>
                <w:szCs w:val="20"/>
                <w:color w:val="auto"/>
              </w:rPr>
            </w:pPr>
            <w:r>
              <w:rPr>
                <w:rFonts w:ascii="Arial" w:cs="Arial" w:eastAsia="Arial" w:hAnsi="Arial"/>
                <w:sz w:val="12"/>
                <w:szCs w:val="12"/>
                <w:color w:val="auto"/>
              </w:rPr>
              <w:t>Net income</w:t>
            </w:r>
          </w:p>
        </w:tc>
        <w:tc>
          <w:tcPr>
            <w:tcW w:w="14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256</w:t>
            </w:r>
          </w:p>
        </w:tc>
        <w:tc>
          <w:tcPr>
            <w:tcW w:w="24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117</w:t>
            </w:r>
          </w:p>
        </w:tc>
        <w:tc>
          <w:tcPr>
            <w:tcW w:w="24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6,408</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4,866</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40" w:type="dxa"/>
            <w:vAlign w:val="bottom"/>
          </w:tcPr>
          <w:p>
            <w:pPr>
              <w:spacing w:after="0"/>
              <w:rPr>
                <w:sz w:val="20"/>
                <w:szCs w:val="20"/>
                <w:color w:val="auto"/>
              </w:rPr>
            </w:pPr>
            <w:r>
              <w:rPr>
                <w:rFonts w:ascii="Arial" w:cs="Arial" w:eastAsia="Arial" w:hAnsi="Arial"/>
                <w:sz w:val="12"/>
                <w:szCs w:val="12"/>
                <w:color w:val="auto"/>
              </w:rPr>
              <w:t>Net income (loss) attributable to non-controlling interest</w:t>
            </w:r>
          </w:p>
        </w:tc>
        <w:tc>
          <w:tcPr>
            <w:tcW w:w="1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30</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(12)</w:t>
            </w:r>
          </w:p>
        </w:tc>
        <w:tc>
          <w:tcPr>
            <w:tcW w:w="82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60</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48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vMerge w:val="restart"/>
            <w:shd w:val="clear" w:color="auto" w:fill="CCEEFF"/>
          </w:tcPr>
          <w:p>
            <w:pPr>
              <w:ind w:left="100"/>
              <w:spacing w:after="0"/>
              <w:rPr>
                <w:sz w:val="20"/>
                <w:szCs w:val="20"/>
                <w:color w:val="auto"/>
              </w:rPr>
            </w:pPr>
            <w:r>
              <w:rPr>
                <w:rFonts w:ascii="Arial" w:cs="Arial" w:eastAsia="Arial" w:hAnsi="Arial"/>
                <w:sz w:val="12"/>
                <w:szCs w:val="12"/>
                <w:color w:val="auto"/>
              </w:rPr>
              <w:t>Net income attributable to NI Holdings, Inc.</w:t>
            </w:r>
          </w:p>
        </w:tc>
        <w:tc>
          <w:tcPr>
            <w:tcW w:w="14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vMerge w:val="continue"/>
            <w:shd w:val="clear" w:color="auto" w:fill="CCEEFF"/>
          </w:tcPr>
          <w:p>
            <w:pPr>
              <w:spacing w:after="0"/>
              <w:rPr>
                <w:sz w:val="12"/>
                <w:szCs w:val="12"/>
                <w:color w:val="auto"/>
              </w:rPr>
            </w:pPr>
          </w:p>
        </w:tc>
        <w:tc>
          <w:tcPr>
            <w:tcW w:w="2260" w:type="dxa"/>
            <w:vAlign w:val="bottom"/>
            <w:gridSpan w:val="2"/>
            <w:shd w:val="clear" w:color="auto" w:fill="CCEEFF"/>
          </w:tcPr>
          <w:p>
            <w:pPr>
              <w:jc w:val="right"/>
              <w:ind w:right="665"/>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226</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728"/>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129</w:t>
            </w:r>
          </w:p>
        </w:tc>
        <w:tc>
          <w:tcPr>
            <w:tcW w:w="820" w:type="dxa"/>
            <w:vAlign w:val="bottom"/>
            <w:shd w:val="clear" w:color="auto" w:fill="CCEEFF"/>
          </w:tcPr>
          <w:p>
            <w:pPr>
              <w:jc w:val="right"/>
              <w:ind w:right="708"/>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6,348</w:t>
            </w:r>
          </w:p>
        </w:tc>
        <w:tc>
          <w:tcPr>
            <w:tcW w:w="540" w:type="dxa"/>
            <w:vAlign w:val="bottom"/>
            <w:gridSpan w:val="2"/>
            <w:shd w:val="clear" w:color="auto" w:fill="CCEEFF"/>
          </w:tcPr>
          <w:p>
            <w:pPr>
              <w:jc w:val="right"/>
              <w:ind w:right="31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4,818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40" w:type="dxa"/>
            <w:vAlign w:val="bottom"/>
            <w:tcBorders>
              <w:top w:val="single" w:sz="8" w:color="CCEEFF"/>
            </w:tcBorders>
          </w:tcPr>
          <w:p>
            <w:pPr>
              <w:spacing w:after="0"/>
              <w:rPr>
                <w:sz w:val="12"/>
                <w:szCs w:val="12"/>
                <w:color w:val="auto"/>
              </w:rPr>
            </w:pPr>
          </w:p>
        </w:tc>
        <w:tc>
          <w:tcPr>
            <w:tcW w:w="1480" w:type="dxa"/>
            <w:vAlign w:val="bottom"/>
            <w:tcBorders>
              <w:top w:val="single" w:sz="8" w:color="CCEEFF"/>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1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4140" w:type="dxa"/>
            <w:vAlign w:val="bottom"/>
          </w:tcPr>
          <w:p>
            <w:pPr>
              <w:spacing w:after="0"/>
              <w:rPr>
                <w:sz w:val="20"/>
                <w:szCs w:val="20"/>
                <w:color w:val="auto"/>
              </w:rPr>
            </w:pPr>
            <w:r>
              <w:rPr>
                <w:rFonts w:ascii="Arial" w:cs="Arial" w:eastAsia="Arial" w:hAnsi="Arial"/>
                <w:sz w:val="12"/>
                <w:szCs w:val="12"/>
                <w:color w:val="auto"/>
              </w:rPr>
              <w:t>Basic earnings per common share</w:t>
            </w:r>
          </w:p>
        </w:tc>
        <w:tc>
          <w:tcPr>
            <w:tcW w:w="2260" w:type="dxa"/>
            <w:vAlign w:val="bottom"/>
            <w:gridSpan w:val="2"/>
          </w:tcPr>
          <w:p>
            <w:pPr>
              <w:jc w:val="right"/>
              <w:ind w:right="665"/>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2"/>
                <w:szCs w:val="12"/>
                <w:color w:val="auto"/>
              </w:rPr>
              <w:t>0.01</w:t>
            </w:r>
          </w:p>
        </w:tc>
        <w:tc>
          <w:tcPr>
            <w:tcW w:w="840" w:type="dxa"/>
            <w:vAlign w:val="bottom"/>
          </w:tcPr>
          <w:p>
            <w:pPr>
              <w:jc w:val="right"/>
              <w:ind w:right="728"/>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0.01</w:t>
            </w:r>
          </w:p>
        </w:tc>
        <w:tc>
          <w:tcPr>
            <w:tcW w:w="820" w:type="dxa"/>
            <w:vAlign w:val="bottom"/>
          </w:tcPr>
          <w:p>
            <w:pPr>
              <w:jc w:val="right"/>
              <w:ind w:right="708"/>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0.28</w:t>
            </w:r>
          </w:p>
        </w:tc>
        <w:tc>
          <w:tcPr>
            <w:tcW w:w="540" w:type="dxa"/>
            <w:vAlign w:val="bottom"/>
            <w:gridSpan w:val="2"/>
          </w:tcPr>
          <w:p>
            <w:pPr>
              <w:jc w:val="right"/>
              <w:ind w:right="31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0.21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140" w:type="dxa"/>
            <w:vAlign w:val="bottom"/>
            <w:tcBorders>
              <w:top w:val="single" w:sz="8" w:color="CCEEFF"/>
              <w:bottom w:val="single" w:sz="8" w:color="CCEEFF"/>
            </w:tcBorders>
            <w:shd w:val="clear" w:color="auto" w:fill="CCEEFF"/>
          </w:tcPr>
          <w:p>
            <w:pPr>
              <w:spacing w:after="0" w:line="135" w:lineRule="exact"/>
              <w:rPr>
                <w:sz w:val="20"/>
                <w:szCs w:val="20"/>
                <w:color w:val="auto"/>
              </w:rPr>
            </w:pPr>
            <w:r>
              <w:rPr>
                <w:rFonts w:ascii="Arial" w:cs="Arial" w:eastAsia="Arial" w:hAnsi="Arial"/>
                <w:sz w:val="12"/>
                <w:szCs w:val="12"/>
                <w:color w:val="auto"/>
              </w:rPr>
              <w:t>Diluted earnings per common share</w:t>
            </w:r>
          </w:p>
        </w:tc>
        <w:tc>
          <w:tcPr>
            <w:tcW w:w="148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ind w:right="665"/>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0.01</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ind w:right="728"/>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0.01</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708"/>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0.28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0.21</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2340" cy="1714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NI Holdings, Inc.</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Unaudited Consolidated Statements of Comprehensive Income (Loss)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(dollar amounts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9"/>
          </w:tcPr>
          <w:p>
            <w:pPr>
              <w:jc w:val="center"/>
              <w:spacing w:after="0"/>
              <w:rPr>
                <w:sz w:val="20"/>
                <w:szCs w:val="20"/>
                <w:color w:val="auto"/>
              </w:rPr>
            </w:pPr>
            <w:r>
              <w:rPr>
                <w:rFonts w:ascii="Arial" w:cs="Arial" w:eastAsia="Arial" w:hAnsi="Arial"/>
                <w:sz w:val="12"/>
                <w:szCs w:val="12"/>
                <w:b w:val="1"/>
                <w:bCs w:val="1"/>
                <w:color w:val="auto"/>
                <w:w w:val="90"/>
              </w:rPr>
              <w:t>Three Months Ended June 30, 2018</w:t>
            </w:r>
          </w:p>
        </w:tc>
        <w:tc>
          <w:tcPr>
            <w:tcW w:w="8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6"/>
          </w:tcPr>
          <w:p>
            <w:pPr>
              <w:jc w:val="center"/>
              <w:ind w:right="205"/>
              <w:spacing w:after="0"/>
              <w:rPr>
                <w:sz w:val="20"/>
                <w:szCs w:val="20"/>
                <w:color w:val="auto"/>
              </w:rPr>
            </w:pPr>
            <w:r>
              <w:rPr>
                <w:rFonts w:ascii="Arial" w:cs="Arial" w:eastAsia="Arial" w:hAnsi="Arial"/>
                <w:sz w:val="12"/>
                <w:szCs w:val="12"/>
                <w:b w:val="1"/>
                <w:bCs w:val="1"/>
                <w:color w:val="auto"/>
                <w:w w:val="89"/>
              </w:rPr>
              <w:t>Six Months Ended June 30, 2018</w:t>
            </w:r>
          </w:p>
        </w:tc>
        <w:tc>
          <w:tcPr>
            <w:tcW w:w="9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jc w:val="center"/>
              <w:ind w:left="121"/>
              <w:spacing w:after="0" w:line="121" w:lineRule="exact"/>
              <w:rPr>
                <w:sz w:val="20"/>
                <w:szCs w:val="20"/>
                <w:color w:val="auto"/>
              </w:rPr>
            </w:pPr>
            <w:r>
              <w:rPr>
                <w:rFonts w:ascii="Arial" w:cs="Arial" w:eastAsia="Arial" w:hAnsi="Arial"/>
                <w:sz w:val="12"/>
                <w:szCs w:val="12"/>
                <w:b w:val="1"/>
                <w:bCs w:val="1"/>
                <w:color w:val="auto"/>
                <w:w w:val="94"/>
              </w:rPr>
              <w:t>Attributable</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jc w:val="center"/>
              <w:ind w:right="200"/>
              <w:spacing w:after="0" w:line="121" w:lineRule="exact"/>
              <w:rPr>
                <w:sz w:val="20"/>
                <w:szCs w:val="20"/>
                <w:color w:val="auto"/>
              </w:rPr>
            </w:pPr>
            <w:r>
              <w:rPr>
                <w:rFonts w:ascii="Arial" w:cs="Arial" w:eastAsia="Arial" w:hAnsi="Arial"/>
                <w:sz w:val="12"/>
                <w:szCs w:val="12"/>
                <w:b w:val="1"/>
                <w:bCs w:val="1"/>
                <w:color w:val="auto"/>
                <w:w w:val="94"/>
              </w:rPr>
              <w:t>Attributable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jc w:val="center"/>
              <w:ind w:left="101"/>
              <w:spacing w:after="0"/>
              <w:rPr>
                <w:sz w:val="20"/>
                <w:szCs w:val="20"/>
                <w:color w:val="auto"/>
              </w:rPr>
            </w:pPr>
            <w:r>
              <w:rPr>
                <w:rFonts w:ascii="Arial" w:cs="Arial" w:eastAsia="Arial" w:hAnsi="Arial"/>
                <w:sz w:val="12"/>
                <w:szCs w:val="12"/>
                <w:b w:val="1"/>
                <w:bCs w:val="1"/>
                <w:color w:val="auto"/>
                <w:w w:val="90"/>
              </w:rPr>
              <w:t>to Non-</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4"/>
              </w:rPr>
              <w:t>Attributable</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to Non-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4"/>
              </w:rPr>
              <w:t>Attributable</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jc w:val="center"/>
              <w:ind w:left="101"/>
              <w:spacing w:after="0"/>
              <w:rPr>
                <w:sz w:val="20"/>
                <w:szCs w:val="20"/>
                <w:color w:val="auto"/>
              </w:rPr>
            </w:pPr>
            <w:r>
              <w:rPr>
                <w:rFonts w:ascii="Arial" w:cs="Arial" w:eastAsia="Arial" w:hAnsi="Arial"/>
                <w:sz w:val="12"/>
                <w:szCs w:val="12"/>
                <w:b w:val="1"/>
                <w:bCs w:val="1"/>
                <w:color w:val="auto"/>
                <w:w w:val="90"/>
              </w:rPr>
              <w:t>Controlling</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3"/>
          </w:tcPr>
          <w:p>
            <w:pPr>
              <w:ind w:left="400"/>
              <w:spacing w:after="0"/>
              <w:rPr>
                <w:sz w:val="20"/>
                <w:szCs w:val="20"/>
                <w:color w:val="auto"/>
              </w:rPr>
            </w:pPr>
            <w:r>
              <w:rPr>
                <w:rFonts w:ascii="Arial" w:cs="Arial" w:eastAsia="Arial" w:hAnsi="Arial"/>
                <w:sz w:val="12"/>
                <w:szCs w:val="12"/>
                <w:b w:val="1"/>
                <w:bCs w:val="1"/>
                <w:color w:val="auto"/>
              </w:rPr>
              <w:t>to NI</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Controlling</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7"/>
              </w:rPr>
              <w:t>to NI</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jc w:val="center"/>
              <w:ind w:left="101"/>
              <w:spacing w:after="0"/>
              <w:rPr>
                <w:sz w:val="20"/>
                <w:szCs w:val="20"/>
                <w:color w:val="auto"/>
              </w:rPr>
            </w:pPr>
            <w:r>
              <w:rPr>
                <w:rFonts w:ascii="Arial" w:cs="Arial" w:eastAsia="Arial" w:hAnsi="Arial"/>
                <w:sz w:val="12"/>
                <w:szCs w:val="12"/>
                <w:b w:val="1"/>
                <w:bCs w:val="1"/>
                <w:color w:val="auto"/>
                <w:w w:val="87"/>
              </w:rPr>
              <w:t>Interest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1"/>
              </w:rPr>
              <w:t>Holdings, Inc.</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Total</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Interest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1"/>
              </w:rPr>
              <w:t>Holdings, Inc.</w:t>
            </w:r>
          </w:p>
        </w:tc>
        <w:tc>
          <w:tcPr>
            <w:tcW w:w="300" w:type="dxa"/>
            <w:vAlign w:val="bottom"/>
          </w:tcPr>
          <w:p>
            <w:pPr>
              <w:spacing w:after="0"/>
              <w:rPr>
                <w:sz w:val="13"/>
                <w:szCs w:val="13"/>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60" w:type="dxa"/>
            <w:vAlign w:val="bottom"/>
            <w:tcBorders>
              <w:top w:val="single" w:sz="8" w:color="CCEEFF"/>
              <w:right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Net income</w:t>
            </w:r>
          </w:p>
        </w:tc>
        <w:tc>
          <w:tcPr>
            <w:tcW w:w="260" w:type="dxa"/>
            <w:vAlign w:val="bottom"/>
            <w:tcBorders>
              <w:top w:val="single" w:sz="8" w:color="CCEEFF"/>
              <w:right w:val="single" w:sz="8" w:color="CCEEFF"/>
            </w:tcBorders>
            <w:shd w:val="clear" w:color="auto" w:fill="CCEEFF"/>
          </w:tcPr>
          <w:p>
            <w:pPr>
              <w:spacing w:after="0"/>
              <w:rPr>
                <w:sz w:val="11"/>
                <w:szCs w:val="11"/>
                <w:color w:val="auto"/>
              </w:rPr>
            </w:pPr>
          </w:p>
        </w:tc>
        <w:tc>
          <w:tcPr>
            <w:tcW w:w="1020" w:type="dxa"/>
            <w:vAlign w:val="bottom"/>
            <w:tcBorders>
              <w:top w:val="single" w:sz="8" w:color="auto"/>
              <w:bottom w:val="single" w:sz="8" w:color="auto"/>
              <w:right w:val="single" w:sz="8" w:color="CCEEFF"/>
            </w:tcBorders>
            <w:shd w:val="clear" w:color="auto" w:fill="CCEEFF"/>
          </w:tcPr>
          <w:p>
            <w:pPr>
              <w:jc w:val="right"/>
              <w:ind w:right="901"/>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bottom w:val="single" w:sz="8" w:color="auto"/>
              <w:right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30</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gridSpan w:val="2"/>
            <w:shd w:val="clear" w:color="auto" w:fill="CCEEFF"/>
          </w:tcPr>
          <w:p>
            <w:pPr>
              <w:ind w:left="960"/>
              <w:spacing w:after="0" w:line="133" w:lineRule="exact"/>
              <w:rPr>
                <w:sz w:val="20"/>
                <w:szCs w:val="20"/>
                <w:color w:val="auto"/>
              </w:rPr>
            </w:pPr>
            <w:r>
              <w:rPr>
                <w:rFonts w:ascii="Arial" w:cs="Arial" w:eastAsia="Arial" w:hAnsi="Arial"/>
                <w:sz w:val="12"/>
                <w:szCs w:val="12"/>
                <w:color w:val="auto"/>
                <w:w w:val="79"/>
              </w:rPr>
              <w:t>226</w:t>
            </w:r>
          </w:p>
        </w:tc>
        <w:tc>
          <w:tcPr>
            <w:tcW w:w="80" w:type="dxa"/>
            <w:vAlign w:val="bottom"/>
            <w:tcBorders>
              <w:top w:val="single" w:sz="8" w:color="CCEEFF"/>
              <w:right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right w:val="single" w:sz="8" w:color="CCEEFF"/>
            </w:tcBorders>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256</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right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60</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right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6,348</w:t>
            </w:r>
          </w:p>
        </w:tc>
        <w:tc>
          <w:tcPr>
            <w:tcW w:w="1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left w:val="single" w:sz="8" w:color="CCEEFF"/>
              <w:bottom w:val="single" w:sz="8" w:color="auto"/>
            </w:tcBorders>
            <w:shd w:val="clear" w:color="auto" w:fill="CCEEFF"/>
          </w:tcPr>
          <w:p>
            <w:pPr>
              <w:jc w:val="right"/>
              <w:ind w:right="145"/>
              <w:spacing w:after="0" w:line="133" w:lineRule="exact"/>
              <w:rPr>
                <w:sz w:val="20"/>
                <w:szCs w:val="20"/>
                <w:color w:val="auto"/>
              </w:rPr>
            </w:pPr>
            <w:r>
              <w:rPr>
                <w:rFonts w:ascii="Arial" w:cs="Arial" w:eastAsia="Arial" w:hAnsi="Arial"/>
                <w:sz w:val="12"/>
                <w:szCs w:val="12"/>
                <w:color w:val="auto"/>
              </w:rPr>
              <w:t>$</w:t>
            </w:r>
          </w:p>
        </w:tc>
        <w:tc>
          <w:tcPr>
            <w:tcW w:w="9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6,408</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2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w w:val="88"/>
              </w:rPr>
              <w:t>Other comprehensive income (loss), before income taxes:</w:t>
            </w:r>
          </w:p>
        </w:tc>
        <w:tc>
          <w:tcPr>
            <w:tcW w:w="260" w:type="dxa"/>
            <w:vAlign w:val="bottom"/>
            <w:tcBorders>
              <w:right w:val="single" w:sz="8" w:color="CCEEFF"/>
            </w:tcBorders>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tcBorders>
              <w:left w:val="single" w:sz="8" w:color="CCEEFF"/>
            </w:tcBorders>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60" w:type="dxa"/>
            <w:vAlign w:val="bottom"/>
          </w:tcPr>
          <w:p>
            <w:pPr>
              <w:ind w:left="80"/>
              <w:spacing w:after="0"/>
              <w:rPr>
                <w:sz w:val="20"/>
                <w:szCs w:val="20"/>
                <w:color w:val="auto"/>
              </w:rPr>
            </w:pPr>
            <w:r>
              <w:rPr>
                <w:rFonts w:ascii="Arial" w:cs="Arial" w:eastAsia="Arial" w:hAnsi="Arial"/>
                <w:sz w:val="12"/>
                <w:szCs w:val="12"/>
                <w:color w:val="auto"/>
              </w:rPr>
              <w:t>Holding gains (losses) on investments</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2"/>
                <w:szCs w:val="12"/>
                <w:color w:val="auto"/>
                <w:w w:val="84"/>
              </w:rPr>
              <w:t>(24)</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3"/>
          </w:tcPr>
          <w:p>
            <w:pPr>
              <w:ind w:left="960"/>
              <w:spacing w:after="0"/>
              <w:rPr>
                <w:sz w:val="20"/>
                <w:szCs w:val="20"/>
                <w:color w:val="auto"/>
              </w:rPr>
            </w:pPr>
            <w:r>
              <w:rPr>
                <w:rFonts w:ascii="Arial" w:cs="Arial" w:eastAsia="Arial" w:hAnsi="Arial"/>
                <w:sz w:val="12"/>
                <w:szCs w:val="12"/>
                <w:color w:val="auto"/>
              </w:rPr>
              <w:t>757</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2"/>
                <w:szCs w:val="12"/>
                <w:color w:val="auto"/>
              </w:rPr>
              <w:t>733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2"/>
                <w:szCs w:val="12"/>
                <w:color w:val="auto"/>
              </w:rPr>
              <w:t>(106)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ind w:left="800"/>
              <w:spacing w:after="0"/>
              <w:rPr>
                <w:sz w:val="20"/>
                <w:szCs w:val="20"/>
                <w:color w:val="auto"/>
              </w:rPr>
            </w:pPr>
            <w:r>
              <w:rPr>
                <w:rFonts w:ascii="Arial" w:cs="Arial" w:eastAsia="Arial" w:hAnsi="Arial"/>
                <w:sz w:val="12"/>
                <w:szCs w:val="12"/>
                <w:color w:val="auto"/>
              </w:rPr>
              <w:t>(3,162)</w:t>
            </w:r>
          </w:p>
        </w:tc>
        <w:tc>
          <w:tcPr>
            <w:tcW w:w="30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(3,268)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60" w:type="dxa"/>
            <w:vAlign w:val="bottom"/>
            <w:tcBorders>
              <w:right w:val="single" w:sz="8" w:color="CCEEFF"/>
            </w:tcBorders>
            <w:shd w:val="clear" w:color="auto" w:fill="CCEEFF"/>
          </w:tcPr>
          <w:p>
            <w:pPr>
              <w:ind w:left="80"/>
              <w:spacing w:after="0" w:line="136" w:lineRule="exact"/>
              <w:rPr>
                <w:sz w:val="20"/>
                <w:szCs w:val="20"/>
                <w:color w:val="auto"/>
              </w:rPr>
            </w:pPr>
            <w:r>
              <w:rPr>
                <w:rFonts w:ascii="Arial" w:cs="Arial" w:eastAsia="Arial" w:hAnsi="Arial"/>
                <w:sz w:val="12"/>
                <w:szCs w:val="12"/>
                <w:color w:val="auto"/>
                <w:w w:val="90"/>
              </w:rPr>
              <w:t>Reclassification adjustment for net realized capital loss</w:t>
            </w:r>
          </w:p>
        </w:tc>
        <w:tc>
          <w:tcPr>
            <w:tcW w:w="260" w:type="dxa"/>
            <w:vAlign w:val="bottom"/>
            <w:tcBorders>
              <w:right w:val="single" w:sz="8" w:color="CCEEFF"/>
            </w:tcBorders>
            <w:shd w:val="clear" w:color="auto" w:fill="CCEEFF"/>
          </w:tcPr>
          <w:p>
            <w:pPr>
              <w:spacing w:after="0"/>
              <w:rPr>
                <w:sz w:val="11"/>
                <w:szCs w:val="11"/>
                <w:color w:val="auto"/>
              </w:rPr>
            </w:pPr>
          </w:p>
        </w:tc>
        <w:tc>
          <w:tcPr>
            <w:tcW w:w="1020" w:type="dxa"/>
            <w:vAlign w:val="bottom"/>
            <w:tcBorders>
              <w:right w:val="single" w:sz="8" w:color="CCEEFF"/>
            </w:tcBorders>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tcBorders>
              <w:left w:val="single" w:sz="8" w:color="CCEEFF"/>
            </w:tcBorders>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(gain) included in net income</w:t>
            </w:r>
          </w:p>
        </w:tc>
        <w:tc>
          <w:tcPr>
            <w:tcW w:w="260" w:type="dxa"/>
            <w:vAlign w:val="bottom"/>
            <w:tcBorders>
              <w:right w:val="single" w:sz="8" w:color="CCEEFF"/>
            </w:tcBorders>
            <w:shd w:val="clear" w:color="auto" w:fill="CCEEFF"/>
          </w:tcPr>
          <w:p>
            <w:pPr>
              <w:spacing w:after="0"/>
              <w:rPr>
                <w:sz w:val="14"/>
                <w:szCs w:val="14"/>
                <w:color w:val="auto"/>
              </w:rPr>
            </w:pPr>
          </w:p>
        </w:tc>
        <w:tc>
          <w:tcPr>
            <w:tcW w:w="1020" w:type="dxa"/>
            <w:vAlign w:val="bottom"/>
            <w:tcBorders>
              <w:right w:val="single" w:sz="8" w:color="CCEEFF"/>
            </w:tcBorders>
            <w:shd w:val="clear" w:color="auto" w:fill="CCEEFF"/>
          </w:tcPr>
          <w:p>
            <w:pPr>
              <w:spacing w:after="0"/>
              <w:rPr>
                <w:sz w:val="14"/>
                <w:szCs w:val="14"/>
                <w:color w:val="auto"/>
              </w:rPr>
            </w:pP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20" w:type="dxa"/>
            <w:vAlign w:val="bottom"/>
            <w:tcBorders>
              <w:right w:val="single" w:sz="8" w:color="CCEEFF"/>
            </w:tcBorders>
            <w:gridSpan w:val="3"/>
            <w:shd w:val="clear" w:color="auto" w:fill="CCEEFF"/>
          </w:tcPr>
          <w:p>
            <w:pPr>
              <w:ind w:left="920"/>
              <w:spacing w:after="0"/>
              <w:rPr>
                <w:sz w:val="20"/>
                <w:szCs w:val="20"/>
                <w:color w:val="auto"/>
              </w:rPr>
            </w:pPr>
            <w:r>
              <w:rPr>
                <w:rFonts w:ascii="Arial" w:cs="Arial" w:eastAsia="Arial" w:hAnsi="Arial"/>
                <w:sz w:val="12"/>
                <w:szCs w:val="12"/>
                <w:color w:val="auto"/>
                <w:w w:val="92"/>
              </w:rPr>
              <w:t>(250)</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(250)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(719)</w:t>
            </w:r>
          </w:p>
        </w:tc>
        <w:tc>
          <w:tcPr>
            <w:tcW w:w="300" w:type="dxa"/>
            <w:vAlign w:val="bottom"/>
            <w:tcBorders>
              <w:left w:val="single" w:sz="8" w:color="CCEEFF"/>
            </w:tcBorders>
            <w:shd w:val="clear" w:color="auto" w:fill="CCEEFF"/>
          </w:tcPr>
          <w:p>
            <w:pPr>
              <w:spacing w:after="0"/>
              <w:rPr>
                <w:sz w:val="14"/>
                <w:szCs w:val="14"/>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(719)</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020" w:type="dxa"/>
            <w:vAlign w:val="bottom"/>
            <w:tcBorders>
              <w:bottom w:val="single" w:sz="8" w:color="CCEEFF"/>
            </w:tcBorders>
            <w:gridSpan w:val="2"/>
          </w:tcPr>
          <w:p>
            <w:pPr>
              <w:ind w:left="180"/>
              <w:spacing w:after="0" w:line="133" w:lineRule="exact"/>
              <w:rPr>
                <w:sz w:val="20"/>
                <w:szCs w:val="20"/>
                <w:color w:val="auto"/>
              </w:rPr>
            </w:pPr>
            <w:r>
              <w:rPr>
                <w:rFonts w:ascii="Arial" w:cs="Arial" w:eastAsia="Arial" w:hAnsi="Arial"/>
                <w:sz w:val="12"/>
                <w:szCs w:val="12"/>
                <w:color w:val="auto"/>
                <w:w w:val="92"/>
              </w:rPr>
              <w:t>Other comprehensive income (loss), before income taxes</w:t>
            </w:r>
          </w:p>
        </w:tc>
        <w:tc>
          <w:tcPr>
            <w:tcW w:w="102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71"/>
              </w:rPr>
              <w:t>(24)</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1140" w:type="dxa"/>
            <w:vAlign w:val="bottom"/>
            <w:tcBorders>
              <w:top w:val="single" w:sz="8" w:color="auto"/>
              <w:bottom w:val="single" w:sz="8" w:color="auto"/>
            </w:tcBorders>
            <w:gridSpan w:val="2"/>
          </w:tcPr>
          <w:p>
            <w:pPr>
              <w:ind w:left="960"/>
              <w:spacing w:after="0" w:line="133" w:lineRule="exact"/>
              <w:rPr>
                <w:sz w:val="20"/>
                <w:szCs w:val="20"/>
                <w:color w:val="auto"/>
              </w:rPr>
            </w:pPr>
            <w:r>
              <w:rPr>
                <w:rFonts w:ascii="Arial" w:cs="Arial" w:eastAsia="Arial" w:hAnsi="Arial"/>
                <w:sz w:val="12"/>
                <w:szCs w:val="12"/>
                <w:color w:val="auto"/>
                <w:w w:val="79"/>
              </w:rPr>
              <w:t>507</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1100" w:type="dxa"/>
            <w:vAlign w:val="bottom"/>
            <w:tcBorders>
              <w:top w:val="single" w:sz="8" w:color="auto"/>
              <w:bottom w:val="single" w:sz="8" w:color="auto"/>
            </w:tcBorders>
            <w:gridSpan w:val="2"/>
          </w:tcPr>
          <w:p>
            <w:pPr>
              <w:jc w:val="right"/>
              <w:ind w:right="100"/>
              <w:spacing w:after="0" w:line="133" w:lineRule="exact"/>
              <w:rPr>
                <w:sz w:val="20"/>
                <w:szCs w:val="20"/>
                <w:color w:val="auto"/>
              </w:rPr>
            </w:pPr>
            <w:r>
              <w:rPr>
                <w:rFonts w:ascii="Arial" w:cs="Arial" w:eastAsia="Arial" w:hAnsi="Arial"/>
                <w:sz w:val="12"/>
                <w:szCs w:val="12"/>
                <w:color w:val="auto"/>
              </w:rPr>
              <w:t>483</w:t>
            </w:r>
          </w:p>
        </w:tc>
        <w:tc>
          <w:tcPr>
            <w:tcW w:w="10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(106)</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10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1"/>
                <w:szCs w:val="11"/>
                <w:color w:val="auto"/>
                <w:w w:val="74"/>
              </w:rPr>
              <w:t>(3,881)</w:t>
            </w:r>
          </w:p>
        </w:tc>
        <w:tc>
          <w:tcPr>
            <w:tcW w:w="180" w:type="dxa"/>
            <w:vAlign w:val="bottom"/>
            <w:tcBorders>
              <w:bottom w:val="single" w:sz="8" w:color="CCEEFF"/>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(3,987)</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2760" w:type="dxa"/>
            <w:vAlign w:val="bottom"/>
            <w:tcBorders>
              <w:right w:val="single" w:sz="8" w:color="CCEEFF"/>
            </w:tcBorders>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1020" w:type="dxa"/>
            <w:vAlign w:val="bottom"/>
            <w:tcBorders>
              <w:right w:val="single" w:sz="8" w:color="CCEEFF"/>
            </w:tcBorders>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tcBorders>
              <w:left w:val="single" w:sz="8" w:color="CCEEFF"/>
            </w:tcBorders>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760" w:type="dxa"/>
            <w:vAlign w:val="bottom"/>
          </w:tcPr>
          <w:p>
            <w:pPr>
              <w:spacing w:after="0" w:line="136" w:lineRule="exact"/>
              <w:rPr>
                <w:sz w:val="20"/>
                <w:szCs w:val="20"/>
                <w:color w:val="auto"/>
              </w:rPr>
            </w:pPr>
            <w:r>
              <w:rPr>
                <w:rFonts w:ascii="Arial" w:cs="Arial" w:eastAsia="Arial" w:hAnsi="Arial"/>
                <w:sz w:val="12"/>
                <w:szCs w:val="12"/>
                <w:color w:val="auto"/>
                <w:w w:val="95"/>
              </w:rPr>
              <w:t>Income tax benefit (expense) related to items of other</w:t>
            </w: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2"/>
                <w:szCs w:val="12"/>
                <w:color w:val="auto"/>
              </w:rPr>
              <w:t>comprehensive income</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5</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3"/>
          </w:tcPr>
          <w:p>
            <w:pPr>
              <w:ind w:left="920"/>
              <w:spacing w:after="0"/>
              <w:rPr>
                <w:sz w:val="20"/>
                <w:szCs w:val="20"/>
                <w:color w:val="auto"/>
              </w:rPr>
            </w:pPr>
            <w:r>
              <w:rPr>
                <w:rFonts w:ascii="Arial" w:cs="Arial" w:eastAsia="Arial" w:hAnsi="Arial"/>
                <w:sz w:val="12"/>
                <w:szCs w:val="12"/>
                <w:color w:val="auto"/>
                <w:w w:val="92"/>
              </w:rPr>
              <w:t>(106)</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2"/>
                <w:szCs w:val="12"/>
                <w:color w:val="auto"/>
              </w:rPr>
              <w:t>(101)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2"/>
                <w:szCs w:val="12"/>
                <w:color w:val="auto"/>
              </w:rPr>
              <w:t>815</w:t>
            </w:r>
          </w:p>
        </w:tc>
        <w:tc>
          <w:tcPr>
            <w:tcW w:w="3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837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020" w:type="dxa"/>
            <w:vAlign w:val="bottom"/>
            <w:tcBorders>
              <w:top w:val="single" w:sz="8" w:color="CCEEFF"/>
              <w:right w:val="single" w:sz="8" w:color="CCEEFF"/>
            </w:tcBorders>
            <w:gridSpan w:val="2"/>
            <w:shd w:val="clear" w:color="auto" w:fill="CCEEFF"/>
          </w:tcPr>
          <w:p>
            <w:pPr>
              <w:ind w:left="180"/>
              <w:spacing w:after="0" w:line="133" w:lineRule="exact"/>
              <w:rPr>
                <w:sz w:val="20"/>
                <w:szCs w:val="20"/>
                <w:color w:val="auto"/>
              </w:rPr>
            </w:pPr>
            <w:r>
              <w:rPr>
                <w:rFonts w:ascii="Arial" w:cs="Arial" w:eastAsia="Arial" w:hAnsi="Arial"/>
                <w:sz w:val="12"/>
                <w:szCs w:val="12"/>
                <w:color w:val="auto"/>
                <w:w w:val="93"/>
              </w:rPr>
              <w:t>Other comprehensive income (loss), net of income taxes</w:t>
            </w:r>
          </w:p>
        </w:tc>
        <w:tc>
          <w:tcPr>
            <w:tcW w:w="1020" w:type="dxa"/>
            <w:vAlign w:val="bottom"/>
            <w:tcBorders>
              <w:top w:val="single" w:sz="8" w:color="auto"/>
              <w:bottom w:val="single" w:sz="8" w:color="auto"/>
              <w:right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71"/>
              </w:rPr>
              <w:t>(19)</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1140" w:type="dxa"/>
            <w:vAlign w:val="bottom"/>
            <w:tcBorders>
              <w:top w:val="single" w:sz="8" w:color="auto"/>
              <w:bottom w:val="single" w:sz="8" w:color="auto"/>
            </w:tcBorders>
            <w:gridSpan w:val="2"/>
            <w:shd w:val="clear" w:color="auto" w:fill="CCEEFF"/>
          </w:tcPr>
          <w:p>
            <w:pPr>
              <w:ind w:left="960"/>
              <w:spacing w:after="0" w:line="133" w:lineRule="exact"/>
              <w:rPr>
                <w:sz w:val="20"/>
                <w:szCs w:val="20"/>
                <w:color w:val="auto"/>
              </w:rPr>
            </w:pPr>
            <w:r>
              <w:rPr>
                <w:rFonts w:ascii="Arial" w:cs="Arial" w:eastAsia="Arial" w:hAnsi="Arial"/>
                <w:sz w:val="12"/>
                <w:szCs w:val="12"/>
                <w:color w:val="auto"/>
                <w:w w:val="79"/>
              </w:rPr>
              <w:t>401</w:t>
            </w:r>
          </w:p>
        </w:tc>
        <w:tc>
          <w:tcPr>
            <w:tcW w:w="80" w:type="dxa"/>
            <w:vAlign w:val="bottom"/>
            <w:tcBorders>
              <w:top w:val="single" w:sz="8" w:color="CCEEFF"/>
              <w:right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1100" w:type="dxa"/>
            <w:vAlign w:val="bottom"/>
            <w:tcBorders>
              <w:top w:val="single" w:sz="8" w:color="auto"/>
              <w:bottom w:val="single" w:sz="8" w:color="auto"/>
              <w:right w:val="single" w:sz="8" w:color="CCEEFF"/>
            </w:tcBorders>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382</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1080" w:type="dxa"/>
            <w:vAlign w:val="bottom"/>
            <w:tcBorders>
              <w:top w:val="single" w:sz="8" w:color="auto"/>
              <w:bottom w:val="single" w:sz="8" w:color="auto"/>
              <w:right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(84)</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1100" w:type="dxa"/>
            <w:vAlign w:val="bottom"/>
            <w:tcBorders>
              <w:top w:val="single" w:sz="8" w:color="auto"/>
              <w:bottom w:val="single" w:sz="8" w:color="auto"/>
              <w:right w:val="single" w:sz="8" w:color="CCEEFF"/>
            </w:tcBorders>
            <w:shd w:val="clear" w:color="auto" w:fill="CCEEFF"/>
          </w:tcPr>
          <w:p>
            <w:pPr>
              <w:ind w:left="800"/>
              <w:spacing w:after="0"/>
              <w:rPr>
                <w:sz w:val="20"/>
                <w:szCs w:val="20"/>
                <w:color w:val="auto"/>
              </w:rPr>
            </w:pPr>
            <w:r>
              <w:rPr>
                <w:rFonts w:ascii="Arial" w:cs="Arial" w:eastAsia="Arial" w:hAnsi="Arial"/>
                <w:sz w:val="11"/>
                <w:szCs w:val="11"/>
                <w:color w:val="auto"/>
                <w:w w:val="74"/>
              </w:rPr>
              <w:t>(3,066)</w:t>
            </w:r>
          </w:p>
        </w:tc>
        <w:tc>
          <w:tcPr>
            <w:tcW w:w="1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left w:val="single" w:sz="8" w:color="CCEEFF"/>
              <w:bottom w:val="single" w:sz="8" w:color="auto"/>
            </w:tcBorders>
            <w:shd w:val="clear" w:color="auto" w:fill="CCEEFF"/>
          </w:tcPr>
          <w:p>
            <w:pPr>
              <w:spacing w:after="0"/>
              <w:rPr>
                <w:sz w:val="11"/>
                <w:szCs w:val="11"/>
                <w:color w:val="auto"/>
              </w:rPr>
            </w:pPr>
          </w:p>
        </w:tc>
        <w:tc>
          <w:tcPr>
            <w:tcW w:w="9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(3,150)</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2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Comprehensive income (loss)</w:t>
            </w:r>
          </w:p>
        </w:tc>
        <w:tc>
          <w:tcPr>
            <w:tcW w:w="260" w:type="dxa"/>
            <w:vAlign w:val="bottom"/>
            <w:tcBorders>
              <w:right w:val="single" w:sz="8" w:color="CCEEFF"/>
            </w:tcBorders>
            <w:shd w:val="clear" w:color="auto" w:fill="CCEEFF"/>
          </w:tcPr>
          <w:p>
            <w:pPr>
              <w:spacing w:after="0"/>
              <w:rPr>
                <w:sz w:val="14"/>
                <w:szCs w:val="14"/>
                <w:color w:val="auto"/>
              </w:rPr>
            </w:pPr>
          </w:p>
        </w:tc>
        <w:tc>
          <w:tcPr>
            <w:tcW w:w="1020" w:type="dxa"/>
            <w:vAlign w:val="bottom"/>
            <w:tcBorders>
              <w:right w:val="single" w:sz="8" w:color="CCEEFF"/>
            </w:tcBorders>
            <w:shd w:val="clear" w:color="auto" w:fill="CCEEFF"/>
          </w:tcPr>
          <w:p>
            <w:pPr>
              <w:jc w:val="right"/>
              <w:ind w:right="901"/>
              <w:spacing w:after="0"/>
              <w:rPr>
                <w:sz w:val="20"/>
                <w:szCs w:val="20"/>
                <w:color w:val="auto"/>
              </w:rPr>
            </w:pPr>
            <w:r>
              <w:rPr>
                <w:rFonts w:ascii="Arial" w:cs="Arial" w:eastAsia="Arial" w:hAnsi="Arial"/>
                <w:sz w:val="10"/>
                <w:szCs w:val="10"/>
                <w:color w:val="auto"/>
                <w:w w:val="71"/>
              </w:rPr>
              <w:t>$</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4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20" w:type="dxa"/>
            <w:vAlign w:val="bottom"/>
            <w:tcBorders>
              <w:right w:val="single" w:sz="8" w:color="CCEEFF"/>
            </w:tcBorders>
            <w:gridSpan w:val="3"/>
            <w:shd w:val="clear" w:color="auto" w:fill="CCEEFF"/>
          </w:tcPr>
          <w:p>
            <w:pPr>
              <w:ind w:left="960"/>
              <w:spacing w:after="0"/>
              <w:rPr>
                <w:sz w:val="20"/>
                <w:szCs w:val="20"/>
                <w:color w:val="auto"/>
              </w:rPr>
            </w:pPr>
            <w:r>
              <w:rPr>
                <w:rFonts w:ascii="Arial" w:cs="Arial" w:eastAsia="Arial" w:hAnsi="Arial"/>
                <w:sz w:val="12"/>
                <w:szCs w:val="12"/>
                <w:color w:val="auto"/>
              </w:rPr>
              <w:t>627</w:t>
            </w:r>
          </w:p>
        </w:tc>
        <w:tc>
          <w:tcPr>
            <w:tcW w:w="360" w:type="dxa"/>
            <w:vAlign w:val="bottom"/>
            <w:gridSpan w:val="2"/>
            <w:shd w:val="clear" w:color="auto" w:fill="CCEEFF"/>
          </w:tcPr>
          <w:p>
            <w:pPr>
              <w:jc w:val="right"/>
              <w:ind w:right="110"/>
              <w:spacing w:after="0"/>
              <w:rPr>
                <w:sz w:val="20"/>
                <w:szCs w:val="20"/>
                <w:color w:val="auto"/>
              </w:rPr>
            </w:pPr>
            <w:r>
              <w:rPr>
                <w:rFonts w:ascii="Arial" w:cs="Arial" w:eastAsia="Arial" w:hAnsi="Arial"/>
                <w:sz w:val="12"/>
                <w:szCs w:val="12"/>
                <w:color w:val="auto"/>
              </w:rPr>
              <w:t>$</w:t>
            </w:r>
          </w:p>
        </w:tc>
        <w:tc>
          <w:tcPr>
            <w:tcW w:w="11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638</w:t>
            </w: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2"/>
                <w:szCs w:val="12"/>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(24)</w:t>
            </w: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2"/>
                <w:szCs w:val="12"/>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3,282</w:t>
            </w:r>
          </w:p>
        </w:tc>
        <w:tc>
          <w:tcPr>
            <w:tcW w:w="300" w:type="dxa"/>
            <w:vAlign w:val="bottom"/>
            <w:tcBorders>
              <w:left w:val="single" w:sz="8" w:color="CCEEFF"/>
            </w:tcBorders>
            <w:shd w:val="clear" w:color="auto" w:fill="CCEEFF"/>
          </w:tcPr>
          <w:p>
            <w:pPr>
              <w:jc w:val="right"/>
              <w:ind w:right="145"/>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3,258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60" w:type="dxa"/>
            <w:vAlign w:val="bottom"/>
            <w:tcBorders>
              <w:right w:val="single" w:sz="8" w:color="CCEEFF"/>
            </w:tcBorders>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020" w:type="dxa"/>
            <w:vAlign w:val="bottom"/>
            <w:tcBorders>
              <w:right w:val="single" w:sz="8" w:color="auto"/>
            </w:tcBorders>
            <w:shd w:val="clear" w:color="auto" w:fill="000000"/>
          </w:tcPr>
          <w:p>
            <w:pPr>
              <w:spacing w:after="0"/>
              <w:rPr>
                <w:sz w:val="2"/>
                <w:szCs w:val="2"/>
                <w:color w:val="auto"/>
              </w:rPr>
            </w:pPr>
          </w:p>
        </w:tc>
        <w:tc>
          <w:tcPr>
            <w:tcW w:w="180" w:type="dxa"/>
            <w:vAlign w:val="bottom"/>
            <w:tcBorders>
              <w:right w:val="single" w:sz="8" w:color="CCEEFF"/>
            </w:tcBorders>
            <w:shd w:val="clear" w:color="auto" w:fill="000000"/>
          </w:tcPr>
          <w:p>
            <w:pPr>
              <w:spacing w:after="0"/>
              <w:rPr>
                <w:sz w:val="2"/>
                <w:szCs w:val="2"/>
                <w:color w:val="auto"/>
              </w:rPr>
            </w:pPr>
          </w:p>
        </w:tc>
        <w:tc>
          <w:tcPr>
            <w:tcW w:w="200" w:type="dxa"/>
            <w:vAlign w:val="bottom"/>
            <w:gridSpan w:val="2"/>
            <w:shd w:val="clear" w:color="auto" w:fill="CCEEFF"/>
          </w:tcPr>
          <w:p>
            <w:pPr>
              <w:spacing w:after="0"/>
              <w:rPr>
                <w:sz w:val="2"/>
                <w:szCs w:val="2"/>
                <w:color w:val="auto"/>
              </w:rPr>
            </w:pPr>
          </w:p>
        </w:tc>
        <w:tc>
          <w:tcPr>
            <w:tcW w:w="1060" w:type="dxa"/>
            <w:vAlign w:val="bottom"/>
            <w:gridSpan w:val="2"/>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tcBorders>
              <w:right w:val="single" w:sz="8" w:color="auto"/>
            </w:tcBorders>
            <w:shd w:val="clear" w:color="auto" w:fill="000000"/>
          </w:tcPr>
          <w:p>
            <w:pPr>
              <w:spacing w:after="0"/>
              <w:rPr>
                <w:sz w:val="2"/>
                <w:szCs w:val="2"/>
                <w:color w:val="auto"/>
              </w:rPr>
            </w:pPr>
          </w:p>
        </w:tc>
        <w:tc>
          <w:tcPr>
            <w:tcW w:w="220" w:type="dxa"/>
            <w:vAlign w:val="bottom"/>
            <w:gridSpan w:val="2"/>
            <w:shd w:val="clear" w:color="auto" w:fill="CCEEFF"/>
          </w:tcPr>
          <w:p>
            <w:pPr>
              <w:spacing w:after="0"/>
              <w:rPr>
                <w:sz w:val="2"/>
                <w:szCs w:val="2"/>
                <w:color w:val="auto"/>
              </w:rPr>
            </w:pPr>
          </w:p>
        </w:tc>
        <w:tc>
          <w:tcPr>
            <w:tcW w:w="1220" w:type="dxa"/>
            <w:vAlign w:val="bottom"/>
            <w:tcBorders>
              <w:right w:val="single" w:sz="8" w:color="auto"/>
            </w:tcBorders>
            <w:gridSpan w:val="2"/>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tcBorders>
              <w:left w:val="single" w:sz="8" w:color="CCEEFF"/>
            </w:tcBorders>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9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10"/>
          </w:tcPr>
          <w:p>
            <w:pPr>
              <w:jc w:val="center"/>
              <w:ind w:left="561"/>
              <w:spacing w:after="0"/>
              <w:rPr>
                <w:sz w:val="20"/>
                <w:szCs w:val="20"/>
                <w:color w:val="auto"/>
              </w:rPr>
            </w:pPr>
            <w:r>
              <w:rPr>
                <w:rFonts w:ascii="Arial" w:cs="Arial" w:eastAsia="Arial" w:hAnsi="Arial"/>
                <w:sz w:val="12"/>
                <w:szCs w:val="12"/>
                <w:b w:val="1"/>
                <w:bCs w:val="1"/>
                <w:color w:val="auto"/>
                <w:w w:val="90"/>
              </w:rPr>
              <w:t>Three Months Ended June 30, 2017</w:t>
            </w:r>
          </w:p>
        </w:tc>
        <w:tc>
          <w:tcPr>
            <w:tcW w:w="8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5"/>
          </w:tcPr>
          <w:p>
            <w:pPr>
              <w:jc w:val="center"/>
              <w:spacing w:after="0"/>
              <w:rPr>
                <w:sz w:val="20"/>
                <w:szCs w:val="20"/>
                <w:color w:val="auto"/>
              </w:rPr>
            </w:pPr>
            <w:r>
              <w:rPr>
                <w:rFonts w:ascii="Arial" w:cs="Arial" w:eastAsia="Arial" w:hAnsi="Arial"/>
                <w:sz w:val="12"/>
                <w:szCs w:val="12"/>
                <w:b w:val="1"/>
                <w:bCs w:val="1"/>
                <w:color w:val="auto"/>
                <w:w w:val="87"/>
              </w:rPr>
              <w:t>Six Months Ended June 30, 2017</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jc w:val="center"/>
              <w:ind w:right="241"/>
              <w:spacing w:after="0" w:line="121" w:lineRule="exact"/>
              <w:rPr>
                <w:sz w:val="20"/>
                <w:szCs w:val="20"/>
                <w:color w:val="auto"/>
              </w:rPr>
            </w:pPr>
            <w:r>
              <w:rPr>
                <w:rFonts w:ascii="Arial" w:cs="Arial" w:eastAsia="Arial" w:hAnsi="Arial"/>
                <w:sz w:val="12"/>
                <w:szCs w:val="12"/>
                <w:b w:val="1"/>
                <w:bCs w:val="1"/>
                <w:color w:val="auto"/>
                <w:w w:val="94"/>
              </w:rPr>
              <w:t>Attributable</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jc w:val="center"/>
              <w:ind w:right="400"/>
              <w:spacing w:after="0" w:line="121" w:lineRule="exact"/>
              <w:rPr>
                <w:sz w:val="20"/>
                <w:szCs w:val="20"/>
                <w:color w:val="auto"/>
              </w:rPr>
            </w:pPr>
            <w:r>
              <w:rPr>
                <w:rFonts w:ascii="Arial" w:cs="Arial" w:eastAsia="Arial" w:hAnsi="Arial"/>
                <w:sz w:val="12"/>
                <w:szCs w:val="12"/>
                <w:b w:val="1"/>
                <w:bCs w:val="1"/>
                <w:color w:val="auto"/>
                <w:w w:val="94"/>
              </w:rPr>
              <w:t>Attributable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jc w:val="center"/>
              <w:ind w:right="241"/>
              <w:spacing w:after="0"/>
              <w:rPr>
                <w:sz w:val="20"/>
                <w:szCs w:val="20"/>
                <w:color w:val="auto"/>
              </w:rPr>
            </w:pPr>
            <w:r>
              <w:rPr>
                <w:rFonts w:ascii="Arial" w:cs="Arial" w:eastAsia="Arial" w:hAnsi="Arial"/>
                <w:sz w:val="12"/>
                <w:szCs w:val="12"/>
                <w:b w:val="1"/>
                <w:bCs w:val="1"/>
                <w:color w:val="auto"/>
                <w:w w:val="95"/>
              </w:rPr>
              <w:t>to Non-</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3"/>
          </w:tcPr>
          <w:p>
            <w:pPr>
              <w:jc w:val="center"/>
              <w:ind w:right="500"/>
              <w:spacing w:after="0"/>
              <w:rPr>
                <w:sz w:val="20"/>
                <w:szCs w:val="20"/>
                <w:color w:val="auto"/>
              </w:rPr>
            </w:pPr>
            <w:r>
              <w:rPr>
                <w:rFonts w:ascii="Arial" w:cs="Arial" w:eastAsia="Arial" w:hAnsi="Arial"/>
                <w:sz w:val="12"/>
                <w:szCs w:val="12"/>
                <w:b w:val="1"/>
                <w:bCs w:val="1"/>
                <w:color w:val="auto"/>
                <w:w w:val="94"/>
              </w:rPr>
              <w:t>Attributable</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0"/>
              </w:rPr>
              <w:t>to Non-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4"/>
              </w:rPr>
              <w:t>Attributable</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jc w:val="center"/>
              <w:ind w:right="261"/>
              <w:spacing w:after="0"/>
              <w:rPr>
                <w:sz w:val="20"/>
                <w:szCs w:val="20"/>
                <w:color w:val="auto"/>
              </w:rPr>
            </w:pPr>
            <w:r>
              <w:rPr>
                <w:rFonts w:ascii="Arial" w:cs="Arial" w:eastAsia="Arial" w:hAnsi="Arial"/>
                <w:sz w:val="12"/>
                <w:szCs w:val="12"/>
                <w:b w:val="1"/>
                <w:bCs w:val="1"/>
                <w:color w:val="auto"/>
                <w:w w:val="90"/>
              </w:rPr>
              <w:t>Controlling</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3"/>
          </w:tcPr>
          <w:p>
            <w:pPr>
              <w:ind w:left="220"/>
              <w:spacing w:after="0"/>
              <w:rPr>
                <w:sz w:val="20"/>
                <w:szCs w:val="20"/>
                <w:color w:val="auto"/>
              </w:rPr>
            </w:pPr>
            <w:r>
              <w:rPr>
                <w:rFonts w:ascii="Arial" w:cs="Arial" w:eastAsia="Arial" w:hAnsi="Arial"/>
                <w:sz w:val="12"/>
                <w:szCs w:val="12"/>
                <w:b w:val="1"/>
                <w:bCs w:val="1"/>
                <w:color w:val="auto"/>
              </w:rPr>
              <w:t>to NI</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0"/>
              </w:rPr>
              <w:t>Controlling</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ind w:left="280"/>
              <w:spacing w:after="0"/>
              <w:rPr>
                <w:sz w:val="20"/>
                <w:szCs w:val="20"/>
                <w:color w:val="auto"/>
              </w:rPr>
            </w:pPr>
            <w:r>
              <w:rPr>
                <w:rFonts w:ascii="Arial" w:cs="Arial" w:eastAsia="Arial" w:hAnsi="Arial"/>
                <w:sz w:val="12"/>
                <w:szCs w:val="12"/>
                <w:b w:val="1"/>
                <w:bCs w:val="1"/>
                <w:color w:val="auto"/>
              </w:rPr>
              <w:t>to NI</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jc w:val="center"/>
              <w:ind w:right="241"/>
              <w:spacing w:after="0"/>
              <w:rPr>
                <w:sz w:val="20"/>
                <w:szCs w:val="20"/>
                <w:color w:val="auto"/>
              </w:rPr>
            </w:pPr>
            <w:r>
              <w:rPr>
                <w:rFonts w:ascii="Arial" w:cs="Arial" w:eastAsia="Arial" w:hAnsi="Arial"/>
                <w:sz w:val="12"/>
                <w:szCs w:val="12"/>
                <w:b w:val="1"/>
                <w:bCs w:val="1"/>
                <w:color w:val="auto"/>
                <w:w w:val="92"/>
              </w:rPr>
              <w:t>Interest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gridSpan w:val="3"/>
          </w:tcPr>
          <w:p>
            <w:pPr>
              <w:jc w:val="center"/>
              <w:ind w:right="480"/>
              <w:spacing w:after="0"/>
              <w:rPr>
                <w:sz w:val="20"/>
                <w:szCs w:val="20"/>
                <w:color w:val="auto"/>
              </w:rPr>
            </w:pPr>
            <w:r>
              <w:rPr>
                <w:rFonts w:ascii="Arial" w:cs="Arial" w:eastAsia="Arial" w:hAnsi="Arial"/>
                <w:sz w:val="12"/>
                <w:szCs w:val="12"/>
                <w:b w:val="1"/>
                <w:bCs w:val="1"/>
                <w:color w:val="auto"/>
                <w:w w:val="88"/>
              </w:rPr>
              <w:t>Holdings, Inc.</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tcPr>
          <w:p>
            <w:pPr>
              <w:jc w:val="right"/>
              <w:ind w:right="720"/>
              <w:spacing w:after="0"/>
              <w:rPr>
                <w:sz w:val="20"/>
                <w:szCs w:val="20"/>
                <w:color w:val="auto"/>
              </w:rPr>
            </w:pPr>
            <w:r>
              <w:rPr>
                <w:rFonts w:ascii="Arial" w:cs="Arial" w:eastAsia="Arial" w:hAnsi="Arial"/>
                <w:sz w:val="12"/>
                <w:szCs w:val="12"/>
                <w:b w:val="1"/>
                <w:bCs w:val="1"/>
                <w:color w:val="auto"/>
              </w:rPr>
              <w:t>Total</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2"/>
              </w:rPr>
              <w:t>Interest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1"/>
              </w:rPr>
              <w:t>Holdings, Inc.</w:t>
            </w:r>
          </w:p>
        </w:tc>
        <w:tc>
          <w:tcPr>
            <w:tcW w:w="300" w:type="dxa"/>
            <w:vAlign w:val="bottom"/>
          </w:tcPr>
          <w:p>
            <w:pPr>
              <w:spacing w:after="0"/>
              <w:rPr>
                <w:sz w:val="13"/>
                <w:szCs w:val="13"/>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60" w:type="dxa"/>
            <w:vAlign w:val="bottom"/>
            <w:tcBorders>
              <w:top w:val="single" w:sz="8" w:color="CCEEFF"/>
              <w:right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Net income (loss)</w:t>
            </w:r>
          </w:p>
        </w:tc>
        <w:tc>
          <w:tcPr>
            <w:tcW w:w="260" w:type="dxa"/>
            <w:vAlign w:val="bottom"/>
            <w:tcBorders>
              <w:top w:val="single" w:sz="8" w:color="auto"/>
              <w:bottom w:val="single" w:sz="8" w:color="auto"/>
              <w:right w:val="single" w:sz="8" w:color="CCEEFF"/>
            </w:tcBorders>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right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(12)</w:t>
            </w:r>
          </w:p>
        </w:tc>
        <w:tc>
          <w:tcPr>
            <w:tcW w:w="180" w:type="dxa"/>
            <w:vAlign w:val="bottom"/>
            <w:tcBorders>
              <w:top w:val="single" w:sz="8" w:color="CCEEFF"/>
              <w:right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10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129</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right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117</w:t>
            </w:r>
          </w:p>
        </w:tc>
        <w:tc>
          <w:tcPr>
            <w:tcW w:w="220" w:type="dxa"/>
            <w:vAlign w:val="bottom"/>
            <w:tcBorders>
              <w:top w:val="single" w:sz="8" w:color="CCEEFF"/>
              <w:right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1080" w:type="dxa"/>
            <w:vAlign w:val="bottom"/>
            <w:tcBorders>
              <w:top w:val="single" w:sz="8" w:color="auto"/>
              <w:bottom w:val="single" w:sz="8" w:color="auto"/>
              <w:right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48</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1100" w:type="dxa"/>
            <w:vAlign w:val="bottom"/>
            <w:tcBorders>
              <w:top w:val="single" w:sz="8" w:color="auto"/>
              <w:bottom w:val="single" w:sz="8" w:color="auto"/>
              <w:right w:val="single" w:sz="8" w:color="CCEEFF"/>
            </w:tcBorders>
            <w:shd w:val="clear" w:color="auto" w:fill="CCEEFF"/>
          </w:tcPr>
          <w:p>
            <w:pPr>
              <w:ind w:left="780"/>
              <w:spacing w:after="0" w:line="133" w:lineRule="exact"/>
              <w:rPr>
                <w:sz w:val="20"/>
                <w:szCs w:val="20"/>
                <w:color w:val="auto"/>
              </w:rPr>
            </w:pPr>
            <w:r>
              <w:rPr>
                <w:rFonts w:ascii="Arial" w:cs="Arial" w:eastAsia="Arial" w:hAnsi="Arial"/>
                <w:sz w:val="12"/>
                <w:szCs w:val="12"/>
                <w:color w:val="auto"/>
                <w:w w:val="93"/>
              </w:rPr>
              <w:t>4,818</w:t>
            </w:r>
          </w:p>
        </w:tc>
        <w:tc>
          <w:tcPr>
            <w:tcW w:w="1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left w:val="single" w:sz="8" w:color="CCEEFF"/>
              <w:bottom w:val="single" w:sz="8" w:color="auto"/>
            </w:tcBorders>
            <w:shd w:val="clear" w:color="auto" w:fill="CCEEFF"/>
          </w:tcPr>
          <w:p>
            <w:pPr>
              <w:jc w:val="right"/>
              <w:ind w:right="185"/>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4,866</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2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w w:val="98"/>
              </w:rPr>
              <w:t>Other comprehensive income, before income taxes:</w:t>
            </w:r>
          </w:p>
        </w:tc>
        <w:tc>
          <w:tcPr>
            <w:tcW w:w="260" w:type="dxa"/>
            <w:vAlign w:val="bottom"/>
            <w:tcBorders>
              <w:right w:val="single" w:sz="8" w:color="CCEEFF"/>
            </w:tcBorders>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tcBorders>
              <w:left w:val="single" w:sz="8" w:color="CCEEFF"/>
            </w:tcBorders>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60" w:type="dxa"/>
            <w:vAlign w:val="bottom"/>
          </w:tcPr>
          <w:p>
            <w:pPr>
              <w:ind w:left="80"/>
              <w:spacing w:after="0"/>
              <w:rPr>
                <w:sz w:val="20"/>
                <w:szCs w:val="20"/>
                <w:color w:val="auto"/>
              </w:rPr>
            </w:pPr>
            <w:r>
              <w:rPr>
                <w:rFonts w:ascii="Arial" w:cs="Arial" w:eastAsia="Arial" w:hAnsi="Arial"/>
                <w:sz w:val="12"/>
                <w:szCs w:val="12"/>
                <w:color w:val="auto"/>
              </w:rPr>
              <w:t>Holding gains on investments</w:t>
            </w:r>
          </w:p>
        </w:tc>
        <w:tc>
          <w:tcPr>
            <w:tcW w:w="2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2"/>
                <w:szCs w:val="12"/>
                <w:color w:val="auto"/>
              </w:rPr>
              <w:t>2,955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2,995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ind w:left="780"/>
              <w:spacing w:after="0"/>
              <w:rPr>
                <w:sz w:val="20"/>
                <w:szCs w:val="20"/>
                <w:color w:val="auto"/>
              </w:rPr>
            </w:pPr>
            <w:r>
              <w:rPr>
                <w:rFonts w:ascii="Arial" w:cs="Arial" w:eastAsia="Arial" w:hAnsi="Arial"/>
                <w:sz w:val="12"/>
                <w:szCs w:val="12"/>
                <w:color w:val="auto"/>
                <w:w w:val="93"/>
              </w:rPr>
              <w:t>3,697</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3,711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60" w:type="dxa"/>
            <w:vAlign w:val="bottom"/>
            <w:tcBorders>
              <w:right w:val="single" w:sz="8" w:color="CCEEFF"/>
            </w:tcBorders>
            <w:shd w:val="clear" w:color="auto" w:fill="CCEEFF"/>
          </w:tcPr>
          <w:p>
            <w:pPr>
              <w:ind w:left="80"/>
              <w:spacing w:after="0" w:line="136" w:lineRule="exact"/>
              <w:rPr>
                <w:sz w:val="20"/>
                <w:szCs w:val="20"/>
                <w:color w:val="auto"/>
              </w:rPr>
            </w:pPr>
            <w:r>
              <w:rPr>
                <w:rFonts w:ascii="Arial" w:cs="Arial" w:eastAsia="Arial" w:hAnsi="Arial"/>
                <w:sz w:val="12"/>
                <w:szCs w:val="12"/>
                <w:color w:val="auto"/>
                <w:w w:val="99"/>
              </w:rPr>
              <w:t>Reclassification adjustment for net realized capital</w:t>
            </w:r>
          </w:p>
        </w:tc>
        <w:tc>
          <w:tcPr>
            <w:tcW w:w="260" w:type="dxa"/>
            <w:vAlign w:val="bottom"/>
            <w:tcBorders>
              <w:right w:val="single" w:sz="8" w:color="CCEEFF"/>
            </w:tcBorders>
            <w:shd w:val="clear" w:color="auto" w:fill="CCEEFF"/>
          </w:tcPr>
          <w:p>
            <w:pPr>
              <w:spacing w:after="0"/>
              <w:rPr>
                <w:sz w:val="11"/>
                <w:szCs w:val="11"/>
                <w:color w:val="auto"/>
              </w:rPr>
            </w:pPr>
          </w:p>
        </w:tc>
        <w:tc>
          <w:tcPr>
            <w:tcW w:w="1020" w:type="dxa"/>
            <w:vAlign w:val="bottom"/>
            <w:tcBorders>
              <w:right w:val="single" w:sz="8" w:color="CCEEFF"/>
            </w:tcBorders>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tcBorders>
              <w:left w:val="single" w:sz="8" w:color="CCEEFF"/>
            </w:tcBorders>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loss (gain) included in net income</w:t>
            </w:r>
          </w:p>
        </w:tc>
        <w:tc>
          <w:tcPr>
            <w:tcW w:w="260" w:type="dxa"/>
            <w:vAlign w:val="bottom"/>
            <w:tcBorders>
              <w:right w:val="single" w:sz="8" w:color="CCEEFF"/>
            </w:tcBorders>
            <w:shd w:val="clear" w:color="auto" w:fill="CCEEFF"/>
          </w:tcPr>
          <w:p>
            <w:pPr>
              <w:spacing w:after="0"/>
              <w:rPr>
                <w:sz w:val="14"/>
                <w:szCs w:val="14"/>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1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(366)</w:t>
            </w:r>
          </w:p>
        </w:tc>
        <w:tc>
          <w:tcPr>
            <w:tcW w:w="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(339)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(982)</w:t>
            </w:r>
          </w:p>
        </w:tc>
        <w:tc>
          <w:tcPr>
            <w:tcW w:w="180" w:type="dxa"/>
            <w:vAlign w:val="bottom"/>
            <w:shd w:val="clear" w:color="auto" w:fill="CCEEFF"/>
          </w:tcPr>
          <w:p>
            <w:pPr>
              <w:spacing w:after="0"/>
              <w:rPr>
                <w:sz w:val="14"/>
                <w:szCs w:val="14"/>
                <w:color w:val="auto"/>
              </w:rPr>
            </w:pPr>
          </w:p>
        </w:tc>
        <w:tc>
          <w:tcPr>
            <w:tcW w:w="300" w:type="dxa"/>
            <w:vAlign w:val="bottom"/>
            <w:tcBorders>
              <w:left w:val="single" w:sz="8" w:color="CCEEFF"/>
            </w:tcBorders>
            <w:shd w:val="clear" w:color="auto" w:fill="CCEEFF"/>
          </w:tcPr>
          <w:p>
            <w:pPr>
              <w:spacing w:after="0"/>
              <w:rPr>
                <w:sz w:val="14"/>
                <w:szCs w:val="14"/>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(955)</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60" w:type="dxa"/>
            <w:vAlign w:val="bottom"/>
            <w:tcBorders>
              <w:bottom w:val="single" w:sz="8" w:color="CCEEFF"/>
            </w:tcBorders>
          </w:tcPr>
          <w:p>
            <w:pPr>
              <w:ind w:left="180"/>
              <w:spacing w:after="0" w:line="133" w:lineRule="exact"/>
              <w:rPr>
                <w:sz w:val="20"/>
                <w:szCs w:val="20"/>
                <w:color w:val="auto"/>
              </w:rPr>
            </w:pPr>
            <w:r>
              <w:rPr>
                <w:rFonts w:ascii="Arial" w:cs="Arial" w:eastAsia="Arial" w:hAnsi="Arial"/>
                <w:sz w:val="12"/>
                <w:szCs w:val="12"/>
                <w:color w:val="auto"/>
                <w:w w:val="93"/>
              </w:rPr>
              <w:t>Other comprehensive income, before income taxes</w:t>
            </w:r>
          </w:p>
        </w:tc>
        <w:tc>
          <w:tcPr>
            <w:tcW w:w="26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67</w:t>
            </w:r>
          </w:p>
        </w:tc>
        <w:tc>
          <w:tcPr>
            <w:tcW w:w="18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2,589</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2,656</w:t>
            </w:r>
          </w:p>
        </w:tc>
        <w:tc>
          <w:tcPr>
            <w:tcW w:w="2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41</w:t>
            </w:r>
          </w:p>
        </w:tc>
        <w:tc>
          <w:tcPr>
            <w:tcW w:w="1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100" w:type="dxa"/>
            <w:vAlign w:val="bottom"/>
            <w:tcBorders>
              <w:top w:val="single" w:sz="8" w:color="auto"/>
              <w:bottom w:val="single" w:sz="8" w:color="auto"/>
            </w:tcBorders>
          </w:tcPr>
          <w:p>
            <w:pPr>
              <w:ind w:left="780"/>
              <w:spacing w:after="0" w:line="133" w:lineRule="exact"/>
              <w:rPr>
                <w:sz w:val="20"/>
                <w:szCs w:val="20"/>
                <w:color w:val="auto"/>
              </w:rPr>
            </w:pPr>
            <w:r>
              <w:rPr>
                <w:rFonts w:ascii="Arial" w:cs="Arial" w:eastAsia="Arial" w:hAnsi="Arial"/>
                <w:sz w:val="12"/>
                <w:szCs w:val="12"/>
                <w:color w:val="auto"/>
                <w:w w:val="93"/>
              </w:rPr>
              <w:t>2,715</w:t>
            </w:r>
          </w:p>
        </w:tc>
        <w:tc>
          <w:tcPr>
            <w:tcW w:w="180" w:type="dxa"/>
            <w:vAlign w:val="bottom"/>
            <w:tcBorders>
              <w:bottom w:val="single" w:sz="8" w:color="CCEEFF"/>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2,756</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2760" w:type="dxa"/>
            <w:vAlign w:val="bottom"/>
            <w:tcBorders>
              <w:right w:val="single" w:sz="8" w:color="CCEEFF"/>
            </w:tcBorders>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1020" w:type="dxa"/>
            <w:vAlign w:val="bottom"/>
            <w:tcBorders>
              <w:right w:val="single" w:sz="8" w:color="CCEEFF"/>
            </w:tcBorders>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tcBorders>
              <w:left w:val="single" w:sz="8" w:color="CCEEFF"/>
            </w:tcBorders>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760" w:type="dxa"/>
            <w:vAlign w:val="bottom"/>
          </w:tcPr>
          <w:p>
            <w:pPr>
              <w:spacing w:after="0" w:line="136" w:lineRule="exact"/>
              <w:rPr>
                <w:sz w:val="20"/>
                <w:szCs w:val="20"/>
                <w:color w:val="auto"/>
              </w:rPr>
            </w:pPr>
            <w:r>
              <w:rPr>
                <w:rFonts w:ascii="Arial" w:cs="Arial" w:eastAsia="Arial" w:hAnsi="Arial"/>
                <w:sz w:val="12"/>
                <w:szCs w:val="12"/>
                <w:color w:val="auto"/>
                <w:w w:val="95"/>
              </w:rPr>
              <w:t>Income tax (expense) benefit related to items of other</w:t>
            </w: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Arial" w:cs="Arial" w:eastAsia="Arial" w:hAnsi="Arial"/>
                <w:sz w:val="12"/>
                <w:szCs w:val="12"/>
                <w:color w:val="auto"/>
              </w:rPr>
              <w:t>comprehensive income</w:t>
            </w: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2"/>
                <w:szCs w:val="12"/>
                <w:color w:val="auto"/>
              </w:rPr>
              <w:t>(906)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(929)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(950)</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(964)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60" w:type="dxa"/>
            <w:vAlign w:val="bottom"/>
            <w:tcBorders>
              <w:top w:val="single" w:sz="8" w:color="CCEEFF"/>
              <w:right w:val="single" w:sz="8" w:color="CCEEFF"/>
            </w:tcBorders>
            <w:shd w:val="clear" w:color="auto" w:fill="CCEEFF"/>
          </w:tcPr>
          <w:p>
            <w:pPr>
              <w:ind w:left="180"/>
              <w:spacing w:after="0" w:line="133" w:lineRule="exact"/>
              <w:rPr>
                <w:sz w:val="20"/>
                <w:szCs w:val="20"/>
                <w:color w:val="auto"/>
              </w:rPr>
            </w:pPr>
            <w:r>
              <w:rPr>
                <w:rFonts w:ascii="Arial" w:cs="Arial" w:eastAsia="Arial" w:hAnsi="Arial"/>
                <w:sz w:val="12"/>
                <w:szCs w:val="12"/>
                <w:color w:val="auto"/>
                <w:w w:val="94"/>
              </w:rPr>
              <w:t>Other comprehensive income, net of income taxes</w:t>
            </w:r>
          </w:p>
        </w:tc>
        <w:tc>
          <w:tcPr>
            <w:tcW w:w="260" w:type="dxa"/>
            <w:vAlign w:val="bottom"/>
            <w:tcBorders>
              <w:top w:val="single" w:sz="8" w:color="auto"/>
              <w:bottom w:val="single" w:sz="8" w:color="auto"/>
              <w:right w:val="single" w:sz="8" w:color="CCEEFF"/>
            </w:tcBorders>
            <w:shd w:val="clear" w:color="auto" w:fill="CCEEFF"/>
          </w:tcPr>
          <w:p>
            <w:pPr>
              <w:spacing w:after="0"/>
              <w:rPr>
                <w:sz w:val="11"/>
                <w:szCs w:val="11"/>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44</w:t>
            </w:r>
          </w:p>
        </w:tc>
        <w:tc>
          <w:tcPr>
            <w:tcW w:w="180" w:type="dxa"/>
            <w:vAlign w:val="bottom"/>
            <w:tcBorders>
              <w:top w:val="single" w:sz="8" w:color="CCEEFF"/>
              <w:right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10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1,683</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right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1,727</w:t>
            </w:r>
          </w:p>
        </w:tc>
        <w:tc>
          <w:tcPr>
            <w:tcW w:w="220" w:type="dxa"/>
            <w:vAlign w:val="bottom"/>
            <w:tcBorders>
              <w:top w:val="single" w:sz="8" w:color="CCEEFF"/>
              <w:right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1080" w:type="dxa"/>
            <w:vAlign w:val="bottom"/>
            <w:tcBorders>
              <w:top w:val="single" w:sz="8" w:color="auto"/>
              <w:bottom w:val="single" w:sz="8" w:color="auto"/>
              <w:right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27</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1100" w:type="dxa"/>
            <w:vAlign w:val="bottom"/>
            <w:tcBorders>
              <w:top w:val="single" w:sz="8" w:color="auto"/>
              <w:bottom w:val="single" w:sz="8" w:color="auto"/>
              <w:right w:val="single" w:sz="8" w:color="CCEEFF"/>
            </w:tcBorders>
            <w:shd w:val="clear" w:color="auto" w:fill="CCEEFF"/>
          </w:tcPr>
          <w:p>
            <w:pPr>
              <w:ind w:left="780"/>
              <w:spacing w:after="0" w:line="133" w:lineRule="exact"/>
              <w:rPr>
                <w:sz w:val="20"/>
                <w:szCs w:val="20"/>
                <w:color w:val="auto"/>
              </w:rPr>
            </w:pPr>
            <w:r>
              <w:rPr>
                <w:rFonts w:ascii="Arial" w:cs="Arial" w:eastAsia="Arial" w:hAnsi="Arial"/>
                <w:sz w:val="12"/>
                <w:szCs w:val="12"/>
                <w:color w:val="auto"/>
                <w:w w:val="93"/>
              </w:rPr>
              <w:t>1,765</w:t>
            </w:r>
          </w:p>
        </w:tc>
        <w:tc>
          <w:tcPr>
            <w:tcW w:w="1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left w:val="single" w:sz="8" w:color="CCEEFF"/>
              <w:bottom w:val="single" w:sz="8" w:color="auto"/>
            </w:tcBorders>
            <w:shd w:val="clear" w:color="auto" w:fill="CCEEFF"/>
          </w:tcPr>
          <w:p>
            <w:pPr>
              <w:spacing w:after="0"/>
              <w:rPr>
                <w:sz w:val="11"/>
                <w:szCs w:val="11"/>
                <w:color w:val="auto"/>
              </w:rPr>
            </w:pPr>
          </w:p>
        </w:tc>
        <w:tc>
          <w:tcPr>
            <w:tcW w:w="9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1,792</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2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Comprehensive income</w:t>
            </w:r>
          </w:p>
        </w:tc>
        <w:tc>
          <w:tcPr>
            <w:tcW w:w="260" w:type="dxa"/>
            <w:vAlign w:val="bottom"/>
            <w:tcBorders>
              <w:right w:val="single" w:sz="8" w:color="CCEEFF"/>
            </w:tcBorders>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32</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1,812</w:t>
            </w:r>
          </w:p>
        </w:tc>
        <w:tc>
          <w:tcPr>
            <w:tcW w:w="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1,844</w:t>
            </w:r>
          </w:p>
        </w:tc>
        <w:tc>
          <w:tcPr>
            <w:tcW w:w="2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CEEFF"/>
          </w:tcPr>
          <w:p>
            <w:pPr>
              <w:spacing w:after="0"/>
              <w:rPr>
                <w:sz w:val="14"/>
                <w:szCs w:val="14"/>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75</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shd w:val="clear" w:color="auto" w:fill="CCEEFF"/>
          </w:tcPr>
          <w:p>
            <w:pPr>
              <w:spacing w:after="0"/>
              <w:rPr>
                <w:sz w:val="14"/>
                <w:szCs w:val="14"/>
                <w:color w:val="auto"/>
              </w:rPr>
            </w:pPr>
          </w:p>
        </w:tc>
        <w:tc>
          <w:tcPr>
            <w:tcW w:w="1100" w:type="dxa"/>
            <w:vAlign w:val="bottom"/>
            <w:tcBorders>
              <w:right w:val="single" w:sz="8" w:color="CCEEFF"/>
            </w:tcBorders>
            <w:shd w:val="clear" w:color="auto" w:fill="CCEEFF"/>
          </w:tcPr>
          <w:p>
            <w:pPr>
              <w:ind w:left="780"/>
              <w:spacing w:after="0"/>
              <w:rPr>
                <w:sz w:val="20"/>
                <w:szCs w:val="20"/>
                <w:color w:val="auto"/>
              </w:rPr>
            </w:pPr>
            <w:r>
              <w:rPr>
                <w:rFonts w:ascii="Arial" w:cs="Arial" w:eastAsia="Arial" w:hAnsi="Arial"/>
                <w:sz w:val="12"/>
                <w:szCs w:val="12"/>
                <w:color w:val="auto"/>
                <w:w w:val="93"/>
              </w:rPr>
              <w:t>6,583</w:t>
            </w:r>
          </w:p>
        </w:tc>
        <w:tc>
          <w:tcPr>
            <w:tcW w:w="180" w:type="dxa"/>
            <w:vAlign w:val="bottom"/>
            <w:shd w:val="clear" w:color="auto" w:fill="CCEEFF"/>
          </w:tcPr>
          <w:p>
            <w:pPr>
              <w:spacing w:after="0"/>
              <w:rPr>
                <w:sz w:val="14"/>
                <w:szCs w:val="14"/>
                <w:color w:val="auto"/>
              </w:rPr>
            </w:pPr>
          </w:p>
        </w:tc>
        <w:tc>
          <w:tcPr>
            <w:tcW w:w="300" w:type="dxa"/>
            <w:vAlign w:val="bottom"/>
            <w:tcBorders>
              <w:left w:val="single" w:sz="8" w:color="CCEEFF"/>
            </w:tcBorders>
            <w:shd w:val="clear" w:color="auto" w:fill="CCEEFF"/>
          </w:tcPr>
          <w:p>
            <w:pPr>
              <w:jc w:val="right"/>
              <w:ind w:right="185"/>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6,658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60" w:type="dxa"/>
            <w:vAlign w:val="bottom"/>
            <w:tcBorders>
              <w:right w:val="single" w:sz="8" w:color="CCEEFF"/>
            </w:tcBorders>
            <w:shd w:val="clear" w:color="auto" w:fill="CCEEFF"/>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tcBorders>
              <w:left w:val="single" w:sz="8" w:color="auto"/>
            </w:tcBorders>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2923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2340" cy="1714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NI Holdings, Inc.</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Unaudited Consolidated Statement of Changes in Equity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(dollar amounts in thousands)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Six Months Ended June 30, 2018</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0" w:type="dxa"/>
            <w:vAlign w:val="bottom"/>
          </w:tcPr>
          <w:p>
            <w:pPr>
              <w:spacing w:after="0"/>
              <w:rPr>
                <w:sz w:val="10"/>
                <w:szCs w:val="10"/>
                <w:color w:val="auto"/>
              </w:rPr>
            </w:pPr>
          </w:p>
        </w:tc>
        <w:tc>
          <w:tcPr>
            <w:tcW w:w="32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center"/>
              <w:ind w:right="320"/>
              <w:spacing w:after="0" w:line="121" w:lineRule="exact"/>
              <w:rPr>
                <w:sz w:val="20"/>
                <w:szCs w:val="20"/>
                <w:color w:val="auto"/>
              </w:rPr>
            </w:pPr>
            <w:r>
              <w:rPr>
                <w:rFonts w:ascii="Arial" w:cs="Arial" w:eastAsia="Arial" w:hAnsi="Arial"/>
                <w:sz w:val="12"/>
                <w:szCs w:val="12"/>
                <w:b w:val="1"/>
                <w:bCs w:val="1"/>
                <w:color w:val="auto"/>
                <w:w w:val="90"/>
              </w:rPr>
              <w:t>Unearned</w:t>
            </w: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center"/>
              <w:ind w:right="200"/>
              <w:spacing w:after="0" w:line="121" w:lineRule="exact"/>
              <w:rPr>
                <w:sz w:val="20"/>
                <w:szCs w:val="20"/>
                <w:color w:val="auto"/>
              </w:rPr>
            </w:pPr>
            <w:r>
              <w:rPr>
                <w:rFonts w:ascii="Arial" w:cs="Arial" w:eastAsia="Arial" w:hAnsi="Arial"/>
                <w:sz w:val="12"/>
                <w:szCs w:val="12"/>
                <w:b w:val="1"/>
                <w:bCs w:val="1"/>
                <w:color w:val="auto"/>
                <w:w w:val="90"/>
              </w:rPr>
              <w:t>Accumulated</w:t>
            </w: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8"/>
              </w:rPr>
              <w:t>Employee</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Other</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91"/>
              </w:rPr>
              <w:t>Additional</w:t>
            </w:r>
          </w:p>
        </w:tc>
        <w:tc>
          <w:tcPr>
            <w:tcW w:w="160" w:type="dxa"/>
            <w:vAlign w:val="bottom"/>
          </w:tcPr>
          <w:p>
            <w:pPr>
              <w:spacing w:after="0"/>
              <w:rPr>
                <w:sz w:val="12"/>
                <w:szCs w:val="12"/>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5"/>
              </w:rPr>
              <w:t>Stock</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2"/>
              </w:rPr>
              <w:t>Comprehensive</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92"/>
              </w:rPr>
              <w:t>Common</w:t>
            </w:r>
          </w:p>
        </w:tc>
        <w:tc>
          <w:tcPr>
            <w:tcW w:w="60" w:type="dxa"/>
            <w:vAlign w:val="bottom"/>
          </w:tcPr>
          <w:p>
            <w:pPr>
              <w:spacing w:after="0"/>
              <w:rPr>
                <w:sz w:val="12"/>
                <w:szCs w:val="12"/>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Paid-in</w:t>
            </w:r>
          </w:p>
        </w:tc>
        <w:tc>
          <w:tcPr>
            <w:tcW w:w="160" w:type="dxa"/>
            <w:vAlign w:val="bottom"/>
          </w:tcPr>
          <w:p>
            <w:pPr>
              <w:spacing w:after="0"/>
              <w:rPr>
                <w:sz w:val="12"/>
                <w:szCs w:val="12"/>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6"/>
              </w:rPr>
              <w:t>Ownership</w:t>
            </w:r>
          </w:p>
        </w:tc>
        <w:tc>
          <w:tcPr>
            <w:tcW w:w="80" w:type="dxa"/>
            <w:vAlign w:val="bottom"/>
          </w:tcPr>
          <w:p>
            <w:pPr>
              <w:spacing w:after="0"/>
              <w:rPr>
                <w:sz w:val="12"/>
                <w:szCs w:val="12"/>
                <w:color w:val="auto"/>
              </w:rPr>
            </w:pPr>
          </w:p>
        </w:tc>
        <w:tc>
          <w:tcPr>
            <w:tcW w:w="600" w:type="dxa"/>
            <w:vAlign w:val="bottom"/>
          </w:tcPr>
          <w:p>
            <w:pPr>
              <w:jc w:val="right"/>
              <w:ind w:right="60"/>
              <w:spacing w:after="0"/>
              <w:rPr>
                <w:sz w:val="20"/>
                <w:szCs w:val="20"/>
                <w:color w:val="auto"/>
              </w:rPr>
            </w:pPr>
            <w:r>
              <w:rPr>
                <w:rFonts w:ascii="Arial" w:cs="Arial" w:eastAsia="Arial" w:hAnsi="Arial"/>
                <w:sz w:val="12"/>
                <w:szCs w:val="12"/>
                <w:b w:val="1"/>
                <w:bCs w:val="1"/>
                <w:color w:val="auto"/>
                <w:w w:val="90"/>
              </w:rPr>
              <w:t>Retained</w:t>
            </w:r>
          </w:p>
        </w:tc>
        <w:tc>
          <w:tcPr>
            <w:tcW w:w="280" w:type="dxa"/>
            <w:vAlign w:val="bottom"/>
          </w:tcPr>
          <w:p>
            <w:pPr>
              <w:spacing w:after="0"/>
              <w:rPr>
                <w:sz w:val="12"/>
                <w:szCs w:val="12"/>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7"/>
              </w:rPr>
              <w:t>Income, Net of</w:t>
            </w:r>
          </w:p>
        </w:tc>
        <w:tc>
          <w:tcPr>
            <w:tcW w:w="160" w:type="dxa"/>
            <w:vAlign w:val="bottom"/>
          </w:tcPr>
          <w:p>
            <w:pPr>
              <w:spacing w:after="0"/>
              <w:rPr>
                <w:sz w:val="12"/>
                <w:szCs w:val="12"/>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0"/>
              </w:rPr>
              <w:t>Treasury</w:t>
            </w:r>
          </w:p>
        </w:tc>
        <w:tc>
          <w:tcPr>
            <w:tcW w:w="80" w:type="dxa"/>
            <w:vAlign w:val="bottom"/>
          </w:tcPr>
          <w:p>
            <w:pPr>
              <w:spacing w:after="0"/>
              <w:rPr>
                <w:sz w:val="12"/>
                <w:szCs w:val="12"/>
                <w:color w:val="auto"/>
              </w:rPr>
            </w:pP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Non-Controlling</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Stock</w:t>
            </w:r>
          </w:p>
        </w:tc>
        <w:tc>
          <w:tcPr>
            <w:tcW w:w="60" w:type="dxa"/>
            <w:vAlign w:val="bottom"/>
          </w:tcPr>
          <w:p>
            <w:pPr>
              <w:spacing w:after="0"/>
              <w:rPr>
                <w:sz w:val="13"/>
                <w:szCs w:val="13"/>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Capital</w:t>
            </w:r>
          </w:p>
        </w:tc>
        <w:tc>
          <w:tcPr>
            <w:tcW w:w="160" w:type="dxa"/>
            <w:vAlign w:val="bottom"/>
          </w:tcPr>
          <w:p>
            <w:pPr>
              <w:spacing w:after="0"/>
              <w:rPr>
                <w:sz w:val="13"/>
                <w:szCs w:val="13"/>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4"/>
              </w:rPr>
              <w:t>Plan Shares</w:t>
            </w:r>
          </w:p>
        </w:tc>
        <w:tc>
          <w:tcPr>
            <w:tcW w:w="80" w:type="dxa"/>
            <w:vAlign w:val="bottom"/>
          </w:tcPr>
          <w:p>
            <w:pPr>
              <w:spacing w:after="0"/>
              <w:rPr>
                <w:sz w:val="13"/>
                <w:szCs w:val="13"/>
                <w:color w:val="auto"/>
              </w:rPr>
            </w:pPr>
          </w:p>
        </w:tc>
        <w:tc>
          <w:tcPr>
            <w:tcW w:w="600" w:type="dxa"/>
            <w:vAlign w:val="bottom"/>
          </w:tcPr>
          <w:p>
            <w:pPr>
              <w:jc w:val="right"/>
              <w:ind w:right="40"/>
              <w:spacing w:after="0"/>
              <w:rPr>
                <w:sz w:val="20"/>
                <w:szCs w:val="20"/>
                <w:color w:val="auto"/>
              </w:rPr>
            </w:pPr>
            <w:r>
              <w:rPr>
                <w:rFonts w:ascii="Arial" w:cs="Arial" w:eastAsia="Arial" w:hAnsi="Arial"/>
                <w:sz w:val="12"/>
                <w:szCs w:val="12"/>
                <w:b w:val="1"/>
                <w:bCs w:val="1"/>
                <w:color w:val="auto"/>
                <w:w w:val="93"/>
              </w:rPr>
              <w:t>Earnings</w:t>
            </w:r>
          </w:p>
        </w:tc>
        <w:tc>
          <w:tcPr>
            <w:tcW w:w="28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85"/>
              </w:rPr>
              <w:t>Income Taxes</w:t>
            </w:r>
          </w:p>
        </w:tc>
        <w:tc>
          <w:tcPr>
            <w:tcW w:w="160" w:type="dxa"/>
            <w:vAlign w:val="bottom"/>
          </w:tcPr>
          <w:p>
            <w:pPr>
              <w:spacing w:after="0"/>
              <w:rPr>
                <w:sz w:val="13"/>
                <w:szCs w:val="13"/>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Stock</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Interest</w:t>
            </w: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Total Equity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0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2"/>
                <w:szCs w:val="12"/>
                <w:color w:val="auto"/>
              </w:rPr>
              <w:t>Balance,</w:t>
            </w:r>
          </w:p>
        </w:tc>
        <w:tc>
          <w:tcPr>
            <w:tcW w:w="8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right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right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right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January 1, 2018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230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93,496</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(2,157)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152,865</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15,998</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(8,037)</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3,178</w:t>
            </w:r>
          </w:p>
        </w:tc>
        <w:tc>
          <w:tcPr>
            <w:tcW w:w="1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255,573</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Net income</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6,348</w:t>
            </w:r>
          </w:p>
        </w:tc>
        <w:tc>
          <w:tcPr>
            <w:tcW w:w="280" w:type="dxa"/>
            <w:vAlign w:val="bottom"/>
            <w:tcBorders>
              <w:right w:val="single" w:sz="8" w:color="CCEEFF"/>
            </w:tcBorders>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60</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6,408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00" w:type="dxa"/>
            <w:vAlign w:val="bottom"/>
          </w:tcPr>
          <w:p>
            <w:pPr>
              <w:spacing w:after="0"/>
              <w:rPr>
                <w:sz w:val="20"/>
                <w:szCs w:val="20"/>
                <w:color w:val="auto"/>
              </w:rPr>
            </w:pPr>
            <w:r>
              <w:rPr>
                <w:rFonts w:ascii="Arial" w:cs="Arial" w:eastAsia="Arial" w:hAnsi="Arial"/>
                <w:sz w:val="12"/>
                <w:szCs w:val="12"/>
                <w:color w:val="auto"/>
              </w:rPr>
              <w:t>Other comprehensive (loss), net of income taxes</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(3,066)</w:t>
            </w:r>
          </w:p>
        </w:tc>
        <w:tc>
          <w:tcPr>
            <w:tcW w:w="16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(84)</w:t>
            </w:r>
          </w:p>
        </w:tc>
        <w:tc>
          <w:tcPr>
            <w:tcW w:w="1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(3,150)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Share-based compensation</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735</w:t>
            </w:r>
          </w:p>
        </w:tc>
        <w:tc>
          <w:tcPr>
            <w:tcW w:w="16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right w:val="single" w:sz="8" w:color="CCEEFF"/>
            </w:tcBorders>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735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Arial" w:cs="Arial" w:eastAsia="Arial" w:hAnsi="Arial"/>
                <w:sz w:val="12"/>
                <w:szCs w:val="12"/>
                <w:color w:val="auto"/>
              </w:rPr>
              <w:t>Issuance of vested award shares</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(399)</w:t>
            </w:r>
          </w:p>
        </w:tc>
        <w:tc>
          <w:tcPr>
            <w:tcW w:w="16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399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0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2"/>
                <w:szCs w:val="12"/>
                <w:color w:val="auto"/>
              </w:rPr>
              <w:t>Balance,</w:t>
            </w:r>
          </w:p>
        </w:tc>
        <w:tc>
          <w:tcPr>
            <w:tcW w:w="8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right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right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right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June 30, 2018</w:t>
            </w: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230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93,832</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(2,157)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159,213</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12,932</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(7,638)</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3,154</w:t>
            </w:r>
          </w:p>
        </w:tc>
        <w:tc>
          <w:tcPr>
            <w:tcW w:w="1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259,566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2340" cy="1714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NI Holdings, Inc.</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Unaudited Consolidated Statements of Cash Flows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(dollar amounts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8820" w:type="dxa"/>
            <w:vAlign w:val="bottom"/>
          </w:tcPr>
          <w:p>
            <w:pPr>
              <w:spacing w:after="0"/>
              <w:rPr>
                <w:sz w:val="13"/>
                <w:szCs w:val="13"/>
                <w:color w:val="auto"/>
              </w:rPr>
            </w:pPr>
          </w:p>
        </w:tc>
        <w:tc>
          <w:tcPr>
            <w:tcW w:w="2120" w:type="dxa"/>
            <w:vAlign w:val="bottom"/>
            <w:tcBorders>
              <w:bottom w:val="single" w:sz="8" w:color="auto"/>
            </w:tcBorders>
            <w:gridSpan w:val="4"/>
          </w:tcPr>
          <w:p>
            <w:pPr>
              <w:jc w:val="right"/>
              <w:ind w:right="107"/>
              <w:spacing w:after="0"/>
              <w:rPr>
                <w:sz w:val="20"/>
                <w:szCs w:val="20"/>
                <w:color w:val="auto"/>
              </w:rPr>
            </w:pPr>
            <w:r>
              <w:rPr>
                <w:rFonts w:ascii="Arial" w:cs="Arial" w:eastAsia="Arial" w:hAnsi="Arial"/>
                <w:sz w:val="12"/>
                <w:szCs w:val="12"/>
                <w:b w:val="1"/>
                <w:bCs w:val="1"/>
                <w:color w:val="auto"/>
              </w:rPr>
              <w:t>Six Months Ended June 30,</w:t>
            </w:r>
          </w:p>
        </w:tc>
        <w:tc>
          <w:tcPr>
            <w:tcW w:w="4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2018</w:t>
            </w:r>
          </w:p>
        </w:tc>
        <w:tc>
          <w:tcPr>
            <w:tcW w:w="4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2017</w:t>
            </w:r>
          </w:p>
        </w:tc>
        <w:tc>
          <w:tcPr>
            <w:tcW w:w="40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8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Cash flows from operating activities:</w:t>
            </w:r>
          </w:p>
        </w:tc>
        <w:tc>
          <w:tcPr>
            <w:tcW w:w="7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80"/>
              <w:spacing w:after="0"/>
              <w:rPr>
                <w:sz w:val="20"/>
                <w:szCs w:val="20"/>
                <w:color w:val="auto"/>
              </w:rPr>
            </w:pPr>
            <w:r>
              <w:rPr>
                <w:rFonts w:ascii="Arial" w:cs="Arial" w:eastAsia="Arial" w:hAnsi="Arial"/>
                <w:sz w:val="12"/>
                <w:szCs w:val="12"/>
                <w:color w:val="auto"/>
              </w:rPr>
              <w:t>Net income</w:t>
            </w:r>
          </w:p>
        </w:tc>
        <w:tc>
          <w:tcPr>
            <w:tcW w:w="740" w:type="dxa"/>
            <w:vAlign w:val="bottom"/>
          </w:tcPr>
          <w:p>
            <w:pPr>
              <w:jc w:val="right"/>
              <w:ind w:right="625"/>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6,408</w:t>
            </w:r>
          </w:p>
        </w:tc>
        <w:tc>
          <w:tcPr>
            <w:tcW w:w="240" w:type="dxa"/>
            <w:vAlign w:val="bottom"/>
          </w:tcPr>
          <w:p>
            <w:pPr>
              <w:spacing w:after="0"/>
              <w:rPr>
                <w:sz w:val="12"/>
                <w:szCs w:val="12"/>
                <w:color w:val="auto"/>
              </w:rPr>
            </w:pPr>
          </w:p>
        </w:tc>
        <w:tc>
          <w:tcPr>
            <w:tcW w:w="720" w:type="dxa"/>
            <w:vAlign w:val="bottom"/>
          </w:tcPr>
          <w:p>
            <w:pPr>
              <w:jc w:val="right"/>
              <w:ind w:right="607"/>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20"/>
              <w:spacing w:after="0"/>
              <w:rPr>
                <w:sz w:val="20"/>
                <w:szCs w:val="20"/>
                <w:color w:val="auto"/>
              </w:rPr>
            </w:pPr>
            <w:r>
              <w:rPr>
                <w:rFonts w:ascii="Arial" w:cs="Arial" w:eastAsia="Arial" w:hAnsi="Arial"/>
                <w:sz w:val="12"/>
                <w:szCs w:val="12"/>
                <w:color w:val="auto"/>
              </w:rPr>
              <w:t>4,866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80"/>
              <w:spacing w:after="0"/>
              <w:rPr>
                <w:sz w:val="20"/>
                <w:szCs w:val="20"/>
                <w:color w:val="auto"/>
              </w:rPr>
            </w:pPr>
            <w:r>
              <w:rPr>
                <w:rFonts w:ascii="Arial" w:cs="Arial" w:eastAsia="Arial" w:hAnsi="Arial"/>
                <w:sz w:val="12"/>
                <w:szCs w:val="12"/>
                <w:color w:val="auto"/>
              </w:rPr>
              <w:t>Adjustments to reconcile net income to net cash provided by operating activities:</w:t>
            </w: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180"/>
              <w:spacing w:after="0"/>
              <w:rPr>
                <w:sz w:val="20"/>
                <w:szCs w:val="20"/>
                <w:color w:val="auto"/>
              </w:rPr>
            </w:pPr>
            <w:r>
              <w:rPr>
                <w:rFonts w:ascii="Arial" w:cs="Arial" w:eastAsia="Arial" w:hAnsi="Arial"/>
                <w:sz w:val="12"/>
                <w:szCs w:val="12"/>
                <w:color w:val="auto"/>
              </w:rPr>
              <w:t>Net realized capital gain on investments</w:t>
            </w:r>
          </w:p>
        </w:tc>
        <w:tc>
          <w:tcPr>
            <w:tcW w:w="74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(719)</w:t>
            </w:r>
          </w:p>
        </w:tc>
        <w:tc>
          <w:tcPr>
            <w:tcW w:w="720" w:type="dxa"/>
            <w:vAlign w:val="bottom"/>
          </w:tcPr>
          <w:p>
            <w:pPr>
              <w:spacing w:after="0"/>
              <w:rPr>
                <w:sz w:val="12"/>
                <w:szCs w:val="12"/>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2"/>
                <w:szCs w:val="12"/>
                <w:color w:val="auto"/>
              </w:rPr>
              <w:t>(955)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Deferred income tax expense</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(1,006)</w:t>
            </w:r>
          </w:p>
        </w:tc>
        <w:tc>
          <w:tcPr>
            <w:tcW w:w="72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180"/>
              <w:spacing w:after="0"/>
              <w:rPr>
                <w:sz w:val="20"/>
                <w:szCs w:val="20"/>
                <w:color w:val="auto"/>
              </w:rPr>
            </w:pPr>
            <w:r>
              <w:rPr>
                <w:rFonts w:ascii="Arial" w:cs="Arial" w:eastAsia="Arial" w:hAnsi="Arial"/>
                <w:sz w:val="12"/>
                <w:szCs w:val="12"/>
                <w:color w:val="auto"/>
              </w:rPr>
              <w:t>Depreciation of property and equipment</w:t>
            </w:r>
          </w:p>
        </w:tc>
        <w:tc>
          <w:tcPr>
            <w:tcW w:w="7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243</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2"/>
                <w:szCs w:val="12"/>
                <w:color w:val="auto"/>
              </w:rPr>
              <w:t>249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Amortization of intangibles</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180"/>
              <w:spacing w:after="0"/>
              <w:rPr>
                <w:sz w:val="20"/>
                <w:szCs w:val="20"/>
                <w:color w:val="auto"/>
              </w:rPr>
            </w:pPr>
            <w:r>
              <w:rPr>
                <w:rFonts w:ascii="Arial" w:cs="Arial" w:eastAsia="Arial" w:hAnsi="Arial"/>
                <w:sz w:val="12"/>
                <w:szCs w:val="12"/>
                <w:color w:val="auto"/>
              </w:rPr>
              <w:t>Share-based compensation</w:t>
            </w:r>
          </w:p>
        </w:tc>
        <w:tc>
          <w:tcPr>
            <w:tcW w:w="7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735</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Amortization of deferred policy acquisition costs</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15,657</w:t>
            </w: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11,310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180"/>
              <w:spacing w:after="0"/>
              <w:rPr>
                <w:sz w:val="20"/>
                <w:szCs w:val="20"/>
                <w:color w:val="auto"/>
              </w:rPr>
            </w:pPr>
            <w:r>
              <w:rPr>
                <w:rFonts w:ascii="Arial" w:cs="Arial" w:eastAsia="Arial" w:hAnsi="Arial"/>
                <w:sz w:val="12"/>
                <w:szCs w:val="12"/>
                <w:color w:val="auto"/>
              </w:rPr>
              <w:t>Deferral of policy acquisition costs</w:t>
            </w:r>
          </w:p>
        </w:tc>
        <w:tc>
          <w:tcPr>
            <w:tcW w:w="74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w w:val="98"/>
              </w:rPr>
              <w:t>(18,988)</w:t>
            </w:r>
          </w:p>
        </w:tc>
        <w:tc>
          <w:tcPr>
            <w:tcW w:w="720" w:type="dxa"/>
            <w:vAlign w:val="bottom"/>
          </w:tcPr>
          <w:p>
            <w:pPr>
              <w:spacing w:after="0"/>
              <w:rPr>
                <w:sz w:val="12"/>
                <w:szCs w:val="12"/>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2"/>
                <w:szCs w:val="12"/>
                <w:color w:val="auto"/>
                <w:w w:val="93"/>
              </w:rPr>
              <w:t>(16,494)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Net amortization of premiums and discounts on investments</w:t>
            </w: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631</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593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180"/>
              <w:spacing w:after="0"/>
              <w:rPr>
                <w:sz w:val="20"/>
                <w:szCs w:val="20"/>
                <w:color w:val="auto"/>
              </w:rPr>
            </w:pPr>
            <w:r>
              <w:rPr>
                <w:rFonts w:ascii="Arial" w:cs="Arial" w:eastAsia="Arial" w:hAnsi="Arial"/>
                <w:sz w:val="12"/>
                <w:szCs w:val="12"/>
                <w:color w:val="auto"/>
              </w:rPr>
              <w:t>Changes in assets and liabilities which provided (used) cash:</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Premiums and agents’ balances receivable</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8"/>
              </w:rPr>
              <w:t>(48,543)</w:t>
            </w:r>
          </w:p>
        </w:tc>
        <w:tc>
          <w:tcPr>
            <w:tcW w:w="72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w w:val="93"/>
              </w:rPr>
              <w:t>(48,894)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240"/>
              <w:spacing w:after="0"/>
              <w:rPr>
                <w:sz w:val="20"/>
                <w:szCs w:val="20"/>
                <w:color w:val="auto"/>
              </w:rPr>
            </w:pPr>
            <w:r>
              <w:rPr>
                <w:rFonts w:ascii="Arial" w:cs="Arial" w:eastAsia="Arial" w:hAnsi="Arial"/>
                <w:sz w:val="12"/>
                <w:szCs w:val="12"/>
                <w:color w:val="auto"/>
              </w:rPr>
              <w:t>Reinsurance receivables / payables</w:t>
            </w:r>
          </w:p>
        </w:tc>
        <w:tc>
          <w:tcPr>
            <w:tcW w:w="7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415</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2"/>
                <w:szCs w:val="12"/>
                <w:color w:val="auto"/>
              </w:rPr>
              <w:t>3,531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Reinsurance recoverables on losses</w:t>
            </w: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527</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(3,200)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240"/>
              <w:spacing w:after="0"/>
              <w:rPr>
                <w:sz w:val="20"/>
                <w:szCs w:val="20"/>
                <w:color w:val="auto"/>
              </w:rPr>
            </w:pPr>
            <w:r>
              <w:rPr>
                <w:rFonts w:ascii="Arial" w:cs="Arial" w:eastAsia="Arial" w:hAnsi="Arial"/>
                <w:sz w:val="12"/>
                <w:szCs w:val="12"/>
                <w:color w:val="auto"/>
              </w:rPr>
              <w:t>Accrued investment income</w:t>
            </w:r>
          </w:p>
        </w:tc>
        <w:tc>
          <w:tcPr>
            <w:tcW w:w="7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164</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2"/>
                <w:szCs w:val="12"/>
                <w:color w:val="auto"/>
              </w:rPr>
              <w:t>(547)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Receivable from Federal Crop Insurance Corporation</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(629)</w:t>
            </w:r>
          </w:p>
        </w:tc>
        <w:tc>
          <w:tcPr>
            <w:tcW w:w="7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4,264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240"/>
              <w:spacing w:after="0"/>
              <w:rPr>
                <w:sz w:val="20"/>
                <w:szCs w:val="20"/>
                <w:color w:val="auto"/>
              </w:rPr>
            </w:pPr>
            <w:r>
              <w:rPr>
                <w:rFonts w:ascii="Arial" w:cs="Arial" w:eastAsia="Arial" w:hAnsi="Arial"/>
                <w:sz w:val="12"/>
                <w:szCs w:val="12"/>
                <w:color w:val="auto"/>
              </w:rPr>
              <w:t>Federal income tax recoverable / payable</w:t>
            </w:r>
          </w:p>
        </w:tc>
        <w:tc>
          <w:tcPr>
            <w:tcW w:w="74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(1,004)</w:t>
            </w:r>
          </w:p>
        </w:tc>
        <w:tc>
          <w:tcPr>
            <w:tcW w:w="720" w:type="dxa"/>
            <w:vAlign w:val="bottom"/>
          </w:tcPr>
          <w:p>
            <w:pPr>
              <w:spacing w:after="0"/>
              <w:rPr>
                <w:sz w:val="12"/>
                <w:szCs w:val="12"/>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2"/>
                <w:szCs w:val="12"/>
                <w:color w:val="auto"/>
              </w:rPr>
              <w:t>276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 assets</w:t>
            </w: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229</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912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240"/>
              <w:spacing w:after="0"/>
              <w:rPr>
                <w:sz w:val="20"/>
                <w:szCs w:val="20"/>
                <w:color w:val="auto"/>
              </w:rPr>
            </w:pPr>
            <w:r>
              <w:rPr>
                <w:rFonts w:ascii="Arial" w:cs="Arial" w:eastAsia="Arial" w:hAnsi="Arial"/>
                <w:sz w:val="12"/>
                <w:szCs w:val="12"/>
                <w:color w:val="auto"/>
              </w:rPr>
              <w:t>Unpaid losses and loss adjustment expenses</w:t>
            </w:r>
          </w:p>
        </w:tc>
        <w:tc>
          <w:tcPr>
            <w:tcW w:w="74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17,486</w:t>
            </w:r>
          </w:p>
        </w:tc>
        <w:tc>
          <w:tcPr>
            <w:tcW w:w="720" w:type="dxa"/>
            <w:vAlign w:val="bottom"/>
          </w:tcPr>
          <w:p>
            <w:pPr>
              <w:spacing w:after="0"/>
              <w:rPr>
                <w:sz w:val="12"/>
                <w:szCs w:val="12"/>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2"/>
                <w:szCs w:val="12"/>
                <w:color w:val="auto"/>
              </w:rPr>
              <w:t>12,987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Unearned premiums</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36,692</w:t>
            </w:r>
          </w:p>
        </w:tc>
        <w:tc>
          <w:tcPr>
            <w:tcW w:w="7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34,749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20" w:type="dxa"/>
            <w:vAlign w:val="bottom"/>
          </w:tcPr>
          <w:p>
            <w:pPr>
              <w:ind w:left="240"/>
              <w:spacing w:after="0"/>
              <w:rPr>
                <w:sz w:val="20"/>
                <w:szCs w:val="20"/>
                <w:color w:val="auto"/>
              </w:rPr>
            </w:pPr>
            <w:r>
              <w:rPr>
                <w:rFonts w:ascii="Arial" w:cs="Arial" w:eastAsia="Arial" w:hAnsi="Arial"/>
                <w:sz w:val="12"/>
                <w:szCs w:val="12"/>
                <w:color w:val="auto"/>
              </w:rPr>
              <w:t>Accrued expenses and other liabilities</w:t>
            </w:r>
          </w:p>
        </w:tc>
        <w:tc>
          <w:tcPr>
            <w:tcW w:w="7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6,401</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2"/>
                <w:szCs w:val="12"/>
                <w:color w:val="auto"/>
              </w:rPr>
              <w:t>6,781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820" w:type="dxa"/>
            <w:vAlign w:val="bottom"/>
            <w:tcBorders>
              <w:top w:val="single" w:sz="8" w:color="CCEEFF"/>
            </w:tcBorders>
            <w:shd w:val="clear" w:color="auto" w:fill="CCEEFF"/>
          </w:tcPr>
          <w:p>
            <w:pPr>
              <w:ind w:left="300"/>
              <w:spacing w:after="0" w:line="133" w:lineRule="exact"/>
              <w:rPr>
                <w:sz w:val="20"/>
                <w:szCs w:val="20"/>
                <w:color w:val="auto"/>
              </w:rPr>
            </w:pPr>
            <w:r>
              <w:rPr>
                <w:rFonts w:ascii="Arial" w:cs="Arial" w:eastAsia="Arial" w:hAnsi="Arial"/>
                <w:sz w:val="12"/>
                <w:szCs w:val="12"/>
                <w:color w:val="auto"/>
              </w:rPr>
              <w:t>Net cash provided by operating activities</w:t>
            </w:r>
          </w:p>
        </w:tc>
        <w:tc>
          <w:tcPr>
            <w:tcW w:w="74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14,699</w:t>
            </w:r>
          </w:p>
        </w:tc>
        <w:tc>
          <w:tcPr>
            <w:tcW w:w="2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10,449</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8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investing activities:</w:t>
            </w: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80"/>
              <w:spacing w:after="0"/>
              <w:rPr>
                <w:sz w:val="20"/>
                <w:szCs w:val="20"/>
                <w:color w:val="auto"/>
              </w:rPr>
            </w:pPr>
            <w:r>
              <w:rPr>
                <w:rFonts w:ascii="Arial" w:cs="Arial" w:eastAsia="Arial" w:hAnsi="Arial"/>
                <w:sz w:val="12"/>
                <w:szCs w:val="12"/>
                <w:color w:val="auto"/>
              </w:rPr>
              <w:t>Proceeds from sales of fixed income securities</w:t>
            </w:r>
          </w:p>
        </w:tc>
        <w:tc>
          <w:tcPr>
            <w:tcW w:w="74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38,286</w:t>
            </w:r>
          </w:p>
        </w:tc>
        <w:tc>
          <w:tcPr>
            <w:tcW w:w="7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11,712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80"/>
              <w:spacing w:after="0"/>
              <w:rPr>
                <w:sz w:val="20"/>
                <w:szCs w:val="20"/>
                <w:color w:val="auto"/>
              </w:rPr>
            </w:pPr>
            <w:r>
              <w:rPr>
                <w:rFonts w:ascii="Arial" w:cs="Arial" w:eastAsia="Arial" w:hAnsi="Arial"/>
                <w:sz w:val="12"/>
                <w:szCs w:val="12"/>
                <w:color w:val="auto"/>
              </w:rPr>
              <w:t>Proceeds from sales of equity securities</w:t>
            </w: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5,033</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2,904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80"/>
              <w:spacing w:after="0"/>
              <w:rPr>
                <w:sz w:val="20"/>
                <w:szCs w:val="20"/>
                <w:color w:val="auto"/>
              </w:rPr>
            </w:pPr>
            <w:r>
              <w:rPr>
                <w:rFonts w:ascii="Arial" w:cs="Arial" w:eastAsia="Arial" w:hAnsi="Arial"/>
                <w:sz w:val="12"/>
                <w:szCs w:val="12"/>
                <w:color w:val="auto"/>
              </w:rPr>
              <w:t>Purchases of fixed income securities</w:t>
            </w:r>
          </w:p>
        </w:tc>
        <w:tc>
          <w:tcPr>
            <w:tcW w:w="74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w w:val="98"/>
              </w:rPr>
              <w:t>(48,733)</w:t>
            </w:r>
          </w:p>
        </w:tc>
        <w:tc>
          <w:tcPr>
            <w:tcW w:w="720" w:type="dxa"/>
            <w:vAlign w:val="bottom"/>
          </w:tcPr>
          <w:p>
            <w:pPr>
              <w:spacing w:after="0"/>
              <w:rPr>
                <w:sz w:val="12"/>
                <w:szCs w:val="12"/>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2"/>
                <w:szCs w:val="12"/>
                <w:color w:val="auto"/>
                <w:w w:val="93"/>
              </w:rPr>
              <w:t>(88,151)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80"/>
              <w:spacing w:after="0"/>
              <w:rPr>
                <w:sz w:val="20"/>
                <w:szCs w:val="20"/>
                <w:color w:val="auto"/>
              </w:rPr>
            </w:pPr>
            <w:r>
              <w:rPr>
                <w:rFonts w:ascii="Arial" w:cs="Arial" w:eastAsia="Arial" w:hAnsi="Arial"/>
                <w:sz w:val="12"/>
                <w:szCs w:val="12"/>
                <w:color w:val="auto"/>
              </w:rPr>
              <w:t>Purchases of equity securities</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(5,559)</w:t>
            </w:r>
          </w:p>
        </w:tc>
        <w:tc>
          <w:tcPr>
            <w:tcW w:w="72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w w:val="93"/>
              </w:rPr>
              <w:t>(19,252)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80"/>
              <w:spacing w:after="0"/>
              <w:rPr>
                <w:sz w:val="20"/>
                <w:szCs w:val="20"/>
                <w:color w:val="auto"/>
              </w:rPr>
            </w:pPr>
            <w:r>
              <w:rPr>
                <w:rFonts w:ascii="Arial" w:cs="Arial" w:eastAsia="Arial" w:hAnsi="Arial"/>
                <w:sz w:val="12"/>
                <w:szCs w:val="12"/>
                <w:color w:val="auto"/>
              </w:rPr>
              <w:t>Purchases of property and equipment, net</w:t>
            </w:r>
          </w:p>
        </w:tc>
        <w:tc>
          <w:tcPr>
            <w:tcW w:w="74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(383)</w:t>
            </w:r>
          </w:p>
        </w:tc>
        <w:tc>
          <w:tcPr>
            <w:tcW w:w="720" w:type="dxa"/>
            <w:vAlign w:val="bottom"/>
          </w:tcPr>
          <w:p>
            <w:pPr>
              <w:spacing w:after="0"/>
              <w:rPr>
                <w:sz w:val="12"/>
                <w:szCs w:val="12"/>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2"/>
                <w:szCs w:val="12"/>
                <w:color w:val="auto"/>
              </w:rPr>
              <w:t>(542)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20" w:type="dxa"/>
            <w:vAlign w:val="bottom"/>
            <w:shd w:val="clear" w:color="auto" w:fill="CCEEFF"/>
          </w:tcPr>
          <w:p>
            <w:pPr>
              <w:ind w:left="80"/>
              <w:spacing w:after="0"/>
              <w:rPr>
                <w:sz w:val="20"/>
                <w:szCs w:val="20"/>
                <w:color w:val="auto"/>
              </w:rPr>
            </w:pPr>
            <w:r>
              <w:rPr>
                <w:rFonts w:ascii="Arial" w:cs="Arial" w:eastAsia="Arial" w:hAnsi="Arial"/>
                <w:sz w:val="12"/>
                <w:szCs w:val="12"/>
                <w:color w:val="auto"/>
              </w:rPr>
              <w:t>Other</w:t>
            </w:r>
          </w:p>
        </w:tc>
        <w:tc>
          <w:tcPr>
            <w:tcW w:w="7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820" w:type="dxa"/>
            <w:vAlign w:val="bottom"/>
            <w:tcBorders>
              <w:bottom w:val="single" w:sz="8" w:color="CCEEFF"/>
            </w:tcBorders>
          </w:tcPr>
          <w:p>
            <w:pPr>
              <w:ind w:left="200"/>
              <w:spacing w:after="0" w:line="133" w:lineRule="exact"/>
              <w:rPr>
                <w:sz w:val="20"/>
                <w:szCs w:val="20"/>
                <w:color w:val="auto"/>
              </w:rPr>
            </w:pPr>
            <w:r>
              <w:rPr>
                <w:rFonts w:ascii="Arial" w:cs="Arial" w:eastAsia="Arial" w:hAnsi="Arial"/>
                <w:sz w:val="12"/>
                <w:szCs w:val="12"/>
                <w:color w:val="auto"/>
              </w:rPr>
              <w:t>Net cash used in investing activities</w:t>
            </w:r>
          </w:p>
        </w:tc>
        <w:tc>
          <w:tcPr>
            <w:tcW w:w="74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89"/>
              </w:rPr>
              <w:t>(11,338)</w:t>
            </w:r>
          </w:p>
        </w:tc>
        <w:tc>
          <w:tcPr>
            <w:tcW w:w="240" w:type="dxa"/>
            <w:vAlign w:val="bottom"/>
            <w:tcBorders>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84"/>
              </w:rPr>
              <w:t>(93,327)</w:t>
            </w:r>
          </w:p>
        </w:tc>
        <w:tc>
          <w:tcPr>
            <w:tcW w:w="120" w:type="dxa"/>
            <w:vAlign w:val="bottom"/>
            <w:tcBorders>
              <w:bottom w:val="single" w:sz="8" w:color="CCEEFF"/>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88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Cash flows from financing activities:</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80"/>
              <w:spacing w:after="0"/>
              <w:rPr>
                <w:sz w:val="20"/>
                <w:szCs w:val="20"/>
                <w:color w:val="auto"/>
              </w:rPr>
            </w:pPr>
            <w:r>
              <w:rPr>
                <w:rFonts w:ascii="Arial" w:cs="Arial" w:eastAsia="Arial" w:hAnsi="Arial"/>
                <w:sz w:val="12"/>
                <w:szCs w:val="12"/>
                <w:color w:val="auto"/>
              </w:rPr>
              <w:t>Proceeds from issuance of common stock</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93,145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80"/>
              <w:spacing w:after="0"/>
              <w:rPr>
                <w:sz w:val="20"/>
                <w:szCs w:val="20"/>
                <w:color w:val="auto"/>
              </w:rPr>
            </w:pPr>
            <w:r>
              <w:rPr>
                <w:rFonts w:ascii="Arial" w:cs="Arial" w:eastAsia="Arial" w:hAnsi="Arial"/>
                <w:sz w:val="12"/>
                <w:szCs w:val="12"/>
                <w:color w:val="auto"/>
              </w:rPr>
              <w:t>Purchases of treasury stock</w:t>
            </w:r>
          </w:p>
        </w:tc>
        <w:tc>
          <w:tcPr>
            <w:tcW w:w="74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2"/>
                <w:szCs w:val="12"/>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2"/>
                <w:szCs w:val="12"/>
                <w:color w:val="auto"/>
              </w:rPr>
              <w:t>(8,037)</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20" w:type="dxa"/>
            <w:vAlign w:val="bottom"/>
            <w:shd w:val="clear" w:color="auto" w:fill="CCEEFF"/>
          </w:tcPr>
          <w:p>
            <w:pPr>
              <w:ind w:left="80"/>
              <w:spacing w:after="0"/>
              <w:rPr>
                <w:sz w:val="20"/>
                <w:szCs w:val="20"/>
                <w:color w:val="auto"/>
              </w:rPr>
            </w:pPr>
            <w:r>
              <w:rPr>
                <w:rFonts w:ascii="Arial" w:cs="Arial" w:eastAsia="Arial" w:hAnsi="Arial"/>
                <w:sz w:val="12"/>
                <w:szCs w:val="12"/>
                <w:color w:val="auto"/>
              </w:rPr>
              <w:t>Loan to employee stock ownership plan</w:t>
            </w:r>
          </w:p>
        </w:tc>
        <w:tc>
          <w:tcPr>
            <w:tcW w:w="7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(2,400)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820" w:type="dxa"/>
            <w:vAlign w:val="bottom"/>
            <w:tcBorders>
              <w:bottom w:val="single" w:sz="8" w:color="CCEEFF"/>
            </w:tcBorders>
          </w:tcPr>
          <w:p>
            <w:pPr>
              <w:ind w:left="200"/>
              <w:spacing w:after="0" w:line="133" w:lineRule="exact"/>
              <w:rPr>
                <w:sz w:val="20"/>
                <w:szCs w:val="20"/>
                <w:color w:val="auto"/>
              </w:rPr>
            </w:pPr>
            <w:r>
              <w:rPr>
                <w:rFonts w:ascii="Arial" w:cs="Arial" w:eastAsia="Arial" w:hAnsi="Arial"/>
                <w:sz w:val="12"/>
                <w:szCs w:val="12"/>
                <w:color w:val="auto"/>
              </w:rPr>
              <w:t>Net cash provided by financing activities</w:t>
            </w:r>
          </w:p>
        </w:tc>
        <w:tc>
          <w:tcPr>
            <w:tcW w:w="74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240" w:type="dxa"/>
            <w:vAlign w:val="bottom"/>
            <w:tcBorders>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82,708</w:t>
            </w: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8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180"/>
              <w:spacing w:after="0"/>
              <w:rPr>
                <w:sz w:val="20"/>
                <w:szCs w:val="20"/>
                <w:color w:val="auto"/>
              </w:rPr>
            </w:pPr>
            <w:r>
              <w:rPr>
                <w:rFonts w:ascii="Arial" w:cs="Arial" w:eastAsia="Arial" w:hAnsi="Arial"/>
                <w:sz w:val="12"/>
                <w:szCs w:val="12"/>
                <w:color w:val="auto"/>
              </w:rPr>
              <w:t>Net increase (decrease) in cash and cash equivalents</w:t>
            </w:r>
          </w:p>
        </w:tc>
        <w:tc>
          <w:tcPr>
            <w:tcW w:w="7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3,361</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2"/>
                <w:szCs w:val="12"/>
                <w:color w:val="auto"/>
              </w:rPr>
              <w:t>(170)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8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Cash and cash equivalents at beginning of period</w:t>
            </w:r>
          </w:p>
        </w:tc>
        <w:tc>
          <w:tcPr>
            <w:tcW w:w="740" w:type="dxa"/>
            <w:vAlign w:val="bottom"/>
          </w:tcPr>
          <w:p>
            <w:pPr>
              <w:spacing w:after="0"/>
              <w:rPr>
                <w:sz w:val="13"/>
                <w:szCs w:val="1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27,594</w:t>
            </w:r>
          </w:p>
        </w:tc>
        <w:tc>
          <w:tcPr>
            <w:tcW w:w="72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2"/>
                <w:szCs w:val="12"/>
                <w:color w:val="auto"/>
              </w:rPr>
              <w:t>18,318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88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Cash and cash equivalents at end of period</w:t>
            </w:r>
          </w:p>
        </w:tc>
        <w:tc>
          <w:tcPr>
            <w:tcW w:w="740" w:type="dxa"/>
            <w:vAlign w:val="bottom"/>
            <w:tcBorders>
              <w:bottom w:val="single" w:sz="8" w:color="auto"/>
            </w:tcBorders>
          </w:tcPr>
          <w:p>
            <w:pPr>
              <w:jc w:val="right"/>
              <w:ind w:right="625"/>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30,955</w:t>
            </w:r>
          </w:p>
        </w:tc>
        <w:tc>
          <w:tcPr>
            <w:tcW w:w="240" w:type="dxa"/>
            <w:vAlign w:val="bottom"/>
          </w:tcPr>
          <w:p>
            <w:pPr>
              <w:spacing w:after="0"/>
              <w:rPr>
                <w:sz w:val="14"/>
                <w:szCs w:val="14"/>
                <w:color w:val="auto"/>
              </w:rPr>
            </w:pPr>
          </w:p>
        </w:tc>
        <w:tc>
          <w:tcPr>
            <w:tcW w:w="720" w:type="dxa"/>
            <w:vAlign w:val="bottom"/>
            <w:tcBorders>
              <w:bottom w:val="single" w:sz="8" w:color="auto"/>
            </w:tcBorders>
          </w:tcPr>
          <w:p>
            <w:pPr>
              <w:jc w:val="right"/>
              <w:ind w:right="607"/>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18,148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2"/>
          <w:szCs w:val="12"/>
          <w:color w:val="auto"/>
        </w:rPr>
        <w:t>The Company paid $3,600 and $1,850 in federal income taxes during the six months ended June 30, 2018 and 2017,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2340" cy="1714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bookmarkStart w:id="9" w:name="page10"/>
    <w:bookmarkEnd w:id="9"/>
    <w:p>
      <w:pPr>
        <w:ind w:left="8"/>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NI Holdings, Inc.</w:t>
      </w:r>
    </w:p>
    <w:p>
      <w:pPr>
        <w:spacing w:after="0" w:line="5" w:lineRule="exact"/>
        <w:rPr>
          <w:sz w:val="20"/>
          <w:szCs w:val="20"/>
          <w:color w:val="auto"/>
        </w:rPr>
      </w:pPr>
    </w:p>
    <w:p>
      <w:pPr>
        <w:ind w:left="4348"/>
        <w:spacing w:after="0"/>
        <w:rPr>
          <w:sz w:val="20"/>
          <w:szCs w:val="20"/>
          <w:color w:val="auto"/>
        </w:rPr>
      </w:pPr>
      <w:r>
        <w:rPr>
          <w:rFonts w:ascii="Arial" w:cs="Arial" w:eastAsia="Arial" w:hAnsi="Arial"/>
          <w:sz w:val="12"/>
          <w:szCs w:val="12"/>
          <w:b w:val="1"/>
          <w:bCs w:val="1"/>
          <w:color w:val="auto"/>
        </w:rPr>
        <w:t>Notes to Unaudited Consolidated Financial Statements</w:t>
      </w:r>
    </w:p>
    <w:p>
      <w:pPr>
        <w:spacing w:after="0" w:line="6" w:lineRule="exact"/>
        <w:rPr>
          <w:sz w:val="20"/>
          <w:szCs w:val="20"/>
          <w:color w:val="auto"/>
        </w:rPr>
      </w:pPr>
    </w:p>
    <w:p>
      <w:pPr>
        <w:ind w:left="4268"/>
        <w:spacing w:after="0"/>
        <w:rPr>
          <w:sz w:val="20"/>
          <w:szCs w:val="20"/>
          <w:color w:val="auto"/>
        </w:rPr>
      </w:pPr>
      <w:r>
        <w:rPr>
          <w:rFonts w:ascii="Arial" w:cs="Arial" w:eastAsia="Arial" w:hAnsi="Arial"/>
          <w:sz w:val="12"/>
          <w:szCs w:val="12"/>
          <w:b w:val="1"/>
          <w:bCs w:val="1"/>
          <w:color w:val="auto"/>
        </w:rPr>
        <w:t>(dollar amounts in thousands, except per share amounts)</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FFFFFF"/>
        </w:rPr>
        <w:t>Notes to Unaudited Consolidated Financial Statements</w:t>
      </w:r>
    </w:p>
    <w:p>
      <w:pPr>
        <w:spacing w:after="0" w:line="19" w:lineRule="exact"/>
        <w:rPr>
          <w:sz w:val="20"/>
          <w:szCs w:val="20"/>
          <w:color w:val="auto"/>
        </w:rPr>
      </w:pPr>
    </w:p>
    <w:p>
      <w:pPr>
        <w:ind w:left="428" w:hanging="428"/>
        <w:spacing w:after="0"/>
        <w:tabs>
          <w:tab w:leader="none" w:pos="428" w:val="left"/>
        </w:tabs>
        <w:numPr>
          <w:ilvl w:val="0"/>
          <w:numId w:val="7"/>
        </w:numPr>
        <w:rPr>
          <w:rFonts w:ascii="Arial" w:cs="Arial" w:eastAsia="Arial" w:hAnsi="Arial"/>
          <w:sz w:val="12"/>
          <w:szCs w:val="12"/>
          <w:b w:val="1"/>
          <w:bCs w:val="1"/>
          <w:color w:val="auto"/>
        </w:rPr>
      </w:pPr>
      <w:r>
        <w:rPr>
          <w:rFonts w:ascii="Arial" w:cs="Arial" w:eastAsia="Arial" w:hAnsi="Arial"/>
          <w:sz w:val="12"/>
          <w:szCs w:val="12"/>
          <w:b w:val="1"/>
          <w:bCs w:val="1"/>
          <w:color w:val="auto"/>
        </w:rPr>
        <w:t>Organization</w:t>
      </w:r>
    </w:p>
    <w:p>
      <w:pPr>
        <w:spacing w:after="0" w:line="141" w:lineRule="exact"/>
        <w:rPr>
          <w:sz w:val="20"/>
          <w:szCs w:val="20"/>
          <w:color w:val="auto"/>
        </w:rPr>
      </w:pPr>
    </w:p>
    <w:p>
      <w:pPr>
        <w:ind w:left="8" w:firstLine="432"/>
        <w:spacing w:after="0" w:line="286" w:lineRule="auto"/>
        <w:rPr>
          <w:sz w:val="20"/>
          <w:szCs w:val="20"/>
          <w:color w:val="auto"/>
        </w:rPr>
      </w:pPr>
      <w:r>
        <w:rPr>
          <w:rFonts w:ascii="Arial" w:cs="Arial" w:eastAsia="Arial" w:hAnsi="Arial"/>
          <w:sz w:val="11"/>
          <w:szCs w:val="11"/>
          <w:color w:val="auto"/>
        </w:rPr>
        <w:t>NI Holdings, Inc. (“NI Holdings”) is a North Dakota business corporation that is the stock holding company of Nodak Insurance Company and became such in connection with the conversion of Nodak Mutual Insurance Company from a mutual to stock form of organization and the creation of a mutual holding company. The conversion was consummated on March 13, 2017. Immediately following the conversion, all of the outstanding shares of common stock of Nodak Insurance Company (the successor to Nodak Mutual Insurance Company) were issued to Nodak Mutual Group, Inc., which then contributed the shares to NI Holdings in exchange for 55% of the outstanding shares of common stock of NI Holdings. Nodak Insurance Company then became a wholly-owned stock subsidiary of NI Holdings. Prior to completion of the conversion, NI Holdings conducted no business and had no assets or liabilities. As a result of the conversion, NI Holdings became the holding company for Nodak Insurance Company and its existing subsidiaries. The newly issued shares of NI Holdings were available for public trading on March 16, 2017.</w:t>
      </w:r>
    </w:p>
    <w:p>
      <w:pPr>
        <w:spacing w:after="0" w:line="84" w:lineRule="exact"/>
        <w:rPr>
          <w:sz w:val="20"/>
          <w:szCs w:val="20"/>
          <w:color w:val="auto"/>
        </w:rPr>
      </w:pPr>
    </w:p>
    <w:p>
      <w:pPr>
        <w:ind w:left="428"/>
        <w:spacing w:after="0"/>
        <w:rPr>
          <w:sz w:val="20"/>
          <w:szCs w:val="20"/>
          <w:color w:val="auto"/>
        </w:rPr>
      </w:pPr>
      <w:r>
        <w:rPr>
          <w:rFonts w:ascii="Arial" w:cs="Arial" w:eastAsia="Arial" w:hAnsi="Arial"/>
          <w:sz w:val="11"/>
          <w:szCs w:val="11"/>
          <w:color w:val="auto"/>
        </w:rPr>
        <w:t>The consolidated financial statements of NI Holdings consist primarily of five entities: Nodak Insurance Company (“Nodak Insurance”, formerly Nodak Mutual Insurance Company prior to the conversion), Nodak Agency, Inc.</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2"/>
          <w:szCs w:val="12"/>
          <w:color w:val="auto"/>
        </w:rPr>
        <w:t>(“Nodak Agency”), American West Insurance Company (“American West”), Primero Insurance Company (“Primero”), and an affiliated company, Battle Creek Mutual Insurance Company (“Battle Creek”).</w:t>
      </w:r>
    </w:p>
    <w:p>
      <w:pPr>
        <w:spacing w:after="0" w:line="123" w:lineRule="exact"/>
        <w:rPr>
          <w:sz w:val="20"/>
          <w:szCs w:val="20"/>
          <w:color w:val="auto"/>
        </w:rPr>
      </w:pPr>
    </w:p>
    <w:p>
      <w:pPr>
        <w:ind w:left="8" w:right="300" w:firstLine="432"/>
        <w:spacing w:after="0" w:line="380" w:lineRule="auto"/>
        <w:rPr>
          <w:sz w:val="20"/>
          <w:szCs w:val="20"/>
          <w:color w:val="auto"/>
        </w:rPr>
      </w:pPr>
      <w:r>
        <w:rPr>
          <w:rFonts w:ascii="Arial" w:cs="Arial" w:eastAsia="Arial" w:hAnsi="Arial"/>
          <w:sz w:val="10"/>
          <w:szCs w:val="10"/>
          <w:color w:val="auto"/>
        </w:rPr>
        <w:t>Nodak Insurance is the largest domestic property and casualty insurance company in North Dakota. Nodak Insurance was incorporated on April 15, 1946 under the laws of North Dakota, and benefits from a strong marketing affiliation with the North Dakota Farm Bureau (“NDFB”). Nodak Insurance specializes in providing private passenger auto, homeowners, farmowners, commercial, crop hail, and Federal multi-peril crop insurance coverages.</w:t>
      </w:r>
    </w:p>
    <w:p>
      <w:pPr>
        <w:spacing w:after="0" w:line="41" w:lineRule="exact"/>
        <w:rPr>
          <w:sz w:val="20"/>
          <w:szCs w:val="20"/>
          <w:color w:val="auto"/>
        </w:rPr>
      </w:pPr>
    </w:p>
    <w:p>
      <w:pPr>
        <w:ind w:left="428"/>
        <w:spacing w:after="0"/>
        <w:rPr>
          <w:sz w:val="20"/>
          <w:szCs w:val="20"/>
          <w:color w:val="auto"/>
        </w:rPr>
      </w:pPr>
      <w:r>
        <w:rPr>
          <w:rFonts w:ascii="Arial" w:cs="Arial" w:eastAsia="Arial" w:hAnsi="Arial"/>
          <w:sz w:val="12"/>
          <w:szCs w:val="12"/>
          <w:color w:val="auto"/>
        </w:rPr>
        <w:t>Nodak Agency, a wholly-owned subsidiary of Nodak Insurance, is an inactive shell corporation.</w:t>
      </w:r>
    </w:p>
    <w:p>
      <w:pPr>
        <w:spacing w:after="0" w:line="123" w:lineRule="exact"/>
        <w:rPr>
          <w:sz w:val="20"/>
          <w:szCs w:val="20"/>
          <w:color w:val="auto"/>
        </w:rPr>
      </w:pPr>
    </w:p>
    <w:p>
      <w:pPr>
        <w:ind w:left="8" w:right="220" w:firstLine="432"/>
        <w:spacing w:after="0" w:line="263" w:lineRule="auto"/>
        <w:rPr>
          <w:sz w:val="20"/>
          <w:szCs w:val="20"/>
          <w:color w:val="auto"/>
        </w:rPr>
      </w:pPr>
      <w:r>
        <w:rPr>
          <w:rFonts w:ascii="Arial" w:cs="Arial" w:eastAsia="Arial" w:hAnsi="Arial"/>
          <w:sz w:val="12"/>
          <w:szCs w:val="12"/>
          <w:color w:val="auto"/>
        </w:rPr>
        <w:t>American West, a wholly-owned subsidiary of Nodak Insurance, is a property and casualty insurance company licensed in eight states in the Midwest and Western regions of the United States. American West began writing policies in 2002 and primarily writes personal auto, homeowners, and farm coverages in South Dakota. American West also writes personal auto in North Dakota, as well as crop hail and Federal multi-peril crop insurance coverages in Minnesota and South Dakota.</w:t>
      </w:r>
    </w:p>
    <w:p>
      <w:pPr>
        <w:spacing w:after="0" w:line="105" w:lineRule="exact"/>
        <w:rPr>
          <w:sz w:val="20"/>
          <w:szCs w:val="20"/>
          <w:color w:val="auto"/>
        </w:rPr>
      </w:pPr>
    </w:p>
    <w:p>
      <w:pPr>
        <w:ind w:left="8" w:right="240" w:firstLine="432"/>
        <w:spacing w:after="0" w:line="276" w:lineRule="auto"/>
        <w:rPr>
          <w:sz w:val="20"/>
          <w:szCs w:val="20"/>
          <w:color w:val="auto"/>
        </w:rPr>
      </w:pPr>
      <w:r>
        <w:rPr>
          <w:rFonts w:ascii="Arial" w:cs="Arial" w:eastAsia="Arial" w:hAnsi="Arial"/>
          <w:sz w:val="12"/>
          <w:szCs w:val="12"/>
          <w:color w:val="auto"/>
        </w:rPr>
        <w:t>Primero is a wholly-owned subsidiary of Tri-State, Ltd. Tri-State, Ltd. is an inactive shell corporation 100% owned by Nodak Insurance. Primero is a property and casualty insurance company writing non-standard automobile coverage in the states of Nevada, Arizona, North Dakota and South Dakota.</w:t>
      </w:r>
    </w:p>
    <w:p>
      <w:pPr>
        <w:spacing w:after="0" w:line="88" w:lineRule="exact"/>
        <w:rPr>
          <w:sz w:val="20"/>
          <w:szCs w:val="20"/>
          <w:color w:val="auto"/>
        </w:rPr>
      </w:pPr>
    </w:p>
    <w:p>
      <w:pPr>
        <w:ind w:left="8" w:right="80" w:firstLine="432"/>
        <w:spacing w:after="0" w:line="276" w:lineRule="auto"/>
        <w:rPr>
          <w:sz w:val="20"/>
          <w:szCs w:val="20"/>
          <w:color w:val="auto"/>
        </w:rPr>
      </w:pPr>
      <w:r>
        <w:rPr>
          <w:rFonts w:ascii="Arial" w:cs="Arial" w:eastAsia="Arial" w:hAnsi="Arial"/>
          <w:sz w:val="12"/>
          <w:szCs w:val="12"/>
          <w:color w:val="auto"/>
        </w:rPr>
        <w:t>Battle Creek is controlled by Nodak Insurance via a surplus note and 100% quota-share agreement. The terms of the surplus note and quota-share agreement allow Nodak Insurance to appoint two-thirds of the Battle Creek Board of Directors. Battle Creek is a property and casualty insurance company writing personal auto, homeowners, and farm coverages solely in the state of Nebraska.</w:t>
      </w:r>
    </w:p>
    <w:p>
      <w:pPr>
        <w:spacing w:after="0" w:line="88" w:lineRule="exact"/>
        <w:rPr>
          <w:sz w:val="20"/>
          <w:szCs w:val="20"/>
          <w:color w:val="auto"/>
        </w:rPr>
      </w:pPr>
    </w:p>
    <w:p>
      <w:pPr>
        <w:ind w:left="8" w:right="140" w:firstLine="423"/>
        <w:spacing w:after="0" w:line="263" w:lineRule="auto"/>
        <w:rPr>
          <w:sz w:val="20"/>
          <w:szCs w:val="20"/>
          <w:color w:val="auto"/>
        </w:rPr>
      </w:pPr>
      <w:r>
        <w:rPr>
          <w:rFonts w:ascii="Arial" w:cs="Arial" w:eastAsia="Arial" w:hAnsi="Arial"/>
          <w:sz w:val="12"/>
          <w:szCs w:val="12"/>
          <w:color w:val="auto"/>
        </w:rPr>
        <w:t>The same executive management and underwriting personnel administer products, classes of business, pricing practices, and underwriting standards of Nodak Insurance and its insurance subsidiaries. In addition, the insurance companies share a combined business plan to achieve market penetration and underwriting profitability objectives. Distinctions within the products of the insurance companies generally relate to the states in which the risk is located and specific risk profiles targeted within similar classes of business.</w:t>
      </w:r>
    </w:p>
    <w:p>
      <w:pPr>
        <w:spacing w:after="0" w:line="263" w:lineRule="exact"/>
        <w:rPr>
          <w:sz w:val="20"/>
          <w:szCs w:val="20"/>
          <w:color w:val="auto"/>
        </w:rPr>
      </w:pPr>
    </w:p>
    <w:p>
      <w:pPr>
        <w:ind w:left="428" w:hanging="428"/>
        <w:spacing w:after="0"/>
        <w:tabs>
          <w:tab w:leader="none" w:pos="428" w:val="left"/>
        </w:tabs>
        <w:numPr>
          <w:ilvl w:val="0"/>
          <w:numId w:val="8"/>
        </w:numPr>
        <w:rPr>
          <w:rFonts w:ascii="Arial" w:cs="Arial" w:eastAsia="Arial" w:hAnsi="Arial"/>
          <w:sz w:val="12"/>
          <w:szCs w:val="12"/>
          <w:b w:val="1"/>
          <w:bCs w:val="1"/>
          <w:color w:val="auto"/>
        </w:rPr>
      </w:pPr>
      <w:r>
        <w:rPr>
          <w:rFonts w:ascii="Arial" w:cs="Arial" w:eastAsia="Arial" w:hAnsi="Arial"/>
          <w:sz w:val="12"/>
          <w:szCs w:val="12"/>
          <w:b w:val="1"/>
          <w:bCs w:val="1"/>
          <w:color w:val="auto"/>
        </w:rPr>
        <w:t>Basis of Presentation</w:t>
      </w:r>
    </w:p>
    <w:p>
      <w:pPr>
        <w:spacing w:after="0" w:line="154" w:lineRule="exact"/>
        <w:rPr>
          <w:sz w:val="20"/>
          <w:szCs w:val="20"/>
          <w:color w:val="auto"/>
        </w:rPr>
      </w:pPr>
    </w:p>
    <w:p>
      <w:pPr>
        <w:ind w:left="8" w:right="160" w:firstLine="432"/>
        <w:spacing w:after="0" w:line="259" w:lineRule="auto"/>
        <w:rPr>
          <w:sz w:val="20"/>
          <w:szCs w:val="20"/>
          <w:color w:val="auto"/>
        </w:rPr>
      </w:pPr>
      <w:r>
        <w:rPr>
          <w:rFonts w:ascii="Arial" w:cs="Arial" w:eastAsia="Arial" w:hAnsi="Arial"/>
          <w:sz w:val="12"/>
          <w:szCs w:val="12"/>
          <w:color w:val="auto"/>
        </w:rPr>
        <w:t>The accompanying unaudited consolidated financial statements have been prepared in accordance with accounting principles generally accepted in the United States of America (“GAAP”) for interim financial information and with the instructions to Form 10-Q and Article 10 of Regulation S-X. Accordingly, they do not include all of the information and footnotes required by GAAP for complete financial statements. In the opinion of management, all adjustments (consisting of normal recurring accruals) considered necessary for a fair presentation have been included. Operating results for the interim periods ended June 30, 2018 are not necessarily indicative of the results that may be expected for the year ended December 31, 2018.</w:t>
      </w:r>
    </w:p>
    <w:p>
      <w:pPr>
        <w:spacing w:after="0" w:line="107" w:lineRule="exact"/>
        <w:rPr>
          <w:sz w:val="20"/>
          <w:szCs w:val="20"/>
          <w:color w:val="auto"/>
        </w:rPr>
      </w:pPr>
    </w:p>
    <w:p>
      <w:pPr>
        <w:ind w:left="8" w:right="220" w:firstLine="432"/>
        <w:spacing w:after="0" w:line="276" w:lineRule="auto"/>
        <w:rPr>
          <w:sz w:val="20"/>
          <w:szCs w:val="20"/>
          <w:color w:val="auto"/>
        </w:rPr>
      </w:pPr>
      <w:r>
        <w:rPr>
          <w:rFonts w:ascii="Arial" w:cs="Arial" w:eastAsia="Arial" w:hAnsi="Arial"/>
          <w:sz w:val="12"/>
          <w:szCs w:val="12"/>
          <w:color w:val="auto"/>
        </w:rPr>
        <w:t>Our consolidated financial statements include our accounts and those of our wholly-owned subsidiaries, as well as Battle Creek, an entity we control via contract. We have eliminated all significant inter-company accounts and transactions in consolidation. The terms “we”, “us”, “our”, or “the Company” as used herein refer to the consolidated entity.</w:t>
      </w:r>
    </w:p>
    <w:p>
      <w:pPr>
        <w:spacing w:after="0" w:line="115" w:lineRule="exact"/>
        <w:rPr>
          <w:sz w:val="20"/>
          <w:szCs w:val="20"/>
          <w:color w:val="auto"/>
        </w:rPr>
      </w:pPr>
    </w:p>
    <w:p>
      <w:pPr>
        <w:jc w:val="center"/>
        <w:ind w:right="-47"/>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29234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2340" cy="17145"/>
                    </a:xfrm>
                    <a:prstGeom prst="rect">
                      <a:avLst/>
                    </a:prstGeom>
                    <a:noFill/>
                  </pic:spPr>
                </pic:pic>
              </a:graphicData>
            </a:graphic>
          </wp:anchor>
        </w:drawing>
      </w:r>
    </w:p>
    <w:p>
      <w:pPr>
        <w:sectPr>
          <w:pgSz w:w="11900" w:h="16838" w:orient="portrait"/>
          <w:cols w:equalWidth="0" w:num="1">
            <w:col w:w="11468"/>
          </w:cols>
          <w:pgMar w:left="212" w:top="197" w:right="219" w:bottom="1440" w:gutter="0" w:footer="0" w:header="0"/>
        </w:sectPr>
      </w:pPr>
    </w:p>
    <w:bookmarkStart w:id="10" w:name="page11"/>
    <w:bookmarkEnd w:id="10"/>
    <w:p>
      <w:pPr>
        <w:ind w:left="8"/>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7" w:lineRule="exact"/>
        <w:rPr>
          <w:sz w:val="20"/>
          <w:szCs w:val="20"/>
          <w:color w:val="auto"/>
        </w:rPr>
      </w:pPr>
    </w:p>
    <w:p>
      <w:pPr>
        <w:jc w:val="center"/>
        <w:ind w:right="-27"/>
        <w:spacing w:after="0"/>
        <w:rPr>
          <w:sz w:val="20"/>
          <w:szCs w:val="20"/>
          <w:color w:val="auto"/>
        </w:rPr>
      </w:pPr>
      <w:r>
        <w:rPr>
          <w:rFonts w:ascii="Arial" w:cs="Arial" w:eastAsia="Arial" w:hAnsi="Arial"/>
          <w:sz w:val="12"/>
          <w:szCs w:val="12"/>
          <w:b w:val="1"/>
          <w:bCs w:val="1"/>
          <w:color w:val="auto"/>
        </w:rPr>
        <w:t>NI Holdings, Inc.</w:t>
      </w:r>
    </w:p>
    <w:p>
      <w:pPr>
        <w:spacing w:after="0" w:line="5" w:lineRule="exact"/>
        <w:rPr>
          <w:sz w:val="20"/>
          <w:szCs w:val="20"/>
          <w:color w:val="auto"/>
        </w:rPr>
      </w:pPr>
    </w:p>
    <w:p>
      <w:pPr>
        <w:ind w:left="4348"/>
        <w:spacing w:after="0"/>
        <w:rPr>
          <w:sz w:val="20"/>
          <w:szCs w:val="20"/>
          <w:color w:val="auto"/>
        </w:rPr>
      </w:pPr>
      <w:r>
        <w:rPr>
          <w:rFonts w:ascii="Arial" w:cs="Arial" w:eastAsia="Arial" w:hAnsi="Arial"/>
          <w:sz w:val="12"/>
          <w:szCs w:val="12"/>
          <w:b w:val="1"/>
          <w:bCs w:val="1"/>
          <w:color w:val="auto"/>
        </w:rPr>
        <w:t>Notes to Unaudited Consolidated Financial Statements</w:t>
      </w:r>
    </w:p>
    <w:p>
      <w:pPr>
        <w:spacing w:after="0" w:line="6" w:lineRule="exact"/>
        <w:rPr>
          <w:sz w:val="20"/>
          <w:szCs w:val="20"/>
          <w:color w:val="auto"/>
        </w:rPr>
      </w:pPr>
    </w:p>
    <w:p>
      <w:pPr>
        <w:ind w:left="4268"/>
        <w:spacing w:after="0"/>
        <w:rPr>
          <w:sz w:val="20"/>
          <w:szCs w:val="20"/>
          <w:color w:val="auto"/>
        </w:rPr>
      </w:pPr>
      <w:r>
        <w:rPr>
          <w:rFonts w:ascii="Arial" w:cs="Arial" w:eastAsia="Arial" w:hAnsi="Arial"/>
          <w:sz w:val="12"/>
          <w:szCs w:val="12"/>
          <w:b w:val="1"/>
          <w:bCs w:val="1"/>
          <w:color w:val="auto"/>
        </w:rPr>
        <w:t>(dollar amounts in thousands, except per share amounts)</w:t>
      </w:r>
    </w:p>
    <w:p>
      <w:pPr>
        <w:spacing w:after="0" w:line="137" w:lineRule="exact"/>
        <w:rPr>
          <w:sz w:val="20"/>
          <w:szCs w:val="20"/>
          <w:color w:val="auto"/>
        </w:rPr>
      </w:pPr>
    </w:p>
    <w:p>
      <w:pPr>
        <w:ind w:left="428" w:right="8760" w:hanging="428"/>
        <w:spacing w:after="0" w:line="504" w:lineRule="auto"/>
        <w:tabs>
          <w:tab w:leader="none" w:pos="428" w:val="left"/>
        </w:tabs>
        <w:numPr>
          <w:ilvl w:val="0"/>
          <w:numId w:val="9"/>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Summary of Significant Accounting Policies </w:t>
      </w:r>
      <w:r>
        <w:rPr>
          <w:rFonts w:ascii="Arial" w:cs="Arial" w:eastAsia="Arial" w:hAnsi="Arial"/>
          <w:sz w:val="12"/>
          <w:szCs w:val="12"/>
          <w:i w:val="1"/>
          <w:iCs w:val="1"/>
          <w:u w:val="single" w:color="auto"/>
          <w:color w:val="auto"/>
        </w:rPr>
        <w:t>Use of Estimates:</w:t>
      </w:r>
    </w:p>
    <w:p>
      <w:pPr>
        <w:spacing w:after="0" w:line="1" w:lineRule="exact"/>
        <w:rPr>
          <w:sz w:val="20"/>
          <w:szCs w:val="20"/>
          <w:color w:val="auto"/>
        </w:rPr>
      </w:pPr>
    </w:p>
    <w:p>
      <w:pPr>
        <w:ind w:left="8" w:right="60" w:firstLine="432"/>
        <w:spacing w:after="0" w:line="276" w:lineRule="auto"/>
        <w:rPr>
          <w:sz w:val="20"/>
          <w:szCs w:val="20"/>
          <w:color w:val="auto"/>
        </w:rPr>
      </w:pPr>
      <w:r>
        <w:rPr>
          <w:rFonts w:ascii="Arial" w:cs="Arial" w:eastAsia="Arial" w:hAnsi="Arial"/>
          <w:sz w:val="12"/>
          <w:szCs w:val="12"/>
          <w:color w:val="auto"/>
        </w:rPr>
        <w:t>In preparing our consolidated financial statements, management makes estimates and assumptions that affect the reported amounts of assets and liabilities at the date of the balance sheet and revenues and expenses for the periods then ended. Actual results could differ significantly from those estimates.</w:t>
      </w:r>
    </w:p>
    <w:p>
      <w:pPr>
        <w:spacing w:after="0" w:line="115" w:lineRule="exact"/>
        <w:rPr>
          <w:sz w:val="20"/>
          <w:szCs w:val="20"/>
          <w:color w:val="auto"/>
        </w:rPr>
      </w:pPr>
    </w:p>
    <w:p>
      <w:pPr>
        <w:ind w:left="8" w:firstLine="432"/>
        <w:spacing w:after="0" w:line="259" w:lineRule="auto"/>
        <w:rPr>
          <w:sz w:val="20"/>
          <w:szCs w:val="20"/>
          <w:color w:val="auto"/>
        </w:rPr>
      </w:pPr>
      <w:r>
        <w:rPr>
          <w:rFonts w:ascii="Arial" w:cs="Arial" w:eastAsia="Arial" w:hAnsi="Arial"/>
          <w:sz w:val="12"/>
          <w:szCs w:val="12"/>
          <w:color w:val="auto"/>
        </w:rPr>
        <w:t>We make estimates and assumptions that can have a significant effect on amounts and disclosures we report in our consolidated financial statements. The most significant estimates relate to our reserves for unpaid losses and loss adjustment expenses, earned premiums for crop insurance, valuation of investments, determination of other-than-temporary impairments, valuation allowances for deferred income tax assets, and deferred policy acquisition costs. While we believe our estimates are appropriate, the ultimate amounts may differ from the estimates provided. We regularly review our methods for making these estimates as well as the continuing appropriateness of the estimated amounts, and we reflect any adjustment we consider necessary in our current results of operations.</w:t>
      </w:r>
    </w:p>
    <w:p>
      <w:pPr>
        <w:spacing w:after="0" w:line="125" w:lineRule="exact"/>
        <w:rPr>
          <w:sz w:val="20"/>
          <w:szCs w:val="20"/>
          <w:color w:val="auto"/>
        </w:rPr>
      </w:pPr>
    </w:p>
    <w:p>
      <w:pPr>
        <w:ind w:left="428"/>
        <w:spacing w:after="0"/>
        <w:rPr>
          <w:sz w:val="20"/>
          <w:szCs w:val="20"/>
          <w:color w:val="auto"/>
        </w:rPr>
      </w:pPr>
      <w:r>
        <w:rPr>
          <w:rFonts w:ascii="Arial" w:cs="Arial" w:eastAsia="Arial" w:hAnsi="Arial"/>
          <w:sz w:val="12"/>
          <w:szCs w:val="12"/>
          <w:i w:val="1"/>
          <w:iCs w:val="1"/>
          <w:u w:val="single" w:color="auto"/>
          <w:color w:val="auto"/>
        </w:rPr>
        <w:t>Variable-Interest Entities:</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Any company deemed to be a variable interest entity (“VIE”) is required to be consolidated by the primary beneficiary of the VIE.</w:t>
      </w:r>
    </w:p>
    <w:p>
      <w:pPr>
        <w:spacing w:after="0" w:line="150" w:lineRule="exact"/>
        <w:rPr>
          <w:sz w:val="20"/>
          <w:szCs w:val="20"/>
          <w:color w:val="auto"/>
        </w:rPr>
      </w:pPr>
    </w:p>
    <w:p>
      <w:pPr>
        <w:ind w:left="8" w:right="140" w:firstLine="432"/>
        <w:spacing w:after="0" w:line="257" w:lineRule="auto"/>
        <w:rPr>
          <w:sz w:val="20"/>
          <w:szCs w:val="20"/>
          <w:color w:val="auto"/>
        </w:rPr>
      </w:pPr>
      <w:r>
        <w:rPr>
          <w:rFonts w:ascii="Arial" w:cs="Arial" w:eastAsia="Arial" w:hAnsi="Arial"/>
          <w:sz w:val="12"/>
          <w:szCs w:val="12"/>
          <w:color w:val="auto"/>
        </w:rPr>
        <w:t>We assess our investments in other entities at inception to determine if any meet the qualifications of a VIE. We consider an investment in another company to be a VIE if (a) the total equity investment at risk is not sufficient to permit the entity to finance its activities without additional subordinated financial support, (b) the characteristics of a controlling financial interest are missing (either the ability to make decisions through voting or other rights, the obligation to absorb expected losses of the entity or the right to receive the expected residual returns of the entity), or (c) the voting rights of the equity holders are not proportional to their obligations to absorb the expected losses of the entity and/or the rights to receive the expected residual returns of the entity, and substantially all of the entity’s activities either involve or are conducted on behalf of an investor that has disproportionately few voting rights. Upon the occurrence of certain events, we would reassess our initial determination of whether the investment is a VIE.</w:t>
      </w:r>
    </w:p>
    <w:p>
      <w:pPr>
        <w:spacing w:after="0" w:line="126" w:lineRule="exact"/>
        <w:rPr>
          <w:sz w:val="20"/>
          <w:szCs w:val="20"/>
          <w:color w:val="auto"/>
        </w:rPr>
      </w:pPr>
    </w:p>
    <w:p>
      <w:pPr>
        <w:ind w:left="8" w:right="60" w:firstLine="432"/>
        <w:spacing w:after="0" w:line="298" w:lineRule="auto"/>
        <w:rPr>
          <w:sz w:val="20"/>
          <w:szCs w:val="20"/>
          <w:color w:val="auto"/>
        </w:rPr>
      </w:pPr>
      <w:r>
        <w:rPr>
          <w:rFonts w:ascii="Arial" w:cs="Arial" w:eastAsia="Arial" w:hAnsi="Arial"/>
          <w:sz w:val="11"/>
          <w:szCs w:val="11"/>
          <w:color w:val="auto"/>
        </w:rPr>
        <w:t>We evaluate whether we are the primary beneficiary of each VIE and we consolidate the VIE if we have both (1) the power to direct the economically significant activities of the entity and (2) the obligation to absorb losses of, or the right to receive benefits from, the entity. We consider the contractual agreements that define the ownership structure, distribution of profits and losses, risks, responsibilities, indebtedness, voting rights, and board representation of the respective parties in determining whether we qualify as the primary beneficiary. Our assessment of whether we are the primary beneficiary of a VIE is performed at least annually.</w:t>
      </w:r>
    </w:p>
    <w:p>
      <w:pPr>
        <w:spacing w:after="0" w:line="105" w:lineRule="exact"/>
        <w:rPr>
          <w:sz w:val="20"/>
          <w:szCs w:val="20"/>
          <w:color w:val="auto"/>
        </w:rPr>
      </w:pPr>
    </w:p>
    <w:p>
      <w:pPr>
        <w:ind w:left="8" w:right="120" w:firstLine="432"/>
        <w:spacing w:after="0" w:line="298" w:lineRule="auto"/>
        <w:rPr>
          <w:sz w:val="20"/>
          <w:szCs w:val="20"/>
          <w:color w:val="auto"/>
        </w:rPr>
      </w:pPr>
      <w:r>
        <w:rPr>
          <w:rFonts w:ascii="Arial" w:cs="Arial" w:eastAsia="Arial" w:hAnsi="Arial"/>
          <w:sz w:val="11"/>
          <w:szCs w:val="11"/>
          <w:color w:val="auto"/>
        </w:rPr>
        <w:t>We control Battle Creek via a 100% quota-share reinsurance agreement between Nodak Insurance and Battle Creek, as well as the ability to control a majority of the Board of Directors of Battle Creek. Through the effects of the 100% quota-share agreement with Battle Creek, we are considered the primary beneficiary of Battle Creek’s operating results excluding investment income, bad debt expense, and income taxes. Therefore, we consolidate the financial statements of Battle Creek, and Battle Creek’s policyholders’ interest in Battle Creek is reflected as a non-controlling interest in Equity in our Consolidated Balance Sheet.</w:t>
      </w:r>
    </w:p>
    <w:p>
      <w:pPr>
        <w:spacing w:after="0" w:line="105" w:lineRule="exact"/>
        <w:rPr>
          <w:sz w:val="20"/>
          <w:szCs w:val="20"/>
          <w:color w:val="auto"/>
        </w:rPr>
      </w:pPr>
    </w:p>
    <w:p>
      <w:pPr>
        <w:ind w:left="428"/>
        <w:spacing w:after="0"/>
        <w:rPr>
          <w:sz w:val="20"/>
          <w:szCs w:val="20"/>
          <w:color w:val="auto"/>
        </w:rPr>
      </w:pPr>
      <w:r>
        <w:rPr>
          <w:rFonts w:ascii="Arial" w:cs="Arial" w:eastAsia="Arial" w:hAnsi="Arial"/>
          <w:sz w:val="12"/>
          <w:szCs w:val="12"/>
          <w:i w:val="1"/>
          <w:iCs w:val="1"/>
          <w:u w:val="single" w:color="auto"/>
          <w:color w:val="auto"/>
        </w:rPr>
        <w:t>Cash and Cash Equivalents:</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Cash and cash equivalents include certain investments in highly liquid debt instruments with original maturities of three months or less. Cost approximates fair value for these short-term investments.</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i w:val="1"/>
          <w:iCs w:val="1"/>
          <w:u w:val="single" w:color="auto"/>
          <w:color w:val="auto"/>
        </w:rPr>
        <w:t>Investments:</w:t>
      </w:r>
    </w:p>
    <w:p>
      <w:pPr>
        <w:spacing w:after="0" w:line="150" w:lineRule="exact"/>
        <w:rPr>
          <w:sz w:val="20"/>
          <w:szCs w:val="20"/>
          <w:color w:val="auto"/>
        </w:rPr>
      </w:pPr>
    </w:p>
    <w:p>
      <w:pPr>
        <w:ind w:left="8" w:right="100" w:firstLine="432"/>
        <w:spacing w:after="0" w:line="259" w:lineRule="auto"/>
        <w:rPr>
          <w:sz w:val="20"/>
          <w:szCs w:val="20"/>
          <w:color w:val="auto"/>
        </w:rPr>
      </w:pPr>
      <w:r>
        <w:rPr>
          <w:rFonts w:ascii="Arial" w:cs="Arial" w:eastAsia="Arial" w:hAnsi="Arial"/>
          <w:sz w:val="12"/>
          <w:szCs w:val="12"/>
          <w:color w:val="auto"/>
        </w:rPr>
        <w:t>We have categorized our investment portfolio as “available-for-sale” and have reported the portfolio at fair value, with unrealized gains and losses, net of income taxes, reported in accumulated other comprehensive income. Fair values are based on quoted market prices or dealer quotes, if available. If a quoted market price is not available, fair value is estimated using quoted market prices for similar securities. Amortization of premium and accretion of discount are computed using an effective interest method. Realized gains and losses are determined using the specific identification method and included in the determination of net income. Net investment income includes interest and dividend income together with amortization of purchase premiums and discounts, and is net of investment management and custody fees.</w:t>
      </w:r>
    </w:p>
    <w:p>
      <w:pPr>
        <w:spacing w:after="0" w:line="125" w:lineRule="exact"/>
        <w:rPr>
          <w:sz w:val="20"/>
          <w:szCs w:val="20"/>
          <w:color w:val="auto"/>
        </w:rPr>
      </w:pPr>
    </w:p>
    <w:p>
      <w:pPr>
        <w:jc w:val="center"/>
        <w:ind w:right="-67"/>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9234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2340" cy="17145"/>
                    </a:xfrm>
                    <a:prstGeom prst="rect">
                      <a:avLst/>
                    </a:prstGeom>
                    <a:noFill/>
                  </pic:spPr>
                </pic:pic>
              </a:graphicData>
            </a:graphic>
          </wp:anchor>
        </w:drawing>
      </w:r>
    </w:p>
    <w:p>
      <w:pPr>
        <w:sectPr>
          <w:pgSz w:w="11900" w:h="16838" w:orient="portrait"/>
          <w:cols w:equalWidth="0" w:num="1">
            <w:col w:w="11448"/>
          </w:cols>
          <w:pgMar w:left="212" w:top="197"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NI Holdings, Inc.</w:t>
      </w:r>
    </w:p>
    <w:p>
      <w:pPr>
        <w:spacing w:after="0" w:line="5" w:lineRule="exact"/>
        <w:rPr>
          <w:sz w:val="20"/>
          <w:szCs w:val="20"/>
          <w:color w:val="auto"/>
        </w:rPr>
      </w:pPr>
    </w:p>
    <w:p>
      <w:pPr>
        <w:ind w:left="4340"/>
        <w:spacing w:after="0"/>
        <w:rPr>
          <w:sz w:val="20"/>
          <w:szCs w:val="20"/>
          <w:color w:val="auto"/>
        </w:rPr>
      </w:pPr>
      <w:r>
        <w:rPr>
          <w:rFonts w:ascii="Arial" w:cs="Arial" w:eastAsia="Arial" w:hAnsi="Arial"/>
          <w:sz w:val="12"/>
          <w:szCs w:val="12"/>
          <w:b w:val="1"/>
          <w:bCs w:val="1"/>
          <w:color w:val="auto"/>
        </w:rPr>
        <w:t>Notes to Unaudited Consolidated Financial Statements</w:t>
      </w:r>
    </w:p>
    <w:p>
      <w:pPr>
        <w:spacing w:after="0" w:line="6" w:lineRule="exact"/>
        <w:rPr>
          <w:sz w:val="20"/>
          <w:szCs w:val="20"/>
          <w:color w:val="auto"/>
        </w:rPr>
      </w:pPr>
    </w:p>
    <w:p>
      <w:pPr>
        <w:ind w:left="4260"/>
        <w:spacing w:after="0"/>
        <w:rPr>
          <w:sz w:val="20"/>
          <w:szCs w:val="20"/>
          <w:color w:val="auto"/>
        </w:rPr>
      </w:pPr>
      <w:r>
        <w:rPr>
          <w:rFonts w:ascii="Arial" w:cs="Arial" w:eastAsia="Arial" w:hAnsi="Arial"/>
          <w:sz w:val="12"/>
          <w:szCs w:val="12"/>
          <w:b w:val="1"/>
          <w:bCs w:val="1"/>
          <w:color w:val="auto"/>
        </w:rPr>
        <w:t>(dollar amounts in thousands, except per share amounts)</w:t>
      </w:r>
    </w:p>
    <w:p>
      <w:pPr>
        <w:spacing w:after="0" w:line="141" w:lineRule="exact"/>
        <w:rPr>
          <w:sz w:val="20"/>
          <w:szCs w:val="20"/>
          <w:color w:val="auto"/>
        </w:rPr>
      </w:pPr>
    </w:p>
    <w:p>
      <w:pPr>
        <w:ind w:firstLine="432"/>
        <w:spacing w:after="0" w:line="286" w:lineRule="auto"/>
        <w:rPr>
          <w:sz w:val="20"/>
          <w:szCs w:val="20"/>
          <w:color w:val="auto"/>
        </w:rPr>
      </w:pPr>
      <w:r>
        <w:rPr>
          <w:rFonts w:ascii="Arial" w:cs="Arial" w:eastAsia="Arial" w:hAnsi="Arial"/>
          <w:sz w:val="11"/>
          <w:szCs w:val="11"/>
          <w:color w:val="auto"/>
        </w:rPr>
        <w:t>We review our investments each quarter to determine whether a decline in fair value below the amortized cost basis is other than temporary. Accordingly, we assess whether we intend to sell or it is more likely than not that we will be required to sell a security before recovery of its amortized cost basis. For fixed income securities that are considered other-than-temporarily impaired and that we do not intend to sell and will not be required to sell prior to recovery of the amortized cost basis, we separate the amount of the impairment into the amount that is credit related (credit loss component) and the amount due to all other factors. The credit loss component is recognized in earnings and is the difference between the security’s amortized cost basis and the present value of its expected future cash flows discounted at the security’s effective yield. The remaining difference between the security’s fair value and the present value of future expected cash flows is due to factors that are not credit related and, therefore, is not required to be recognized as losses in the Consolidated Statement of Operations, but is recognized in other comprehensive income.</w:t>
      </w:r>
    </w:p>
    <w:p>
      <w:pPr>
        <w:spacing w:after="0" w:line="111" w:lineRule="exact"/>
        <w:rPr>
          <w:sz w:val="20"/>
          <w:szCs w:val="20"/>
          <w:color w:val="auto"/>
        </w:rPr>
      </w:pPr>
    </w:p>
    <w:p>
      <w:pPr>
        <w:ind w:right="260" w:firstLine="432"/>
        <w:spacing w:after="0" w:line="323" w:lineRule="auto"/>
        <w:rPr>
          <w:sz w:val="20"/>
          <w:szCs w:val="20"/>
          <w:color w:val="auto"/>
        </w:rPr>
      </w:pPr>
      <w:r>
        <w:rPr>
          <w:rFonts w:ascii="Arial" w:cs="Arial" w:eastAsia="Arial" w:hAnsi="Arial"/>
          <w:sz w:val="11"/>
          <w:szCs w:val="11"/>
          <w:color w:val="auto"/>
        </w:rPr>
        <w:t>We classify each fair value measurement at the appropriate level in the fair value hierarchy. The hierarchy gives the highest priority to unadjusted quoted market price in active markets for identical assets or liabilities (Level I measurements) and the lowest priority to unobservable inputs (Level III measurements). An asset’s or liability’s classification within the fair value hierarchy is based on the lowest level of significant input to its valuation.</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Level I – Quoted price in active markets for identical assets and liabilities.</w:t>
      </w:r>
    </w:p>
    <w:p>
      <w:pPr>
        <w:spacing w:after="0" w:line="150" w:lineRule="exact"/>
        <w:rPr>
          <w:sz w:val="20"/>
          <w:szCs w:val="20"/>
          <w:color w:val="auto"/>
        </w:rPr>
      </w:pPr>
    </w:p>
    <w:p>
      <w:pPr>
        <w:ind w:left="420" w:right="280"/>
        <w:spacing w:after="0" w:line="323" w:lineRule="auto"/>
        <w:rPr>
          <w:sz w:val="20"/>
          <w:szCs w:val="20"/>
          <w:color w:val="auto"/>
        </w:rPr>
      </w:pPr>
      <w:r>
        <w:rPr>
          <w:rFonts w:ascii="Arial" w:cs="Arial" w:eastAsia="Arial" w:hAnsi="Arial"/>
          <w:sz w:val="11"/>
          <w:szCs w:val="11"/>
          <w:color w:val="auto"/>
        </w:rPr>
        <w:t>Level II – Quoted prices in markets that are not active or inputs that are observable either directly or indirectly. Level II inputs include quoted prices for similar assets or liabilities other than quoted in prices in Level I, quoted prices in markets that are not active, or other inputs that are observable or can be derived principally from or corroborated by observable market data for substantially the full term of the assets or liabilities.</w:t>
      </w:r>
    </w:p>
    <w:p>
      <w:pPr>
        <w:spacing w:after="0" w:line="92" w:lineRule="exact"/>
        <w:rPr>
          <w:sz w:val="20"/>
          <w:szCs w:val="20"/>
          <w:color w:val="auto"/>
        </w:rPr>
      </w:pPr>
    </w:p>
    <w:p>
      <w:pPr>
        <w:ind w:left="420" w:right="100"/>
        <w:spacing w:after="0" w:line="263" w:lineRule="auto"/>
        <w:rPr>
          <w:sz w:val="20"/>
          <w:szCs w:val="20"/>
          <w:color w:val="auto"/>
        </w:rPr>
      </w:pPr>
      <w:r>
        <w:rPr>
          <w:rFonts w:ascii="Arial" w:cs="Arial" w:eastAsia="Arial" w:hAnsi="Arial"/>
          <w:sz w:val="12"/>
          <w:szCs w:val="12"/>
          <w:color w:val="auto"/>
        </w:rPr>
        <w:t>Level III – Unobservable inputs that are supported by little or no market activity and are significant to the fair value of the assets or liabilities. Unobservable inputs reflect the reporting entity’s own assumptions that market participants would use in pricing the asset or liability. Level III assets and liabilities include financial instruments whose values are determined using pricing models, discounted cash flow methodologies, or similar techniques, as well as instruments for which the determination of fair value requires significant management judgment or estimation.</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i w:val="1"/>
          <w:iCs w:val="1"/>
          <w:u w:val="single" w:color="auto"/>
          <w:color w:val="auto"/>
        </w:rPr>
        <w:t>Fair Value of Other Financial Instruments:</w:t>
      </w:r>
    </w:p>
    <w:p>
      <w:pPr>
        <w:spacing w:after="0" w:line="150" w:lineRule="exact"/>
        <w:rPr>
          <w:sz w:val="20"/>
          <w:szCs w:val="20"/>
          <w:color w:val="auto"/>
        </w:rPr>
      </w:pPr>
    </w:p>
    <w:p>
      <w:pPr>
        <w:jc w:val="both"/>
        <w:ind w:right="60" w:firstLine="432"/>
        <w:spacing w:after="0" w:line="263" w:lineRule="auto"/>
        <w:rPr>
          <w:sz w:val="20"/>
          <w:szCs w:val="20"/>
          <w:color w:val="auto"/>
        </w:rPr>
      </w:pPr>
      <w:r>
        <w:rPr>
          <w:rFonts w:ascii="Arial" w:cs="Arial" w:eastAsia="Arial" w:hAnsi="Arial"/>
          <w:sz w:val="12"/>
          <w:szCs w:val="12"/>
          <w:color w:val="auto"/>
        </w:rPr>
        <w:t>Our other financial instruments, aside from investments, are cash and cash equivalents, premiums and agents’ balances receivable, and accrued expenses and accounts payable. The carrying amounts for cash and cash equivalents, premiums and agents’ balances receivable, and accrued expenses and accounts payable approximate their fair value based on their short-term nature. Other invested assets that do not have observable inputs and little or no market activity are carried on a cost basis. The carrying value of these other invested assets was $1,954 at June 30, 2018 and $1,972 at December 31, 2017.</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i w:val="1"/>
          <w:iCs w:val="1"/>
          <w:u w:val="single" w:color="auto"/>
          <w:color w:val="auto"/>
        </w:rPr>
        <w:t>Reclassifications:</w:t>
      </w:r>
    </w:p>
    <w:p>
      <w:pPr>
        <w:spacing w:after="0" w:line="150" w:lineRule="exact"/>
        <w:rPr>
          <w:sz w:val="20"/>
          <w:szCs w:val="20"/>
          <w:color w:val="auto"/>
        </w:rPr>
      </w:pPr>
    </w:p>
    <w:p>
      <w:pPr>
        <w:ind w:right="60" w:firstLine="432"/>
        <w:spacing w:after="0" w:line="263" w:lineRule="auto"/>
        <w:rPr>
          <w:sz w:val="20"/>
          <w:szCs w:val="20"/>
          <w:color w:val="auto"/>
        </w:rPr>
      </w:pPr>
      <w:r>
        <w:rPr>
          <w:rFonts w:ascii="Arial" w:cs="Arial" w:eastAsia="Arial" w:hAnsi="Arial"/>
          <w:sz w:val="12"/>
          <w:szCs w:val="12"/>
          <w:color w:val="auto"/>
        </w:rPr>
        <w:t>Certain amounts in the 2017 consolidated financial statements have been reclassified to conform to the 2018 presentation. This includes a change in the Company’s reportable segments that was made in the fourth quarter of the year ended December 31, 2017. The prior segments were non-standard auto, crop, and other property and casualty. The new segments used throughout this report are private passenger auto, non-standard auto, home and farm, crop, and all other.</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i w:val="1"/>
          <w:iCs w:val="1"/>
          <w:u w:val="single" w:color="auto"/>
          <w:color w:val="auto"/>
        </w:rPr>
        <w:t>Revenue Recognition:</w:t>
      </w:r>
    </w:p>
    <w:p>
      <w:pPr>
        <w:spacing w:after="0" w:line="150" w:lineRule="exact"/>
        <w:rPr>
          <w:sz w:val="20"/>
          <w:szCs w:val="20"/>
          <w:color w:val="auto"/>
        </w:rPr>
      </w:pPr>
    </w:p>
    <w:p>
      <w:pPr>
        <w:jc w:val="both"/>
        <w:ind w:right="60" w:firstLine="432"/>
        <w:spacing w:after="0" w:line="263" w:lineRule="auto"/>
        <w:rPr>
          <w:sz w:val="20"/>
          <w:szCs w:val="20"/>
          <w:color w:val="auto"/>
        </w:rPr>
      </w:pPr>
      <w:r>
        <w:rPr>
          <w:rFonts w:ascii="Arial" w:cs="Arial" w:eastAsia="Arial" w:hAnsi="Arial"/>
          <w:sz w:val="12"/>
          <w:szCs w:val="12"/>
          <w:color w:val="auto"/>
        </w:rPr>
        <w:t>We record premiums written at policy inception and recognize them as revenue on a pro rata basis over the policy term or, in the case of crop insurance, over the period of risk. The portion of premiums that could be earned in the future is deferred and reported as unearned premiums. When policies lapse, the Company reverses the unearned portion of the written premium and removes the applicable unearned premium. Policy-related fee income is recognized when collected.</w:t>
      </w:r>
    </w:p>
    <w:p>
      <w:pPr>
        <w:spacing w:after="0" w:line="123" w:lineRule="exact"/>
        <w:rPr>
          <w:sz w:val="20"/>
          <w:szCs w:val="20"/>
          <w:color w:val="auto"/>
        </w:rPr>
      </w:pPr>
    </w:p>
    <w:p>
      <w:pPr>
        <w:ind w:right="260" w:firstLine="432"/>
        <w:spacing w:after="0" w:line="323" w:lineRule="auto"/>
        <w:rPr>
          <w:sz w:val="20"/>
          <w:szCs w:val="20"/>
          <w:color w:val="auto"/>
        </w:rPr>
      </w:pPr>
      <w:r>
        <w:rPr>
          <w:rFonts w:ascii="Arial" w:cs="Arial" w:eastAsia="Arial" w:hAnsi="Arial"/>
          <w:sz w:val="11"/>
          <w:szCs w:val="11"/>
          <w:color w:val="auto"/>
        </w:rPr>
        <w:t>The Company uses the direct write-off method for recognizing bad debts. Accounts are deemed to be delinquent after 60 days except for those accounts associated with amounts due from insureds for premiums, in which case policy cancellation procedures are commenced in accordance with state insurance regulations. Any earned but uncollected premiums are written off immediately upon the effective date of policy cancellation.</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2"/>
          <w:szCs w:val="12"/>
          <w:i w:val="1"/>
          <w:iCs w:val="1"/>
          <w:u w:val="single" w:color="auto"/>
          <w:color w:val="auto"/>
        </w:rPr>
        <w:t>Policy Acquisition Costs:</w:t>
      </w:r>
    </w:p>
    <w:p>
      <w:pPr>
        <w:spacing w:after="0" w:line="150" w:lineRule="exact"/>
        <w:rPr>
          <w:sz w:val="20"/>
          <w:szCs w:val="20"/>
          <w:color w:val="auto"/>
        </w:rPr>
      </w:pPr>
    </w:p>
    <w:p>
      <w:pPr>
        <w:ind w:right="140" w:firstLine="432"/>
        <w:spacing w:after="0" w:line="276" w:lineRule="auto"/>
        <w:rPr>
          <w:sz w:val="20"/>
          <w:szCs w:val="20"/>
          <w:color w:val="auto"/>
        </w:rPr>
      </w:pPr>
      <w:r>
        <w:rPr>
          <w:rFonts w:ascii="Arial" w:cs="Arial" w:eastAsia="Arial" w:hAnsi="Arial"/>
          <w:sz w:val="12"/>
          <w:szCs w:val="12"/>
          <w:color w:val="auto"/>
        </w:rPr>
        <w:t>We defer our policy acquisition costs, consisting primarily of commissions, premium taxes and certain other underwriting costs, reduced by ceding commissions, which vary with and relate directly to the production of business. We amortize these deferred</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2340" cy="17145"/>
                    </a:xfrm>
                    <a:prstGeom prst="rect">
                      <a:avLst/>
                    </a:prstGeom>
                    <a:noFill/>
                  </pic:spPr>
                </pic:pic>
              </a:graphicData>
            </a:graphic>
          </wp:anchor>
        </w:drawing>
      </w:r>
    </w:p>
    <w:p>
      <w:pPr>
        <w:sectPr>
          <w:pgSz w:w="11900" w:h="16838" w:orient="portrait"/>
          <w:cols w:equalWidth="0" w:num="1">
            <w:col w:w="11460"/>
          </w:cols>
          <w:pgMar w:left="220" w:top="197" w:right="21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NI Holdings, Inc.</w:t>
      </w:r>
    </w:p>
    <w:p>
      <w:pPr>
        <w:spacing w:after="0" w:line="5" w:lineRule="exact"/>
        <w:rPr>
          <w:sz w:val="20"/>
          <w:szCs w:val="20"/>
          <w:color w:val="auto"/>
        </w:rPr>
      </w:pPr>
    </w:p>
    <w:p>
      <w:pPr>
        <w:ind w:left="4340"/>
        <w:spacing w:after="0"/>
        <w:rPr>
          <w:sz w:val="20"/>
          <w:szCs w:val="20"/>
          <w:color w:val="auto"/>
        </w:rPr>
      </w:pPr>
      <w:r>
        <w:rPr>
          <w:rFonts w:ascii="Arial" w:cs="Arial" w:eastAsia="Arial" w:hAnsi="Arial"/>
          <w:sz w:val="12"/>
          <w:szCs w:val="12"/>
          <w:b w:val="1"/>
          <w:bCs w:val="1"/>
          <w:color w:val="auto"/>
        </w:rPr>
        <w:t>Notes to Unaudited Consolidated Financial Statements</w:t>
      </w:r>
    </w:p>
    <w:p>
      <w:pPr>
        <w:spacing w:after="0" w:line="6" w:lineRule="exact"/>
        <w:rPr>
          <w:sz w:val="20"/>
          <w:szCs w:val="20"/>
          <w:color w:val="auto"/>
        </w:rPr>
      </w:pPr>
    </w:p>
    <w:p>
      <w:pPr>
        <w:ind w:left="4260"/>
        <w:spacing w:after="0"/>
        <w:rPr>
          <w:sz w:val="20"/>
          <w:szCs w:val="20"/>
          <w:color w:val="auto"/>
        </w:rPr>
      </w:pPr>
      <w:r>
        <w:rPr>
          <w:rFonts w:ascii="Arial" w:cs="Arial" w:eastAsia="Arial" w:hAnsi="Arial"/>
          <w:sz w:val="12"/>
          <w:szCs w:val="12"/>
          <w:b w:val="1"/>
          <w:bCs w:val="1"/>
          <w:color w:val="auto"/>
        </w:rPr>
        <w:t>(dollar amounts in thousands, except per share amounts)</w:t>
      </w:r>
    </w:p>
    <w:p>
      <w:pPr>
        <w:spacing w:after="0" w:line="141"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policy acquisition costs over the period in which we earn the premiums. The method we follow in computing deferred policy acquisition costs limits the amount of such deferred costs to their estimated realizable value, which gives effect to the premium to be earned, related investment income, losses and loss adjustment expenses, and certain other costs we expect to incur as we earn the premium.</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i w:val="1"/>
          <w:iCs w:val="1"/>
          <w:u w:val="single" w:color="auto"/>
          <w:color w:val="auto"/>
        </w:rPr>
        <w:t>Property and Equipment: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report property and equipment at cost less accumulated depreciation. Depreciation is computed using the straight-line method based upon the estimated useful lives of the assets.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i w:val="1"/>
          <w:iCs w:val="1"/>
          <w:u w:val="single" w:color="auto"/>
          <w:color w:val="auto"/>
        </w:rPr>
        <w:t>Losses and Loss Adjustment Expenses:</w:t>
      </w:r>
    </w:p>
    <w:p>
      <w:pPr>
        <w:spacing w:after="0" w:line="150" w:lineRule="exact"/>
        <w:rPr>
          <w:sz w:val="20"/>
          <w:szCs w:val="20"/>
          <w:color w:val="auto"/>
        </w:rPr>
      </w:pPr>
    </w:p>
    <w:p>
      <w:pPr>
        <w:ind w:right="180" w:firstLine="432"/>
        <w:spacing w:after="0" w:line="257" w:lineRule="auto"/>
        <w:rPr>
          <w:sz w:val="20"/>
          <w:szCs w:val="20"/>
          <w:color w:val="auto"/>
        </w:rPr>
      </w:pPr>
      <w:r>
        <w:rPr>
          <w:rFonts w:ascii="Arial" w:cs="Arial" w:eastAsia="Arial" w:hAnsi="Arial"/>
          <w:sz w:val="12"/>
          <w:szCs w:val="12"/>
          <w:color w:val="auto"/>
        </w:rPr>
        <w:t>Liabilities for unpaid losses and loss adjustment expenses are estimates at a given point in time of the amounts we expect to pay with respect to policyholder claims based on facts and circumstances then known. At the time of establishing our estimates, we recognize that our ultimate liability for losses and loss adjustment expenses will exceed or be less than such estimates. We base our estimates of liabilities for unpaid losses and loss adjustment expenses on assumptions as to future loss trends, expected claims severity, judicial theories of liability, and other factors. During the loss adjustment period, we may learn additional facts regarding certain claims, and, consequently, it often becomes necessary for us to refine and adjust our estimates of the liability. We reflect any adjustments to our liabilities for unpaid losses and loss adjustment expenses in our operating results in the period in which we determine the need for a change in the estimates.</w:t>
      </w:r>
    </w:p>
    <w:p>
      <w:pPr>
        <w:spacing w:after="0" w:line="126" w:lineRule="exact"/>
        <w:rPr>
          <w:sz w:val="20"/>
          <w:szCs w:val="20"/>
          <w:color w:val="auto"/>
        </w:rPr>
      </w:pPr>
    </w:p>
    <w:p>
      <w:pPr>
        <w:ind w:right="40" w:firstLine="432"/>
        <w:spacing w:after="0" w:line="286" w:lineRule="auto"/>
        <w:rPr>
          <w:sz w:val="20"/>
          <w:szCs w:val="20"/>
          <w:color w:val="auto"/>
        </w:rPr>
      </w:pPr>
      <w:r>
        <w:rPr>
          <w:rFonts w:ascii="Arial" w:cs="Arial" w:eastAsia="Arial" w:hAnsi="Arial"/>
          <w:sz w:val="11"/>
          <w:szCs w:val="11"/>
          <w:color w:val="auto"/>
        </w:rPr>
        <w:t>We maintain liabilities for unpaid losses and loss adjustment expenses with respect to both reported and unreported claims. We establish these liabilities for the purpose of covering the ultimate costs of settling all losses, including investigation and litigation costs. We base the amount of our liability for reported losses primarily upon a case-by-case evaluation of the type of risk involved, knowledge of the circumstances surrounding each claim, and the insurance policy provisions relating to the type of loss our policyholder incurred. We determine the amount of our liability for unreported losses and loss adjustment expenses on the basis of historical information by line of insurance. Inflation is not explicitly selected in the loss reserve analysis. However, historical inflation is embedded in the estimated loss reserving function through analysis of costs and trends and reviews of historical reserving results. We closely monitor our liabilities and update them periodically using new information on reported claims and a variety of statistical techniques. We do not discount our liabilities for unpaid losses and loss adjustment expense.</w:t>
      </w:r>
    </w:p>
    <w:p>
      <w:pPr>
        <w:spacing w:after="0" w:line="111" w:lineRule="exact"/>
        <w:rPr>
          <w:sz w:val="20"/>
          <w:szCs w:val="20"/>
          <w:color w:val="auto"/>
        </w:rPr>
      </w:pPr>
    </w:p>
    <w:p>
      <w:pPr>
        <w:ind w:right="20" w:firstLine="432"/>
        <w:spacing w:after="0" w:line="255" w:lineRule="auto"/>
        <w:rPr>
          <w:sz w:val="20"/>
          <w:szCs w:val="20"/>
          <w:color w:val="auto"/>
        </w:rPr>
      </w:pPr>
      <w:r>
        <w:rPr>
          <w:rFonts w:ascii="Arial" w:cs="Arial" w:eastAsia="Arial" w:hAnsi="Arial"/>
          <w:sz w:val="12"/>
          <w:szCs w:val="12"/>
          <w:color w:val="auto"/>
        </w:rPr>
        <w:t>Reserve estimates can change over time because of unexpected changes in assumptions related to our external environment and, to a lesser extent, assumptions as to our internal operations. Assumptions related to our external environment include the absence of significant changes in tort law and the legal environment which may impact liability exposure, the trends in judicial interpretations of insurance coverage and policy provisions, and the rate of loss cost inflation. Internal assumptions include consistency in the recording of premium and loss statistics, consistency in the recording of claims, payment and case reserving methodologies, accurate measurement of the impact of rate changes and changes in policy provisions, consistency in the quality and characteristics of business written within a given line of business, and consistency in reinsurance coverage and collectability of reinsured losses, among other items. To the extent we determine that underlying factors impacting our assumptions have changed, we attempt to make appropriate adjustments for such changes in our reserves. Accordingly, our ultimate liability for unpaid losses and loss adjustment expenses will likely differ from the amount recorded.</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2"/>
          <w:szCs w:val="12"/>
          <w:i w:val="1"/>
          <w:iCs w:val="1"/>
          <w:u w:val="single" w:color="auto"/>
          <w:color w:val="auto"/>
        </w:rPr>
        <w:t>Income Taxes:</w:t>
      </w:r>
    </w:p>
    <w:p>
      <w:pPr>
        <w:spacing w:after="0" w:line="150" w:lineRule="exact"/>
        <w:rPr>
          <w:sz w:val="20"/>
          <w:szCs w:val="20"/>
          <w:color w:val="auto"/>
        </w:rPr>
      </w:pPr>
    </w:p>
    <w:p>
      <w:pPr>
        <w:ind w:right="40" w:firstLine="432"/>
        <w:spacing w:after="0" w:line="263" w:lineRule="auto"/>
        <w:rPr>
          <w:sz w:val="20"/>
          <w:szCs w:val="20"/>
          <w:color w:val="auto"/>
        </w:rPr>
      </w:pPr>
      <w:r>
        <w:rPr>
          <w:rFonts w:ascii="Arial" w:cs="Arial" w:eastAsia="Arial" w:hAnsi="Arial"/>
          <w:sz w:val="12"/>
          <w:szCs w:val="12"/>
          <w:color w:val="auto"/>
        </w:rPr>
        <w:t>With the exception of Battle Creek, which files a stand-alone federal income tax return, we currently file a consolidated federal income tax return. For the year ended December 31, 2016, the consolidated federal income tax return included Nodak Mutual Insurance Company and its wholly-owned subsidiaries. For the year ended December 31, 2017 and thereafter, the consolidated federal income tax return included and will include thereafter NI Holdings and its wholly-owned subsidiaries.</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Company reports tax-related interest and penalties, if any, as part of income tax expense in the year such amounts are determinable.</w:t>
      </w:r>
    </w:p>
    <w:p>
      <w:pPr>
        <w:spacing w:after="0" w:line="150" w:lineRule="exact"/>
        <w:rPr>
          <w:sz w:val="20"/>
          <w:szCs w:val="20"/>
          <w:color w:val="auto"/>
        </w:rPr>
      </w:pPr>
    </w:p>
    <w:p>
      <w:pPr>
        <w:ind w:right="60" w:firstLine="432"/>
        <w:spacing w:after="0" w:line="276" w:lineRule="auto"/>
        <w:rPr>
          <w:sz w:val="20"/>
          <w:szCs w:val="20"/>
          <w:color w:val="auto"/>
        </w:rPr>
      </w:pPr>
      <w:r>
        <w:rPr>
          <w:rFonts w:ascii="Arial" w:cs="Arial" w:eastAsia="Arial" w:hAnsi="Arial"/>
          <w:sz w:val="12"/>
          <w:szCs w:val="12"/>
          <w:color w:val="auto"/>
        </w:rPr>
        <w:t>We account for deferred income taxes using the asset and liability method. The objective of the asset and liability method is to establish deferred income tax assets and liabilities for the temporary differences between the financial reporting basis and the income tax basis of our assets and liabilities at enacted tax rates expected to be in effect when we realize or settle such amounts.</w:t>
      </w:r>
    </w:p>
    <w:p>
      <w:pPr>
        <w:spacing w:after="0" w:line="115"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Accounting guidance requires that companies re-measure existing deferred income tax assets (including loss carryforwards) and liabilities when a change in tax rate occurs, and record an offset for the net amount of the change as a component of income tax</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2340" cy="17145"/>
                    </a:xfrm>
                    <a:prstGeom prst="rect">
                      <a:avLst/>
                    </a:prstGeom>
                    <a:noFill/>
                  </pic:spPr>
                </pic:pic>
              </a:graphicData>
            </a:graphic>
          </wp:anchor>
        </w:drawing>
      </w:r>
    </w:p>
    <w:p>
      <w:pPr>
        <w:sectPr>
          <w:pgSz w:w="11900" w:h="16838" w:orient="portrait"/>
          <w:cols w:equalWidth="0" w:num="1">
            <w:col w:w="11460"/>
          </w:cols>
          <w:pgMar w:left="220" w:top="197" w:right="21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NI Holdings, Inc.</w:t>
      </w:r>
    </w:p>
    <w:p>
      <w:pPr>
        <w:spacing w:after="0" w:line="5" w:lineRule="exact"/>
        <w:rPr>
          <w:sz w:val="20"/>
          <w:szCs w:val="20"/>
          <w:color w:val="auto"/>
        </w:rPr>
      </w:pPr>
    </w:p>
    <w:p>
      <w:pPr>
        <w:ind w:left="4340"/>
        <w:spacing w:after="0"/>
        <w:rPr>
          <w:sz w:val="20"/>
          <w:szCs w:val="20"/>
          <w:color w:val="auto"/>
        </w:rPr>
      </w:pPr>
      <w:r>
        <w:rPr>
          <w:rFonts w:ascii="Arial" w:cs="Arial" w:eastAsia="Arial" w:hAnsi="Arial"/>
          <w:sz w:val="12"/>
          <w:szCs w:val="12"/>
          <w:b w:val="1"/>
          <w:bCs w:val="1"/>
          <w:color w:val="auto"/>
        </w:rPr>
        <w:t>Notes to Unaudited Consolidated Financial Statements</w:t>
      </w:r>
    </w:p>
    <w:p>
      <w:pPr>
        <w:spacing w:after="0" w:line="6" w:lineRule="exact"/>
        <w:rPr>
          <w:sz w:val="20"/>
          <w:szCs w:val="20"/>
          <w:color w:val="auto"/>
        </w:rPr>
      </w:pPr>
    </w:p>
    <w:p>
      <w:pPr>
        <w:ind w:left="4260"/>
        <w:spacing w:after="0"/>
        <w:rPr>
          <w:sz w:val="20"/>
          <w:szCs w:val="20"/>
          <w:color w:val="auto"/>
        </w:rPr>
      </w:pPr>
      <w:r>
        <w:rPr>
          <w:rFonts w:ascii="Arial" w:cs="Arial" w:eastAsia="Arial" w:hAnsi="Arial"/>
          <w:sz w:val="12"/>
          <w:szCs w:val="12"/>
          <w:b w:val="1"/>
          <w:bCs w:val="1"/>
          <w:color w:val="auto"/>
        </w:rPr>
        <w:t>(dollar amounts in thousands, except per share amounts)</w:t>
      </w:r>
    </w:p>
    <w:p>
      <w:pPr>
        <w:spacing w:after="0" w:line="141"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expense from continuing operations in the period of enactment. The guidance also requires any change to a previously recorded valuation allowance as a result of re-measuring existing temporary differences and loss carryforwards to be reflected as a component of income tax expense from continuing operations.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Company has elected to reclassify any tax effects stranded in accumulated other comprehensive income as a result of a change in income tax rates to retained earnings.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i w:val="1"/>
          <w:iCs w:val="1"/>
          <w:u w:val="single" w:color="auto"/>
          <w:color w:val="auto"/>
        </w:rPr>
        <w:t>Credit Risk:</w:t>
      </w:r>
    </w:p>
    <w:p>
      <w:pPr>
        <w:spacing w:after="0" w:line="150"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color w:val="auto"/>
        </w:rPr>
        <w:t>Our primary investment objective is to earn competitive returns by investing in a diversified portfolio of securities. Our portfolio of fixed income securities and, to a lesser extent, short-term investments, is subject to credit risk. We define this risk as the potential loss in fair value resulting from adverse changes in the borrower’s ability to repay the debt. We manage this risk by performing an analysis of prospective investments and through regular reviews of our portfolio by our investment staff and advisors. We also limit the amount of our total investment portfolio that we invest in any one security.</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1"/>
          <w:szCs w:val="11"/>
          <w:color w:val="auto"/>
        </w:rPr>
        <w:t>Property and liability insurance coverages are marketed through captive agents in North Dakota and through independent insurance agencies located throughout all operating areas. All business is billed directly to policyholders.</w:t>
      </w:r>
    </w:p>
    <w:p>
      <w:pPr>
        <w:spacing w:after="0" w:line="162" w:lineRule="exact"/>
        <w:rPr>
          <w:sz w:val="20"/>
          <w:szCs w:val="20"/>
          <w:color w:val="auto"/>
        </w:rPr>
      </w:pPr>
    </w:p>
    <w:p>
      <w:pPr>
        <w:jc w:val="both"/>
        <w:ind w:right="140" w:firstLine="432"/>
        <w:spacing w:after="0" w:line="263" w:lineRule="auto"/>
        <w:rPr>
          <w:sz w:val="20"/>
          <w:szCs w:val="20"/>
          <w:color w:val="auto"/>
        </w:rPr>
      </w:pPr>
      <w:r>
        <w:rPr>
          <w:rFonts w:ascii="Arial" w:cs="Arial" w:eastAsia="Arial" w:hAnsi="Arial"/>
          <w:sz w:val="12"/>
          <w:szCs w:val="12"/>
          <w:color w:val="auto"/>
        </w:rPr>
        <w:t>We maintain cash balances primarily at one bank, which are insured by the Federal Deposit Insurance Corporation (“FDIC”) up to $250. During the normal course of business, balances are maintained above the FDIC insurance limit. The Company maintains short-term investment balances in investment grade money market accounts that are insured by the Securities Investor Protection Corporation (“SIPC”) up to $500. On occasion, balances for these accounts are maintained in excess of the SIPC insurance limit.</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i w:val="1"/>
          <w:iCs w:val="1"/>
          <w:u w:val="single" w:color="auto"/>
          <w:color w:val="auto"/>
        </w:rPr>
        <w:t>Reinsurance:</w:t>
      </w:r>
    </w:p>
    <w:p>
      <w:pPr>
        <w:spacing w:after="0" w:line="150" w:lineRule="exact"/>
        <w:rPr>
          <w:sz w:val="20"/>
          <w:szCs w:val="20"/>
          <w:color w:val="auto"/>
        </w:rPr>
      </w:pPr>
    </w:p>
    <w:p>
      <w:pPr>
        <w:ind w:right="200" w:firstLine="432"/>
        <w:spacing w:after="0" w:line="276" w:lineRule="auto"/>
        <w:rPr>
          <w:sz w:val="20"/>
          <w:szCs w:val="20"/>
          <w:color w:val="auto"/>
        </w:rPr>
      </w:pPr>
      <w:r>
        <w:rPr>
          <w:rFonts w:ascii="Arial" w:cs="Arial" w:eastAsia="Arial" w:hAnsi="Arial"/>
          <w:sz w:val="12"/>
          <w:szCs w:val="12"/>
          <w:color w:val="auto"/>
        </w:rPr>
        <w:t>The Company limits the maximum net loss that can arise from large risks or risks in concentrated areas of exposure by reinsuring (ceding) certain levels of risks to other insurers or reinsurers, either on an automatic basis under general reinsurance contracts knows as “treaties” or by negotiation on substantial individual risks. Ceded reinsurance is treated as the risk and liability of the assuming companies.</w:t>
      </w:r>
    </w:p>
    <w:p>
      <w:pPr>
        <w:spacing w:after="0" w:line="115" w:lineRule="exact"/>
        <w:rPr>
          <w:sz w:val="20"/>
          <w:szCs w:val="20"/>
          <w:color w:val="auto"/>
        </w:rPr>
      </w:pPr>
    </w:p>
    <w:p>
      <w:pPr>
        <w:ind w:right="80" w:firstLine="432"/>
        <w:spacing w:after="0" w:line="276" w:lineRule="auto"/>
        <w:rPr>
          <w:sz w:val="20"/>
          <w:szCs w:val="20"/>
          <w:color w:val="auto"/>
        </w:rPr>
      </w:pPr>
      <w:r>
        <w:rPr>
          <w:rFonts w:ascii="Arial" w:cs="Arial" w:eastAsia="Arial" w:hAnsi="Arial"/>
          <w:sz w:val="12"/>
          <w:szCs w:val="12"/>
          <w:color w:val="auto"/>
        </w:rPr>
        <w:t>Reinsurance contracts do not relieve the Company from its obligations to policyholders. In the event that all or any of the reinsuring companies might be unable to meet their obligations under existing reinsurance agreements, the Company would be liable for such defaulted amounts.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i w:val="1"/>
          <w:iCs w:val="1"/>
          <w:u w:val="single" w:color="auto"/>
          <w:color w:val="auto"/>
        </w:rPr>
        <w:t>Goodwill and Other Intangible Assets:</w:t>
      </w:r>
    </w:p>
    <w:p>
      <w:pPr>
        <w:spacing w:after="0" w:line="150"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Goodwill represents the excess of the purchase price over the underlying fair value of acquired entities. When completing acquisitions, we seek also to identify separately identifiable intangible assets that we have acquired. We assess goodwill and intangible assets with an indefinite useful life for impairment annually. We also assess goodwill and other intangible assets for impairment upon the occurrence of certain events. In making our assessment, we consider a number of factors including operating results, business plans, economic projections, anticipated future cash flows, and current market data. Inherent uncertainties exist with respect to these factors and to our judgment in applying them when we make our assessment. Impairment of goodwill and other intangible assets could result from changes in economic and operating conditions in future periods. We did not record any impairments of goodwill or other intangible assets during the three and six month periods ended June 30, 2018 and 2017.</w:t>
      </w:r>
    </w:p>
    <w:p>
      <w:pPr>
        <w:spacing w:after="0" w:line="126" w:lineRule="exact"/>
        <w:rPr>
          <w:sz w:val="20"/>
          <w:szCs w:val="20"/>
          <w:color w:val="auto"/>
        </w:rPr>
      </w:pPr>
    </w:p>
    <w:p>
      <w:pPr>
        <w:ind w:right="40" w:firstLine="432"/>
        <w:spacing w:after="0" w:line="290" w:lineRule="auto"/>
        <w:rPr>
          <w:sz w:val="20"/>
          <w:szCs w:val="20"/>
          <w:color w:val="auto"/>
        </w:rPr>
      </w:pPr>
      <w:r>
        <w:rPr>
          <w:rFonts w:ascii="Arial" w:cs="Arial" w:eastAsia="Arial" w:hAnsi="Arial"/>
          <w:sz w:val="11"/>
          <w:szCs w:val="11"/>
          <w:color w:val="auto"/>
        </w:rPr>
        <w:t>Goodwill arising from the acquisition of Primero in 2014 represents the excess of the purchase price over the fair value of the net assets acquired, and is reported separately in the Consolidated Balance Sheet. The purchase price in excess of the fair value of net assets acquired was negotiated at arms-length with an unrelated party and was based upon the strategic decision by Company management to expand both the geographic footprint and product lines of the Company. The nature of the business acquired was such that there were limited intangible assets not reflected in the net assets acquired. The purchase price was paid with a combination of cash and cancellation of obligations owed to the acquired company by the sellers. The goodwill which arose from this transaction is included in the basis of the net assets acquired and is not deductible for income tax purposes.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2340" cy="1714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bookmarkStart w:id="14" w:name="page15"/>
    <w:bookmarkEnd w:id="14"/>
    <w:p>
      <w:pPr>
        <w:ind w:left="8"/>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7" w:lineRule="exact"/>
        <w:rPr>
          <w:sz w:val="20"/>
          <w:szCs w:val="20"/>
          <w:color w:val="auto"/>
        </w:rPr>
      </w:pPr>
    </w:p>
    <w:p>
      <w:pPr>
        <w:jc w:val="center"/>
        <w:ind w:right="-27"/>
        <w:spacing w:after="0"/>
        <w:rPr>
          <w:sz w:val="20"/>
          <w:szCs w:val="20"/>
          <w:color w:val="auto"/>
        </w:rPr>
      </w:pPr>
      <w:r>
        <w:rPr>
          <w:rFonts w:ascii="Arial" w:cs="Arial" w:eastAsia="Arial" w:hAnsi="Arial"/>
          <w:sz w:val="12"/>
          <w:szCs w:val="12"/>
          <w:b w:val="1"/>
          <w:bCs w:val="1"/>
          <w:color w:val="auto"/>
        </w:rPr>
        <w:t>NI Holdings, Inc.</w:t>
      </w:r>
    </w:p>
    <w:p>
      <w:pPr>
        <w:spacing w:after="0" w:line="5" w:lineRule="exact"/>
        <w:rPr>
          <w:sz w:val="20"/>
          <w:szCs w:val="20"/>
          <w:color w:val="auto"/>
        </w:rPr>
      </w:pPr>
    </w:p>
    <w:p>
      <w:pPr>
        <w:ind w:left="4348"/>
        <w:spacing w:after="0"/>
        <w:rPr>
          <w:sz w:val="20"/>
          <w:szCs w:val="20"/>
          <w:color w:val="auto"/>
        </w:rPr>
      </w:pPr>
      <w:r>
        <w:rPr>
          <w:rFonts w:ascii="Arial" w:cs="Arial" w:eastAsia="Arial" w:hAnsi="Arial"/>
          <w:sz w:val="12"/>
          <w:szCs w:val="12"/>
          <w:b w:val="1"/>
          <w:bCs w:val="1"/>
          <w:color w:val="auto"/>
        </w:rPr>
        <w:t>Notes to Unaudited Consolidated Financial Statements</w:t>
      </w:r>
    </w:p>
    <w:p>
      <w:pPr>
        <w:spacing w:after="0" w:line="6" w:lineRule="exact"/>
        <w:rPr>
          <w:sz w:val="20"/>
          <w:szCs w:val="20"/>
          <w:color w:val="auto"/>
        </w:rPr>
      </w:pPr>
    </w:p>
    <w:p>
      <w:pPr>
        <w:ind w:left="4268"/>
        <w:spacing w:after="0"/>
        <w:rPr>
          <w:sz w:val="20"/>
          <w:szCs w:val="20"/>
          <w:color w:val="auto"/>
        </w:rPr>
      </w:pPr>
      <w:r>
        <w:rPr>
          <w:rFonts w:ascii="Arial" w:cs="Arial" w:eastAsia="Arial" w:hAnsi="Arial"/>
          <w:sz w:val="12"/>
          <w:szCs w:val="12"/>
          <w:b w:val="1"/>
          <w:bCs w:val="1"/>
          <w:color w:val="auto"/>
        </w:rPr>
        <w:t>(dollar amounts in thousands, except per share amounts)</w:t>
      </w:r>
    </w:p>
    <w:p>
      <w:pPr>
        <w:spacing w:after="0" w:line="281" w:lineRule="exact"/>
        <w:rPr>
          <w:sz w:val="20"/>
          <w:szCs w:val="20"/>
          <w:color w:val="auto"/>
        </w:rPr>
      </w:pPr>
    </w:p>
    <w:p>
      <w:pPr>
        <w:ind w:left="428" w:hanging="428"/>
        <w:spacing w:after="0"/>
        <w:tabs>
          <w:tab w:leader="none" w:pos="428" w:val="left"/>
        </w:tabs>
        <w:numPr>
          <w:ilvl w:val="0"/>
          <w:numId w:val="10"/>
        </w:numPr>
        <w:rPr>
          <w:rFonts w:ascii="Arial" w:cs="Arial" w:eastAsia="Arial" w:hAnsi="Arial"/>
          <w:sz w:val="12"/>
          <w:szCs w:val="12"/>
          <w:b w:val="1"/>
          <w:bCs w:val="1"/>
          <w:color w:val="auto"/>
        </w:rPr>
      </w:pPr>
      <w:r>
        <w:rPr>
          <w:rFonts w:ascii="Arial" w:cs="Arial" w:eastAsia="Arial" w:hAnsi="Arial"/>
          <w:sz w:val="12"/>
          <w:szCs w:val="12"/>
          <w:b w:val="1"/>
          <w:bCs w:val="1"/>
          <w:color w:val="auto"/>
        </w:rPr>
        <w:t>Acquisition of Direct Auto Insurance Company</w:t>
      </w:r>
    </w:p>
    <w:p>
      <w:pPr>
        <w:spacing w:after="0" w:line="154" w:lineRule="exact"/>
        <w:rPr>
          <w:sz w:val="20"/>
          <w:szCs w:val="20"/>
          <w:color w:val="auto"/>
        </w:rPr>
      </w:pPr>
    </w:p>
    <w:p>
      <w:pPr>
        <w:ind w:left="8" w:right="520" w:firstLine="432"/>
        <w:spacing w:after="0" w:line="380" w:lineRule="auto"/>
        <w:rPr>
          <w:sz w:val="20"/>
          <w:szCs w:val="20"/>
          <w:color w:val="auto"/>
        </w:rPr>
      </w:pPr>
      <w:r>
        <w:rPr>
          <w:rFonts w:ascii="Arial" w:cs="Arial" w:eastAsia="Arial" w:hAnsi="Arial"/>
          <w:sz w:val="10"/>
          <w:szCs w:val="10"/>
          <w:color w:val="auto"/>
        </w:rPr>
        <w:t>On May 31, 2018, the Company entered into an agreement to acquire 100% of the stock of Direct Auto Insurance Company (“Direct Auto”) from private shareholders. The agreement contains customary representations, warranties, and covenants by the Company and the other parties to the agreement. Closing of the transaction is expected later this year, subject to the receipt of regulatory approvals and other customary closing conditions.</w:t>
      </w:r>
    </w:p>
    <w:p>
      <w:pPr>
        <w:spacing w:after="0" w:line="68" w:lineRule="exact"/>
        <w:rPr>
          <w:sz w:val="20"/>
          <w:szCs w:val="20"/>
          <w:color w:val="auto"/>
        </w:rPr>
      </w:pPr>
    </w:p>
    <w:p>
      <w:pPr>
        <w:ind w:left="8" w:right="360" w:firstLine="432"/>
        <w:spacing w:after="0" w:line="276" w:lineRule="auto"/>
        <w:rPr>
          <w:sz w:val="20"/>
          <w:szCs w:val="20"/>
          <w:color w:val="auto"/>
        </w:rPr>
      </w:pPr>
      <w:r>
        <w:rPr>
          <w:rFonts w:ascii="Arial" w:cs="Arial" w:eastAsia="Arial" w:hAnsi="Arial"/>
          <w:sz w:val="12"/>
          <w:szCs w:val="12"/>
          <w:color w:val="auto"/>
        </w:rPr>
        <w:t>Direct Auto is headquartered in Chicago, Illinois and underwrites specialty automobile insurance in the state of Illinois through independent agents. Following the completion of the transaction, it is expected that the current president (who is also one of the principal shareholders) of Direct Auto will continue to manage the Direct Auto insurance operations along with the current staff and management team.</w:t>
      </w:r>
    </w:p>
    <w:p>
      <w:pPr>
        <w:spacing w:after="0" w:line="11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It is expected that Direct Auto will become part of the Company’s non-standard auto business segment as of the closing date.</w:t>
      </w:r>
    </w:p>
    <w:p>
      <w:pPr>
        <w:spacing w:after="0" w:line="150" w:lineRule="exact"/>
        <w:rPr>
          <w:sz w:val="20"/>
          <w:szCs w:val="20"/>
          <w:color w:val="auto"/>
        </w:rPr>
      </w:pPr>
    </w:p>
    <w:p>
      <w:pPr>
        <w:ind w:left="8" w:right="40" w:firstLine="432"/>
        <w:spacing w:after="0" w:line="259" w:lineRule="auto"/>
        <w:rPr>
          <w:sz w:val="20"/>
          <w:szCs w:val="20"/>
          <w:color w:val="auto"/>
        </w:rPr>
      </w:pPr>
      <w:r>
        <w:rPr>
          <w:rFonts w:ascii="Arial" w:cs="Arial" w:eastAsia="Arial" w:hAnsi="Arial"/>
          <w:sz w:val="12"/>
          <w:szCs w:val="12"/>
          <w:color w:val="auto"/>
        </w:rPr>
        <w:t>We account for business acquisitions in accordance with the acquisition method of accounting, which requires, among other things, that most assets acquired, liabilities assumed, and contingent consideration be recognized at their fair values as of the acquisition date, which is expected to be the closing date for the Direct Auto transaction. During the measurement period, adjustments to provisional purchase price allocations are recognized if new information is obtained about the facts and circumstances that existed as of the acquisition date that, if known, would have resulted in the recognition of those assets and liabilities as of that date. The measurement period ends as soon as it is determined that no more information is obtainable, but in no case shall the measurement period exceed one year from the acquisition date.</w:t>
      </w:r>
    </w:p>
    <w:p>
      <w:pPr>
        <w:spacing w:after="0" w:line="121" w:lineRule="exact"/>
        <w:rPr>
          <w:sz w:val="20"/>
          <w:szCs w:val="20"/>
          <w:color w:val="auto"/>
        </w:rPr>
      </w:pPr>
    </w:p>
    <w:p>
      <w:pPr>
        <w:ind w:left="428" w:hanging="428"/>
        <w:spacing w:after="0"/>
        <w:tabs>
          <w:tab w:leader="none" w:pos="428" w:val="left"/>
        </w:tabs>
        <w:numPr>
          <w:ilvl w:val="0"/>
          <w:numId w:val="11"/>
        </w:numPr>
        <w:rPr>
          <w:rFonts w:ascii="Arial" w:cs="Arial" w:eastAsia="Arial" w:hAnsi="Arial"/>
          <w:sz w:val="12"/>
          <w:szCs w:val="12"/>
          <w:b w:val="1"/>
          <w:bCs w:val="1"/>
          <w:color w:val="auto"/>
        </w:rPr>
      </w:pPr>
      <w:r>
        <w:rPr>
          <w:rFonts w:ascii="Arial" w:cs="Arial" w:eastAsia="Arial" w:hAnsi="Arial"/>
          <w:sz w:val="12"/>
          <w:szCs w:val="12"/>
          <w:b w:val="1"/>
          <w:bCs w:val="1"/>
          <w:color w:val="auto"/>
        </w:rPr>
        <w:t>Recent Accounting Pronouncements</w:t>
      </w:r>
    </w:p>
    <w:p>
      <w:pPr>
        <w:spacing w:after="0" w:line="154" w:lineRule="exact"/>
        <w:rPr>
          <w:sz w:val="20"/>
          <w:szCs w:val="20"/>
          <w:color w:val="auto"/>
        </w:rPr>
      </w:pPr>
    </w:p>
    <w:p>
      <w:pPr>
        <w:ind w:left="8" w:right="460" w:firstLine="432"/>
        <w:spacing w:after="0" w:line="276" w:lineRule="auto"/>
        <w:rPr>
          <w:sz w:val="20"/>
          <w:szCs w:val="20"/>
          <w:color w:val="auto"/>
        </w:rPr>
      </w:pPr>
      <w:r>
        <w:rPr>
          <w:rFonts w:ascii="Arial" w:cs="Arial" w:eastAsia="Arial" w:hAnsi="Arial"/>
          <w:sz w:val="12"/>
          <w:szCs w:val="12"/>
          <w:color w:val="auto"/>
        </w:rPr>
        <w:t>As an emerging growth company, we have elected to use the extended transition period for complying with any new or revised financial accounting standards pursuant to Section 13(a) of the Exchange Act. The following discussion includes effective dates for both public business entities and emerging growth companies, as well as whether specific guidance may be adopted early.</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Adopted</w:t>
      </w:r>
    </w:p>
    <w:p>
      <w:pPr>
        <w:spacing w:after="0" w:line="150" w:lineRule="exact"/>
        <w:rPr>
          <w:sz w:val="20"/>
          <w:szCs w:val="20"/>
          <w:color w:val="auto"/>
        </w:rPr>
      </w:pPr>
    </w:p>
    <w:p>
      <w:pPr>
        <w:ind w:left="8" w:right="60" w:firstLine="432"/>
        <w:spacing w:after="0" w:line="283" w:lineRule="auto"/>
        <w:rPr>
          <w:sz w:val="20"/>
          <w:szCs w:val="20"/>
          <w:color w:val="auto"/>
        </w:rPr>
      </w:pPr>
      <w:r>
        <w:rPr>
          <w:rFonts w:ascii="Arial" w:cs="Arial" w:eastAsia="Arial" w:hAnsi="Arial"/>
          <w:sz w:val="11"/>
          <w:szCs w:val="11"/>
          <w:color w:val="auto"/>
        </w:rPr>
        <w:t>On July 1, 2017, the Company early adopted amended guidance from the Financial Accounting Standards Board (the “FASB”) on goodwill impairment testing. Under the amended guidance, the optional qualitative assessment (Step 0) and the first step of the quantitative assessment (Step 1) remain unchanged. Step 2 is eliminated. As a result, for annual impairment testing or in the event a test is required prior to the annual test, the Company will use Step 0 to determine if an impairment might exist and Step 1 to determine the amount of goodwill impairment. An impairment loss will be recognized for the amount by which the reporting unit’s carrying amount exceeds its fair value, not to exceed the carrying amount of goodwill in the reporting unit. This guidance is effective for annual and interim reporting periods beginning after December 15, 2019 for public business entities. For private companies and emerging growth companies, this guidance is also effective for annual and interim reporting periods beginning after December 15, 2021. Early adoption is permitted for all entities beginning in 2017. The Company early adopted this guidance on a prospective basis as a change in accounting principle, therefore at the date of adoption there was no impact to the Company’s financial position or results of operations.</w:t>
      </w:r>
    </w:p>
    <w:p>
      <w:pPr>
        <w:spacing w:after="0" w:line="114" w:lineRule="exact"/>
        <w:rPr>
          <w:sz w:val="20"/>
          <w:szCs w:val="20"/>
          <w:color w:val="auto"/>
        </w:rPr>
      </w:pPr>
    </w:p>
    <w:p>
      <w:pPr>
        <w:ind w:left="8" w:firstLine="432"/>
        <w:spacing w:after="0" w:line="280" w:lineRule="auto"/>
        <w:rPr>
          <w:sz w:val="20"/>
          <w:szCs w:val="20"/>
          <w:color w:val="auto"/>
        </w:rPr>
      </w:pPr>
      <w:r>
        <w:rPr>
          <w:rFonts w:ascii="Arial" w:cs="Arial" w:eastAsia="Arial" w:hAnsi="Arial"/>
          <w:sz w:val="11"/>
          <w:szCs w:val="11"/>
          <w:color w:val="auto"/>
        </w:rPr>
        <w:t>In March 2016, the FASB issued amended guidance to simplify several aspects of the accounting for share-based payment transactions, including the income tax consequences, classification of awards as either equity or liabilities, and classification on the Consolidated Statement of Cash Flows. All excess income tax benefits and income tax deficiencies should be recognized as income tax expense or benefit in the Consolidated Statement of Operations, instead of affecting additional paid-in-capital on the Consolidated Balance Sheet. These discrete income tax items should be classified along with other income tax cash flows as an operating activity on the Consolidated Statement of Cash Flows. In addition, cash paid by an employer when directly withholding shares for tax-withholding purposes should be classified as a financing activity. This guidance is effective for annual periods beginning after December 15, 2016 for public business entities. For private companies and emerging growth companies, this guidance is effective for annual periods beginning after December 15, 2017, and interim periods within annual periods beginning after December 15, 2018. Early adoption is permitted for all entities in any period. An entity that elects early adoption must adopt all amendments in the same period. Amendments requiring recognition of excess income tax benefits and income tax deficiencies in the Consolidated Statement of Operations should be applied prospectively. The Company early adopted this guidance on a prospective basis for the year ended December 31, 2017. At the date of adoption, there was an immaterial impact to the computation of diluted earnings per share, but no impact to the Company’s financial position or results of operations.</w:t>
      </w:r>
    </w:p>
    <w:p>
      <w:pPr>
        <w:spacing w:after="0" w:line="116" w:lineRule="exact"/>
        <w:rPr>
          <w:sz w:val="20"/>
          <w:szCs w:val="20"/>
          <w:color w:val="auto"/>
        </w:rPr>
      </w:pPr>
    </w:p>
    <w:p>
      <w:pPr>
        <w:jc w:val="center"/>
        <w:ind w:right="-47"/>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9234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2340" cy="17145"/>
                    </a:xfrm>
                    <a:prstGeom prst="rect">
                      <a:avLst/>
                    </a:prstGeom>
                    <a:noFill/>
                  </pic:spPr>
                </pic:pic>
              </a:graphicData>
            </a:graphic>
          </wp:anchor>
        </w:drawing>
      </w:r>
    </w:p>
    <w:p>
      <w:pPr>
        <w:sectPr>
          <w:pgSz w:w="11900" w:h="16838" w:orient="portrait"/>
          <w:cols w:equalWidth="0" w:num="1">
            <w:col w:w="11468"/>
          </w:cols>
          <w:pgMar w:left="212" w:top="197" w:right="21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NI Holdings, Inc.</w:t>
      </w:r>
    </w:p>
    <w:p>
      <w:pPr>
        <w:spacing w:after="0" w:line="5" w:lineRule="exact"/>
        <w:rPr>
          <w:sz w:val="20"/>
          <w:szCs w:val="20"/>
          <w:color w:val="auto"/>
        </w:rPr>
      </w:pPr>
    </w:p>
    <w:p>
      <w:pPr>
        <w:ind w:left="4340"/>
        <w:spacing w:after="0"/>
        <w:rPr>
          <w:sz w:val="20"/>
          <w:szCs w:val="20"/>
          <w:color w:val="auto"/>
        </w:rPr>
      </w:pPr>
      <w:r>
        <w:rPr>
          <w:rFonts w:ascii="Arial" w:cs="Arial" w:eastAsia="Arial" w:hAnsi="Arial"/>
          <w:sz w:val="12"/>
          <w:szCs w:val="12"/>
          <w:b w:val="1"/>
          <w:bCs w:val="1"/>
          <w:color w:val="auto"/>
        </w:rPr>
        <w:t>Notes to Unaudited Consolidated Financial Statements</w:t>
      </w:r>
    </w:p>
    <w:p>
      <w:pPr>
        <w:spacing w:after="0" w:line="6" w:lineRule="exact"/>
        <w:rPr>
          <w:sz w:val="20"/>
          <w:szCs w:val="20"/>
          <w:color w:val="auto"/>
        </w:rPr>
      </w:pPr>
    </w:p>
    <w:p>
      <w:pPr>
        <w:ind w:left="4260"/>
        <w:spacing w:after="0"/>
        <w:rPr>
          <w:sz w:val="20"/>
          <w:szCs w:val="20"/>
          <w:color w:val="auto"/>
        </w:rPr>
      </w:pPr>
      <w:r>
        <w:rPr>
          <w:rFonts w:ascii="Arial" w:cs="Arial" w:eastAsia="Arial" w:hAnsi="Arial"/>
          <w:sz w:val="12"/>
          <w:szCs w:val="12"/>
          <w:b w:val="1"/>
          <w:bCs w:val="1"/>
          <w:color w:val="auto"/>
        </w:rPr>
        <w:t>(dollar amounts in thousands, except per share amounts)</w:t>
      </w:r>
    </w:p>
    <w:p>
      <w:pPr>
        <w:spacing w:after="0" w:line="141"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In February 2018, the FASB issued new guidance to provide companies the option to reclassify income tax effects that are stranded in accumulated other comprehensive income as a result of income tax reform to retained earnings. This guidance is effective for all entities for fiscal years beginning after December 15, 2018, and interim periods within those fiscal years. Early adoption is permitted for reporting periods for which financial statements have not yet been issued or made available for issuance. In the period of adoption, an entity would be able to choose whether to apply the amendments retrospectively or in the period of adoption. The Company elected to early adopt this guidance on a prospective basis, resulting in a $2,717 reclassification of stranded income tax effects from accumulated other comprehensive income to retained earnings within the Equity section of the Consolidated Balance Sheet as of December 31, 2017. There was no impact to the Company’s financial position, results of operations, or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Not Yet Adopted</w:t>
      </w:r>
    </w:p>
    <w:p>
      <w:pPr>
        <w:spacing w:after="0" w:line="150" w:lineRule="exact"/>
        <w:rPr>
          <w:sz w:val="20"/>
          <w:szCs w:val="20"/>
          <w:color w:val="auto"/>
        </w:rPr>
      </w:pPr>
    </w:p>
    <w:p>
      <w:pPr>
        <w:ind w:right="20" w:firstLine="432"/>
        <w:spacing w:after="0" w:line="286" w:lineRule="auto"/>
        <w:rPr>
          <w:sz w:val="20"/>
          <w:szCs w:val="20"/>
          <w:color w:val="auto"/>
        </w:rPr>
      </w:pPr>
      <w:r>
        <w:rPr>
          <w:rFonts w:ascii="Arial" w:cs="Arial" w:eastAsia="Arial" w:hAnsi="Arial"/>
          <w:sz w:val="11"/>
          <w:szCs w:val="11"/>
          <w:color w:val="auto"/>
        </w:rPr>
        <w:t>In May 2014, the FASB issued guidance that establishes the manner in which an entity recognizes the amount of revenue to which it expects to be entitled for the transfer of promised goods or services to customers. While the guidance will replace most existing GAAP revenue recognition guidance, the scope of the guidance excludes insurance contracts. The Company has reviewed its sources of revenues, and has determined that no material revenues are derived from non-insurance contracts and thus subject to the new revenue recognition guidance. This guidance is effective for annual and interim reporting periods beginning after December 15, 2017 for public business entities. For private companies and emerging growth companies, this guidance is effective for annual reporting periods beginning after December 15, 2018 and interim periods within fiscal years beginning after December 15, 2019. Early adoption is permitted for all entities. We currently believe that this guidance will have no impact on our financial position, results of operations, or cash flows.</w:t>
      </w:r>
    </w:p>
    <w:p>
      <w:pPr>
        <w:spacing w:after="0" w:line="111" w:lineRule="exact"/>
        <w:rPr>
          <w:sz w:val="20"/>
          <w:szCs w:val="20"/>
          <w:color w:val="auto"/>
        </w:rPr>
      </w:pPr>
    </w:p>
    <w:p>
      <w:pPr>
        <w:ind w:right="40" w:firstLine="432"/>
        <w:spacing w:after="0" w:line="255" w:lineRule="auto"/>
        <w:rPr>
          <w:sz w:val="20"/>
          <w:szCs w:val="20"/>
          <w:color w:val="auto"/>
        </w:rPr>
      </w:pPr>
      <w:r>
        <w:rPr>
          <w:rFonts w:ascii="Arial" w:cs="Arial" w:eastAsia="Arial" w:hAnsi="Arial"/>
          <w:sz w:val="12"/>
          <w:szCs w:val="12"/>
          <w:color w:val="auto"/>
        </w:rPr>
        <w:t>In January 2016, the FASB issued amended guidance that generally requires entities to measure equity securities at fair value and recognize changes in fair value in their results of operations. The amended guidance also simplifies the impairment assessment of equity securities without readily determinable fair values by requiring entities to perform a qualitative assessment to identify impairment. The FASB issued other disclosure and presentation improvements related to financial instruments within the guidance. The amended guidance is effective for annual and interim reporting periods beginning after December 15, 2017 for public business entities. For private companies and emerging growth companies, this guidance is effective for annual reporting periods beginning after December 15, 2018 and interim periods within fiscal years beginning after December 15, 2019. Early adoption is permitted for all non-public entities as of the fiscal year beginning after December 15, 2017, including interim periods within those fiscal years. We are evaluating the requirements of this amended measurement and classification of financial instruments guidance and the potential impact on our financial position, results of operations, and cash flows.</w:t>
      </w:r>
    </w:p>
    <w:p>
      <w:pPr>
        <w:spacing w:after="0" w:line="129" w:lineRule="exact"/>
        <w:rPr>
          <w:sz w:val="20"/>
          <w:szCs w:val="20"/>
          <w:color w:val="auto"/>
        </w:rPr>
      </w:pPr>
    </w:p>
    <w:p>
      <w:pPr>
        <w:ind w:right="100" w:firstLine="432"/>
        <w:spacing w:after="0" w:line="290" w:lineRule="auto"/>
        <w:rPr>
          <w:sz w:val="20"/>
          <w:szCs w:val="20"/>
          <w:color w:val="auto"/>
        </w:rPr>
      </w:pPr>
      <w:r>
        <w:rPr>
          <w:rFonts w:ascii="Arial" w:cs="Arial" w:eastAsia="Arial" w:hAnsi="Arial"/>
          <w:sz w:val="11"/>
          <w:szCs w:val="11"/>
          <w:color w:val="auto"/>
        </w:rPr>
        <w:t>In February 2016, the FASB issued new guidance that requires lessees to recognize leases, including operating leases, on the lessee’s Consolidated Balance Sheet, unless a lease is considered a short-term lease. The new guidance also requires entities to make new judgments to identify leases. The new guidance, which replaces the current lease guidance, is effective for annual and interim reporting periods beginning after December 15, 2018 for public business entities. For private companies and emerging growth companies, this guidance is effective for annual reporting periods beginning after December 15, 2019 and interim periods within fiscal years beginning after December 15, 2020. Early adoption is permitted for all entities. We do not expect the adoption of this new guidance to have a significant impact on our financial position, results of operations, or cash flows.</w:t>
      </w:r>
    </w:p>
    <w:p>
      <w:pPr>
        <w:spacing w:after="0" w:line="109" w:lineRule="exact"/>
        <w:rPr>
          <w:sz w:val="20"/>
          <w:szCs w:val="20"/>
          <w:color w:val="auto"/>
        </w:rPr>
      </w:pPr>
    </w:p>
    <w:p>
      <w:pPr>
        <w:ind w:right="20" w:firstLine="432"/>
        <w:spacing w:after="0" w:line="310" w:lineRule="auto"/>
        <w:rPr>
          <w:sz w:val="20"/>
          <w:szCs w:val="20"/>
          <w:color w:val="auto"/>
        </w:rPr>
      </w:pPr>
      <w:r>
        <w:rPr>
          <w:rFonts w:ascii="Arial" w:cs="Arial" w:eastAsia="Arial" w:hAnsi="Arial"/>
          <w:sz w:val="10"/>
          <w:szCs w:val="10"/>
          <w:color w:val="auto"/>
        </w:rPr>
        <w:t>In June 2016, the FASB issued a new standard that will require timelier recording of credit losses on loans and other financial instruments held by financial institutions and other organizations. The guidance will require the measurement of all expected credit losses for financial assets held at the reporting date based on historical experience, current conditions, and reasonable and supportable forecasts. Financial institutions and other organizations will now use forward-looking information to better form their credit loss estimates. Many of the loss estimation techniques applied today will still be permitted, although the inputs to those techniques will change to reflect the full amount of expected credit losses. Organizations will continue to use judgment to determine which loss estimation method is appropriate for their circumstances. Additionally, the guidance requires enhanced disclosures to help investors and other financial statement users better understand significant estimates and judgments used in estimating credit losses, as well as the credit quality and underwriting standards of an organization’s portfolio. These disclosures include qualitative and quantitative requirements that provide additional information about the amounts recorded in the financial statements. Finally, the guidance amends the accounting for credit losses on available-for-sale fixed income securities and purchased financial assets with credit deterioration. The guidance is effective for fiscal years, and interim periods within those fiscal years, beginning after December 15, 2019 for public business entities which are SEC filers. For private companies and emerging growth companies, this guidance is effective for annual reporting periods beginning after December 15, 2020 and interim periods within fiscal years beginning after December 15, 2021. Early adoption is permitted for all entities as of the fiscal years beginning after December 15, 2018, including interim periods within those fiscal years. We are evaluating the impact this new guidance will have on our financial position, results of operations, and cash flows.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2340" cy="1714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NI Holdings, Inc.</w:t>
      </w:r>
    </w:p>
    <w:p>
      <w:pPr>
        <w:spacing w:after="0" w:line="5" w:lineRule="exact"/>
        <w:rPr>
          <w:sz w:val="20"/>
          <w:szCs w:val="20"/>
          <w:color w:val="auto"/>
        </w:rPr>
      </w:pPr>
    </w:p>
    <w:p>
      <w:pPr>
        <w:ind w:left="4340"/>
        <w:spacing w:after="0"/>
        <w:rPr>
          <w:sz w:val="20"/>
          <w:szCs w:val="20"/>
          <w:color w:val="auto"/>
        </w:rPr>
      </w:pPr>
      <w:r>
        <w:rPr>
          <w:rFonts w:ascii="Arial" w:cs="Arial" w:eastAsia="Arial" w:hAnsi="Arial"/>
          <w:sz w:val="12"/>
          <w:szCs w:val="12"/>
          <w:b w:val="1"/>
          <w:bCs w:val="1"/>
          <w:color w:val="auto"/>
        </w:rPr>
        <w:t>Notes to Unaudited Consolidated Financial Statements</w:t>
      </w:r>
    </w:p>
    <w:p>
      <w:pPr>
        <w:spacing w:after="0" w:line="6" w:lineRule="exact"/>
        <w:rPr>
          <w:sz w:val="20"/>
          <w:szCs w:val="20"/>
          <w:color w:val="auto"/>
        </w:rPr>
      </w:pPr>
    </w:p>
    <w:p>
      <w:pPr>
        <w:ind w:left="4260"/>
        <w:spacing w:after="0"/>
        <w:rPr>
          <w:sz w:val="20"/>
          <w:szCs w:val="20"/>
          <w:color w:val="auto"/>
        </w:rPr>
      </w:pPr>
      <w:r>
        <w:rPr>
          <w:rFonts w:ascii="Arial" w:cs="Arial" w:eastAsia="Arial" w:hAnsi="Arial"/>
          <w:sz w:val="12"/>
          <w:szCs w:val="12"/>
          <w:b w:val="1"/>
          <w:bCs w:val="1"/>
          <w:color w:val="auto"/>
        </w:rPr>
        <w:t>(dollar amounts in thousands, except per share amounts)</w:t>
      </w:r>
    </w:p>
    <w:p>
      <w:pPr>
        <w:spacing w:after="0" w:line="141" w:lineRule="exact"/>
        <w:rPr>
          <w:sz w:val="20"/>
          <w:szCs w:val="20"/>
          <w:color w:val="auto"/>
        </w:rPr>
      </w:pPr>
    </w:p>
    <w:p>
      <w:pPr>
        <w:ind w:firstLine="432"/>
        <w:spacing w:after="0" w:line="313" w:lineRule="auto"/>
        <w:rPr>
          <w:sz w:val="20"/>
          <w:szCs w:val="20"/>
          <w:color w:val="auto"/>
        </w:rPr>
      </w:pPr>
      <w:r>
        <w:rPr>
          <w:rFonts w:ascii="Arial" w:cs="Arial" w:eastAsia="Arial" w:hAnsi="Arial"/>
          <w:sz w:val="10"/>
          <w:szCs w:val="10"/>
          <w:color w:val="auto"/>
        </w:rPr>
        <w:t>In August and November 2016, the FASB issued amended guidance on the presentation and classification of various items in the Consolidated Statement of Cash Flows. The amendments address specific cash flow issues, including debt prepayments and contingent consideration payments made after a business combination. The amended guidance also requires the Consolidated Statement of Cash Flows to explain the change during the period in the total of cash, cash equivalents, and amounts generally described as restricted cash or restricted cash equivalents. Currently, the Consolidated Statement of Cash Flows only explains the change in cash and cash equivalents. The amended guidance is effective for annual and interim reporting periods beginning after December 15, 2017 for public business entities. For private companies and emerging growth companies, this guidance is effective for annual reporting periods beginning after December 15, 2018 and interim periods within fiscal years beginning after December 15, 2019. Early adoption is permitted for all entities, including adoption in an interim period. If an entity early adopts the amendments in an interim period, any adjustments should be reflected as of the beginning of the fiscal year that includes that interim period. The amendments are to be applied using a retrospective transition method to each period presented. The adoption of this amended guidance will not have an impact on our financial position or results of operations. We do not expect this amended guidance to have a significant impact on our Consolidated Statement of Cash Flows.</w:t>
      </w:r>
    </w:p>
    <w:p>
      <w:pPr>
        <w:spacing w:after="0" w:line="103" w:lineRule="exact"/>
        <w:rPr>
          <w:sz w:val="20"/>
          <w:szCs w:val="20"/>
          <w:color w:val="auto"/>
        </w:rPr>
      </w:pPr>
    </w:p>
    <w:p>
      <w:pPr>
        <w:ind w:firstLine="432"/>
        <w:spacing w:after="0" w:line="286" w:lineRule="auto"/>
        <w:rPr>
          <w:sz w:val="20"/>
          <w:szCs w:val="20"/>
          <w:color w:val="auto"/>
        </w:rPr>
      </w:pPr>
      <w:r>
        <w:rPr>
          <w:rFonts w:ascii="Arial" w:cs="Arial" w:eastAsia="Arial" w:hAnsi="Arial"/>
          <w:sz w:val="11"/>
          <w:szCs w:val="11"/>
          <w:color w:val="auto"/>
        </w:rPr>
        <w:t>In March 2017, the FASB issued amended guidance to shorten the amortization period of premiums on certain purchased callable fixed income securities to the earliest call date. The amended guidance is effective for fiscal years beginning after December 15, 2018, including interim periods within those fiscal years. For private companies and emerging growth companies, this amended guidance is effective for fiscal years beginning after December 15, 2019, and interim periods within fiscal years beginning after December 15, 2020. Early adoption is permitted, including adoption in an interim period. If an entity early adopts the amendments in an interim period, any adjustments should be reflected as of the beginning of the fiscal year that includes that interim period. An entity should apply the amendments on a modified retrospective basis through a cumulative-effect adjustment directly to retained earnings as of the beginning of the period of adoption. We are evaluating the requirements of this guidance and the potential impact to our financial position, results of operations, and cash flows.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2340" cy="17145"/>
                    </a:xfrm>
                    <a:prstGeom prst="rect">
                      <a:avLst/>
                    </a:prstGeom>
                    <a:noFill/>
                  </pic:spPr>
                </pic:pic>
              </a:graphicData>
            </a:graphic>
          </wp:anchor>
        </w:drawing>
      </w:r>
    </w:p>
    <w:p>
      <w:pPr>
        <w:sectPr>
          <w:pgSz w:w="11900" w:h="16838" w:orient="portrait"/>
          <w:cols w:equalWidth="0" w:num="1">
            <w:col w:w="11460"/>
          </w:cols>
          <w:pgMar w:left="220" w:top="197" w:right="219" w:bottom="1440" w:gutter="0" w:footer="0" w:header="0"/>
        </w:sectPr>
      </w:pPr>
    </w:p>
    <w:bookmarkStart w:id="17" w:name="page18"/>
    <w:bookmarkEnd w:id="17"/>
    <w:p>
      <w:pPr>
        <w:ind w:left="8"/>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NI Holdings, Inc.</w:t>
      </w:r>
    </w:p>
    <w:p>
      <w:pPr>
        <w:spacing w:after="0" w:line="5" w:lineRule="exact"/>
        <w:rPr>
          <w:sz w:val="20"/>
          <w:szCs w:val="20"/>
          <w:color w:val="auto"/>
        </w:rPr>
      </w:pPr>
    </w:p>
    <w:p>
      <w:pPr>
        <w:ind w:left="4348"/>
        <w:spacing w:after="0"/>
        <w:rPr>
          <w:sz w:val="20"/>
          <w:szCs w:val="20"/>
          <w:color w:val="auto"/>
        </w:rPr>
      </w:pPr>
      <w:r>
        <w:rPr>
          <w:rFonts w:ascii="Arial" w:cs="Arial" w:eastAsia="Arial" w:hAnsi="Arial"/>
          <w:sz w:val="12"/>
          <w:szCs w:val="12"/>
          <w:b w:val="1"/>
          <w:bCs w:val="1"/>
          <w:color w:val="auto"/>
        </w:rPr>
        <w:t>Notes to Unaudited Consolidated Financial Statements</w:t>
      </w:r>
    </w:p>
    <w:p>
      <w:pPr>
        <w:spacing w:after="0" w:line="6" w:lineRule="exact"/>
        <w:rPr>
          <w:sz w:val="20"/>
          <w:szCs w:val="20"/>
          <w:color w:val="auto"/>
        </w:rPr>
      </w:pPr>
    </w:p>
    <w:p>
      <w:pPr>
        <w:ind w:left="4268"/>
        <w:spacing w:after="0"/>
        <w:rPr>
          <w:sz w:val="20"/>
          <w:szCs w:val="20"/>
          <w:color w:val="auto"/>
        </w:rPr>
      </w:pPr>
      <w:r>
        <w:rPr>
          <w:rFonts w:ascii="Arial" w:cs="Arial" w:eastAsia="Arial" w:hAnsi="Arial"/>
          <w:sz w:val="12"/>
          <w:szCs w:val="12"/>
          <w:b w:val="1"/>
          <w:bCs w:val="1"/>
          <w:color w:val="auto"/>
        </w:rPr>
        <w:t>(dollar amounts in thousands, except per share amounts)</w:t>
      </w:r>
    </w:p>
    <w:p>
      <w:pPr>
        <w:spacing w:after="0" w:line="137" w:lineRule="exact"/>
        <w:rPr>
          <w:sz w:val="20"/>
          <w:szCs w:val="20"/>
          <w:color w:val="auto"/>
        </w:rPr>
      </w:pPr>
    </w:p>
    <w:p>
      <w:pPr>
        <w:ind w:left="428" w:hanging="428"/>
        <w:spacing w:after="0"/>
        <w:tabs>
          <w:tab w:leader="none" w:pos="428" w:val="left"/>
        </w:tabs>
        <w:numPr>
          <w:ilvl w:val="0"/>
          <w:numId w:val="12"/>
        </w:numPr>
        <w:rPr>
          <w:rFonts w:ascii="Arial" w:cs="Arial" w:eastAsia="Arial" w:hAnsi="Arial"/>
          <w:sz w:val="12"/>
          <w:szCs w:val="12"/>
          <w:b w:val="1"/>
          <w:bCs w:val="1"/>
          <w:color w:val="auto"/>
        </w:rPr>
      </w:pPr>
      <w:r>
        <w:rPr>
          <w:rFonts w:ascii="Arial" w:cs="Arial" w:eastAsia="Arial" w:hAnsi="Arial"/>
          <w:sz w:val="12"/>
          <w:szCs w:val="12"/>
          <w:b w:val="1"/>
          <w:bCs w:val="1"/>
          <w:color w:val="auto"/>
        </w:rPr>
        <w:t>Investments</w:t>
      </w:r>
    </w:p>
    <w:p>
      <w:pPr>
        <w:spacing w:after="0" w:line="154" w:lineRule="exact"/>
        <w:rPr>
          <w:rFonts w:ascii="Arial" w:cs="Arial" w:eastAsia="Arial" w:hAnsi="Arial"/>
          <w:sz w:val="12"/>
          <w:szCs w:val="12"/>
          <w:b w:val="1"/>
          <w:bCs w:val="1"/>
          <w:color w:val="auto"/>
        </w:rPr>
      </w:pPr>
    </w:p>
    <w:p>
      <w:pPr>
        <w:ind w:left="428"/>
        <w:spacing w:after="0"/>
        <w:rPr>
          <w:rFonts w:ascii="Arial" w:cs="Arial" w:eastAsia="Arial" w:hAnsi="Arial"/>
          <w:sz w:val="12"/>
          <w:szCs w:val="12"/>
          <w:b w:val="1"/>
          <w:bCs w:val="1"/>
          <w:color w:val="auto"/>
        </w:rPr>
      </w:pPr>
      <w:r>
        <w:rPr>
          <w:rFonts w:ascii="Arial" w:cs="Arial" w:eastAsia="Arial" w:hAnsi="Arial"/>
          <w:sz w:val="12"/>
          <w:szCs w:val="12"/>
          <w:color w:val="auto"/>
        </w:rPr>
        <w:t>The amortized cost and estimated fair value of investment securities as of June 30, 2018 and December 31, 2017, were as follows:</w:t>
      </w:r>
    </w:p>
    <w:p>
      <w:pPr>
        <w:spacing w:after="0" w:line="83"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5"/>
          </w:tcPr>
          <w:p>
            <w:pPr>
              <w:jc w:val="right"/>
              <w:ind w:right="1120"/>
              <w:spacing w:after="0"/>
              <w:rPr>
                <w:sz w:val="20"/>
                <w:szCs w:val="20"/>
                <w:color w:val="auto"/>
              </w:rPr>
            </w:pPr>
            <w:r>
              <w:rPr>
                <w:rFonts w:ascii="Arial" w:cs="Arial" w:eastAsia="Arial" w:hAnsi="Arial"/>
                <w:sz w:val="12"/>
                <w:szCs w:val="12"/>
                <w:b w:val="1"/>
                <w:bCs w:val="1"/>
                <w:color w:val="auto"/>
              </w:rPr>
              <w:t>June 30, 2018</w:t>
            </w: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jc w:val="right"/>
              <w:ind w:right="240"/>
              <w:spacing w:after="0" w:line="121" w:lineRule="exact"/>
              <w:rPr>
                <w:sz w:val="20"/>
                <w:szCs w:val="20"/>
                <w:color w:val="auto"/>
              </w:rPr>
            </w:pPr>
            <w:r>
              <w:rPr>
                <w:rFonts w:ascii="Arial" w:cs="Arial" w:eastAsia="Arial" w:hAnsi="Arial"/>
                <w:sz w:val="12"/>
                <w:szCs w:val="12"/>
                <w:b w:val="1"/>
                <w:bCs w:val="1"/>
                <w:color w:val="auto"/>
                <w:w w:val="90"/>
              </w:rPr>
              <w:t>Cost or Amortized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right"/>
              <w:ind w:right="360"/>
              <w:spacing w:after="0" w:line="121" w:lineRule="exact"/>
              <w:rPr>
                <w:sz w:val="20"/>
                <w:szCs w:val="20"/>
                <w:color w:val="auto"/>
              </w:rPr>
            </w:pPr>
            <w:r>
              <w:rPr>
                <w:rFonts w:ascii="Arial" w:cs="Arial" w:eastAsia="Arial" w:hAnsi="Arial"/>
                <w:sz w:val="12"/>
                <w:szCs w:val="12"/>
                <w:b w:val="1"/>
                <w:bCs w:val="1"/>
                <w:color w:val="auto"/>
                <w:w w:val="91"/>
              </w:rPr>
              <w:t>Gross Unrealized</w:t>
            </w:r>
          </w:p>
        </w:tc>
        <w:tc>
          <w:tcPr>
            <w:tcW w:w="100" w:type="dxa"/>
            <w:vAlign w:val="bottom"/>
          </w:tcPr>
          <w:p>
            <w:pPr>
              <w:spacing w:after="0"/>
              <w:rPr>
                <w:sz w:val="10"/>
                <w:szCs w:val="10"/>
                <w:color w:val="auto"/>
              </w:rPr>
            </w:pPr>
          </w:p>
        </w:tc>
        <w:tc>
          <w:tcPr>
            <w:tcW w:w="1280" w:type="dxa"/>
            <w:vAlign w:val="bottom"/>
            <w:gridSpan w:val="2"/>
          </w:tcPr>
          <w:p>
            <w:pPr>
              <w:jc w:val="right"/>
              <w:ind w:right="340"/>
              <w:spacing w:after="0" w:line="121" w:lineRule="exact"/>
              <w:rPr>
                <w:sz w:val="20"/>
                <w:szCs w:val="20"/>
                <w:color w:val="auto"/>
              </w:rPr>
            </w:pPr>
            <w:r>
              <w:rPr>
                <w:rFonts w:ascii="Arial" w:cs="Arial" w:eastAsia="Arial" w:hAnsi="Arial"/>
                <w:sz w:val="12"/>
                <w:szCs w:val="12"/>
                <w:b w:val="1"/>
                <w:bCs w:val="1"/>
                <w:color w:val="auto"/>
                <w:w w:val="89"/>
              </w:rPr>
              <w:t>Gross Unrealized</w:t>
            </w: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Cost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2"/>
                <w:szCs w:val="12"/>
                <w:b w:val="1"/>
                <w:bCs w:val="1"/>
                <w:color w:val="auto"/>
              </w:rPr>
              <w:t>Gains</w:t>
            </w:r>
          </w:p>
        </w:tc>
        <w:tc>
          <w:tcPr>
            <w:tcW w:w="100" w:type="dxa"/>
            <w:vAlign w:val="bottom"/>
          </w:tcPr>
          <w:p>
            <w:pPr>
              <w:spacing w:after="0"/>
              <w:rPr>
                <w:sz w:val="13"/>
                <w:szCs w:val="13"/>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2"/>
                <w:szCs w:val="12"/>
                <w:b w:val="1"/>
                <w:bCs w:val="1"/>
                <w:color w:val="auto"/>
              </w:rPr>
              <w:t>Losses</w:t>
            </w:r>
          </w:p>
        </w:tc>
        <w:tc>
          <w:tcPr>
            <w:tcW w:w="180" w:type="dxa"/>
            <w:vAlign w:val="bottom"/>
          </w:tcPr>
          <w:p>
            <w:pPr>
              <w:spacing w:after="0"/>
              <w:rPr>
                <w:sz w:val="13"/>
                <w:szCs w:val="13"/>
                <w:color w:val="auto"/>
              </w:rPr>
            </w:pPr>
          </w:p>
        </w:tc>
        <w:tc>
          <w:tcPr>
            <w:tcW w:w="1060" w:type="dxa"/>
            <w:vAlign w:val="bottom"/>
            <w:gridSpan w:val="2"/>
          </w:tcPr>
          <w:p>
            <w:pPr>
              <w:ind w:left="120"/>
              <w:spacing w:after="0"/>
              <w:rPr>
                <w:sz w:val="20"/>
                <w:szCs w:val="20"/>
                <w:color w:val="auto"/>
              </w:rPr>
            </w:pPr>
            <w:r>
              <w:rPr>
                <w:rFonts w:ascii="Arial" w:cs="Arial" w:eastAsia="Arial" w:hAnsi="Arial"/>
                <w:sz w:val="12"/>
                <w:szCs w:val="12"/>
                <w:b w:val="1"/>
                <w:bCs w:val="1"/>
                <w:color w:val="auto"/>
              </w:rPr>
              <w:t>Fair Value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0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Fixed income securities:</w:t>
            </w:r>
          </w:p>
        </w:tc>
        <w:tc>
          <w:tcPr>
            <w:tcW w:w="8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right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ind w:left="80"/>
              <w:spacing w:after="0"/>
              <w:rPr>
                <w:sz w:val="20"/>
                <w:szCs w:val="20"/>
                <w:color w:val="auto"/>
              </w:rPr>
            </w:pPr>
            <w:r>
              <w:rPr>
                <w:rFonts w:ascii="Arial" w:cs="Arial" w:eastAsia="Arial" w:hAnsi="Arial"/>
                <w:sz w:val="12"/>
                <w:szCs w:val="12"/>
                <w:color w:val="auto"/>
              </w:rPr>
              <w:t>U.S. Government and agencies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15,383</w:t>
            </w:r>
          </w:p>
        </w:tc>
        <w:tc>
          <w:tcPr>
            <w:tcW w:w="2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2"/>
                <w:szCs w:val="12"/>
                <w:color w:val="auto"/>
              </w:rPr>
              <w:t>115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140"/>
              <w:spacing w:after="0"/>
              <w:rPr>
                <w:sz w:val="20"/>
                <w:szCs w:val="20"/>
                <w:color w:val="auto"/>
              </w:rPr>
            </w:pPr>
            <w:r>
              <w:rPr>
                <w:rFonts w:ascii="Arial" w:cs="Arial" w:eastAsia="Arial" w:hAnsi="Arial"/>
                <w:sz w:val="12"/>
                <w:szCs w:val="12"/>
                <w:color w:val="auto"/>
              </w:rPr>
              <w:t>(211)</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15,287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shd w:val="clear" w:color="auto" w:fill="CCEEFF"/>
          </w:tcPr>
          <w:p>
            <w:pPr>
              <w:ind w:left="80"/>
              <w:spacing w:after="0"/>
              <w:rPr>
                <w:sz w:val="20"/>
                <w:szCs w:val="20"/>
                <w:color w:val="auto"/>
              </w:rPr>
            </w:pPr>
            <w:r>
              <w:rPr>
                <w:rFonts w:ascii="Arial" w:cs="Arial" w:eastAsia="Arial" w:hAnsi="Arial"/>
                <w:sz w:val="12"/>
                <w:szCs w:val="12"/>
                <w:color w:val="auto"/>
              </w:rPr>
              <w:t>Obligations of states and political subdivisions</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57,231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452</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(721)</w:t>
            </w:r>
          </w:p>
        </w:tc>
        <w:tc>
          <w:tcPr>
            <w:tcW w:w="18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56,962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ind w:left="80"/>
              <w:spacing w:after="0"/>
              <w:rPr>
                <w:sz w:val="20"/>
                <w:szCs w:val="20"/>
                <w:color w:val="auto"/>
              </w:rPr>
            </w:pPr>
            <w:r>
              <w:rPr>
                <w:rFonts w:ascii="Arial" w:cs="Arial" w:eastAsia="Arial" w:hAnsi="Arial"/>
                <w:sz w:val="12"/>
                <w:szCs w:val="12"/>
                <w:color w:val="auto"/>
              </w:rPr>
              <w:t>Corporate securities</w:t>
            </w:r>
          </w:p>
        </w:tc>
        <w:tc>
          <w:tcPr>
            <w:tcW w:w="80" w:type="dxa"/>
            <w:vAlign w:val="bottom"/>
          </w:tcPr>
          <w:p>
            <w:pPr>
              <w:spacing w:after="0"/>
              <w:rPr>
                <w:sz w:val="12"/>
                <w:szCs w:val="1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93,444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2"/>
                <w:szCs w:val="12"/>
                <w:color w:val="auto"/>
              </w:rPr>
              <w:t>306</w:t>
            </w:r>
          </w:p>
        </w:tc>
        <w:tc>
          <w:tcPr>
            <w:tcW w:w="100" w:type="dxa"/>
            <w:vAlign w:val="bottom"/>
          </w:tcPr>
          <w:p>
            <w:pPr>
              <w:spacing w:after="0"/>
              <w:rPr>
                <w:sz w:val="12"/>
                <w:szCs w:val="1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2"/>
                <w:szCs w:val="12"/>
                <w:color w:val="auto"/>
              </w:rPr>
              <w:t>(1,600)</w:t>
            </w:r>
          </w:p>
        </w:tc>
        <w:tc>
          <w:tcPr>
            <w:tcW w:w="1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92,150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shd w:val="clear" w:color="auto" w:fill="CCEEFF"/>
          </w:tcPr>
          <w:p>
            <w:pPr>
              <w:ind w:left="80"/>
              <w:spacing w:after="0"/>
              <w:rPr>
                <w:sz w:val="20"/>
                <w:szCs w:val="20"/>
                <w:color w:val="auto"/>
              </w:rPr>
            </w:pPr>
            <w:r>
              <w:rPr>
                <w:rFonts w:ascii="Arial" w:cs="Arial" w:eastAsia="Arial" w:hAnsi="Arial"/>
                <w:sz w:val="12"/>
                <w:szCs w:val="12"/>
                <w:color w:val="auto"/>
              </w:rPr>
              <w:t>Residential mortgage-backed securities</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41,651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34</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(844)</w:t>
            </w:r>
          </w:p>
        </w:tc>
        <w:tc>
          <w:tcPr>
            <w:tcW w:w="18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40,841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ind w:left="80"/>
              <w:spacing w:after="0"/>
              <w:rPr>
                <w:sz w:val="20"/>
                <w:szCs w:val="20"/>
                <w:color w:val="auto"/>
              </w:rPr>
            </w:pPr>
            <w:r>
              <w:rPr>
                <w:rFonts w:ascii="Arial" w:cs="Arial" w:eastAsia="Arial" w:hAnsi="Arial"/>
                <w:sz w:val="12"/>
                <w:szCs w:val="12"/>
                <w:color w:val="auto"/>
              </w:rPr>
              <w:t>Commercial mortgage-backed securities</w:t>
            </w:r>
          </w:p>
        </w:tc>
        <w:tc>
          <w:tcPr>
            <w:tcW w:w="80" w:type="dxa"/>
            <w:vAlign w:val="bottom"/>
          </w:tcPr>
          <w:p>
            <w:pPr>
              <w:spacing w:after="0"/>
              <w:rPr>
                <w:sz w:val="12"/>
                <w:szCs w:val="1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14,906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2"/>
                <w:szCs w:val="12"/>
                <w:color w:val="auto"/>
              </w:rPr>
              <w:t>(324)</w:t>
            </w:r>
          </w:p>
        </w:tc>
        <w:tc>
          <w:tcPr>
            <w:tcW w:w="1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14,582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060" w:type="dxa"/>
            <w:vAlign w:val="bottom"/>
            <w:shd w:val="clear" w:color="auto" w:fill="CCEEFF"/>
          </w:tcPr>
          <w:p>
            <w:pPr>
              <w:ind w:left="80"/>
              <w:spacing w:after="0"/>
              <w:rPr>
                <w:sz w:val="20"/>
                <w:szCs w:val="20"/>
                <w:color w:val="auto"/>
              </w:rPr>
            </w:pPr>
            <w:r>
              <w:rPr>
                <w:rFonts w:ascii="Arial" w:cs="Arial" w:eastAsia="Arial" w:hAnsi="Arial"/>
                <w:sz w:val="12"/>
                <w:szCs w:val="12"/>
                <w:color w:val="auto"/>
              </w:rPr>
              <w:t>Asset-backed securities</w:t>
            </w: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21,962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(198)</w:t>
            </w:r>
          </w:p>
        </w:tc>
        <w:tc>
          <w:tcPr>
            <w:tcW w:w="180" w:type="dxa"/>
            <w:vAlign w:val="bottom"/>
            <w:shd w:val="clear" w:color="auto" w:fill="CCEEFF"/>
          </w:tcPr>
          <w:p>
            <w:pPr>
              <w:spacing w:after="0"/>
              <w:rPr>
                <w:sz w:val="13"/>
                <w:szCs w:val="13"/>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21,765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060" w:type="dxa"/>
            <w:vAlign w:val="bottom"/>
            <w:tcBorders>
              <w:bottom w:val="single" w:sz="8" w:color="CCEEFF"/>
            </w:tcBorders>
          </w:tcPr>
          <w:p>
            <w:pPr>
              <w:ind w:left="180"/>
              <w:spacing w:after="0" w:line="133" w:lineRule="exact"/>
              <w:rPr>
                <w:sz w:val="20"/>
                <w:szCs w:val="20"/>
                <w:color w:val="auto"/>
              </w:rPr>
            </w:pPr>
            <w:r>
              <w:rPr>
                <w:rFonts w:ascii="Arial" w:cs="Arial" w:eastAsia="Arial" w:hAnsi="Arial"/>
                <w:sz w:val="12"/>
                <w:szCs w:val="12"/>
                <w:color w:val="auto"/>
              </w:rPr>
              <w:t>Total fixed income securities</w:t>
            </w:r>
          </w:p>
        </w:tc>
        <w:tc>
          <w:tcPr>
            <w:tcW w:w="8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244,577</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908</w:t>
            </w:r>
          </w:p>
        </w:tc>
        <w:tc>
          <w:tcPr>
            <w:tcW w:w="2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(3,898)</w:t>
            </w:r>
          </w:p>
        </w:tc>
        <w:tc>
          <w:tcPr>
            <w:tcW w:w="22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241,587</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6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060" w:type="dxa"/>
            <w:vAlign w:val="bottom"/>
          </w:tcPr>
          <w:p>
            <w:pPr>
              <w:spacing w:after="0"/>
              <w:rPr>
                <w:sz w:val="20"/>
                <w:szCs w:val="20"/>
                <w:color w:val="auto"/>
              </w:rPr>
            </w:pPr>
            <w:r>
              <w:rPr>
                <w:rFonts w:ascii="Arial" w:cs="Arial" w:eastAsia="Arial" w:hAnsi="Arial"/>
                <w:sz w:val="12"/>
                <w:szCs w:val="12"/>
                <w:color w:val="auto"/>
              </w:rPr>
              <w:t>Equity securities:</w:t>
            </w: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shd w:val="clear" w:color="auto" w:fill="CCEEFF"/>
          </w:tcPr>
          <w:p>
            <w:pPr>
              <w:ind w:left="80"/>
              <w:spacing w:after="0"/>
              <w:rPr>
                <w:sz w:val="20"/>
                <w:szCs w:val="20"/>
                <w:color w:val="auto"/>
              </w:rPr>
            </w:pPr>
            <w:r>
              <w:rPr>
                <w:rFonts w:ascii="Arial" w:cs="Arial" w:eastAsia="Arial" w:hAnsi="Arial"/>
                <w:sz w:val="12"/>
                <w:szCs w:val="12"/>
                <w:color w:val="auto"/>
              </w:rPr>
              <w:t>Basic materials</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1,159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118</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(14)</w:t>
            </w:r>
          </w:p>
        </w:tc>
        <w:tc>
          <w:tcPr>
            <w:tcW w:w="18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1,263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ind w:left="80"/>
              <w:spacing w:after="0"/>
              <w:rPr>
                <w:sz w:val="20"/>
                <w:szCs w:val="20"/>
                <w:color w:val="auto"/>
              </w:rPr>
            </w:pPr>
            <w:r>
              <w:rPr>
                <w:rFonts w:ascii="Arial" w:cs="Arial" w:eastAsia="Arial" w:hAnsi="Arial"/>
                <w:sz w:val="12"/>
                <w:szCs w:val="12"/>
                <w:color w:val="auto"/>
              </w:rPr>
              <w:t>Communications</w:t>
            </w:r>
          </w:p>
        </w:tc>
        <w:tc>
          <w:tcPr>
            <w:tcW w:w="80" w:type="dxa"/>
            <w:vAlign w:val="bottom"/>
          </w:tcPr>
          <w:p>
            <w:pPr>
              <w:spacing w:after="0"/>
              <w:rPr>
                <w:sz w:val="12"/>
                <w:szCs w:val="1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3,097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2"/>
                <w:szCs w:val="12"/>
                <w:color w:val="auto"/>
              </w:rPr>
              <w:t>1,828</w:t>
            </w:r>
          </w:p>
        </w:tc>
        <w:tc>
          <w:tcPr>
            <w:tcW w:w="100" w:type="dxa"/>
            <w:vAlign w:val="bottom"/>
          </w:tcPr>
          <w:p>
            <w:pPr>
              <w:spacing w:after="0"/>
              <w:rPr>
                <w:sz w:val="12"/>
                <w:szCs w:val="1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2"/>
                <w:szCs w:val="12"/>
                <w:color w:val="auto"/>
              </w:rPr>
              <w:t>(144)</w:t>
            </w:r>
          </w:p>
        </w:tc>
        <w:tc>
          <w:tcPr>
            <w:tcW w:w="1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4,781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Consumer, cyclical</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5,234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3,977</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(62)</w:t>
            </w:r>
          </w:p>
        </w:tc>
        <w:tc>
          <w:tcPr>
            <w:tcW w:w="18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9,149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ind w:left="80"/>
              <w:spacing w:after="0"/>
              <w:rPr>
                <w:sz w:val="20"/>
                <w:szCs w:val="20"/>
                <w:color w:val="auto"/>
              </w:rPr>
            </w:pPr>
            <w:r>
              <w:rPr>
                <w:rFonts w:ascii="Arial" w:cs="Arial" w:eastAsia="Arial" w:hAnsi="Arial"/>
                <w:sz w:val="12"/>
                <w:szCs w:val="12"/>
                <w:color w:val="auto"/>
              </w:rPr>
              <w:t>Consumer, non-cyclical</w:t>
            </w:r>
          </w:p>
        </w:tc>
        <w:tc>
          <w:tcPr>
            <w:tcW w:w="80" w:type="dxa"/>
            <w:vAlign w:val="bottom"/>
          </w:tcPr>
          <w:p>
            <w:pPr>
              <w:spacing w:after="0"/>
              <w:rPr>
                <w:sz w:val="12"/>
                <w:szCs w:val="1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6,802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2"/>
                <w:szCs w:val="12"/>
                <w:color w:val="auto"/>
              </w:rPr>
              <w:t>4,978</w:t>
            </w:r>
          </w:p>
        </w:tc>
        <w:tc>
          <w:tcPr>
            <w:tcW w:w="100" w:type="dxa"/>
            <w:vAlign w:val="bottom"/>
          </w:tcPr>
          <w:p>
            <w:pPr>
              <w:spacing w:after="0"/>
              <w:rPr>
                <w:sz w:val="12"/>
                <w:szCs w:val="1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2"/>
                <w:szCs w:val="12"/>
                <w:color w:val="auto"/>
              </w:rPr>
              <w:t>(425)</w:t>
            </w:r>
          </w:p>
        </w:tc>
        <w:tc>
          <w:tcPr>
            <w:tcW w:w="1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11,355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shd w:val="clear" w:color="auto" w:fill="CCEEFF"/>
          </w:tcPr>
          <w:p>
            <w:pPr>
              <w:ind w:left="80"/>
              <w:spacing w:after="0"/>
              <w:rPr>
                <w:sz w:val="20"/>
                <w:szCs w:val="20"/>
                <w:color w:val="auto"/>
              </w:rPr>
            </w:pPr>
            <w:r>
              <w:rPr>
                <w:rFonts w:ascii="Arial" w:cs="Arial" w:eastAsia="Arial" w:hAnsi="Arial"/>
                <w:sz w:val="12"/>
                <w:szCs w:val="12"/>
                <w:color w:val="auto"/>
              </w:rPr>
              <w:t>Energy</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2,047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326</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(319)</w:t>
            </w:r>
          </w:p>
        </w:tc>
        <w:tc>
          <w:tcPr>
            <w:tcW w:w="18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2,054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ind w:left="80"/>
              <w:spacing w:after="0"/>
              <w:rPr>
                <w:sz w:val="20"/>
                <w:szCs w:val="20"/>
                <w:color w:val="auto"/>
              </w:rPr>
            </w:pPr>
            <w:r>
              <w:rPr>
                <w:rFonts w:ascii="Arial" w:cs="Arial" w:eastAsia="Arial" w:hAnsi="Arial"/>
                <w:sz w:val="12"/>
                <w:szCs w:val="12"/>
                <w:color w:val="auto"/>
              </w:rPr>
              <w:t>Financial</w:t>
            </w:r>
          </w:p>
        </w:tc>
        <w:tc>
          <w:tcPr>
            <w:tcW w:w="80" w:type="dxa"/>
            <w:vAlign w:val="bottom"/>
          </w:tcPr>
          <w:p>
            <w:pPr>
              <w:spacing w:after="0"/>
              <w:rPr>
                <w:sz w:val="12"/>
                <w:szCs w:val="1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3,038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2"/>
                <w:szCs w:val="12"/>
                <w:color w:val="auto"/>
              </w:rPr>
              <w:t>296</w:t>
            </w:r>
          </w:p>
        </w:tc>
        <w:tc>
          <w:tcPr>
            <w:tcW w:w="100" w:type="dxa"/>
            <w:vAlign w:val="bottom"/>
          </w:tcPr>
          <w:p>
            <w:pPr>
              <w:spacing w:after="0"/>
              <w:rPr>
                <w:sz w:val="12"/>
                <w:szCs w:val="1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2"/>
                <w:szCs w:val="12"/>
                <w:color w:val="auto"/>
              </w:rPr>
              <w:t>(120)</w:t>
            </w:r>
          </w:p>
        </w:tc>
        <w:tc>
          <w:tcPr>
            <w:tcW w:w="1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3,214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shd w:val="clear" w:color="auto" w:fill="CCEEFF"/>
          </w:tcPr>
          <w:p>
            <w:pPr>
              <w:ind w:left="80"/>
              <w:spacing w:after="0"/>
              <w:rPr>
                <w:sz w:val="20"/>
                <w:szCs w:val="20"/>
                <w:color w:val="auto"/>
              </w:rPr>
            </w:pPr>
            <w:r>
              <w:rPr>
                <w:rFonts w:ascii="Arial" w:cs="Arial" w:eastAsia="Arial" w:hAnsi="Arial"/>
                <w:sz w:val="12"/>
                <w:szCs w:val="12"/>
                <w:color w:val="auto"/>
              </w:rPr>
              <w:t>Industrial</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5,000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3,528</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(118)</w:t>
            </w:r>
          </w:p>
        </w:tc>
        <w:tc>
          <w:tcPr>
            <w:tcW w:w="18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8,410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060" w:type="dxa"/>
            <w:vAlign w:val="bottom"/>
          </w:tcPr>
          <w:p>
            <w:pPr>
              <w:ind w:left="80"/>
              <w:spacing w:after="0"/>
              <w:rPr>
                <w:sz w:val="20"/>
                <w:szCs w:val="20"/>
                <w:color w:val="auto"/>
              </w:rPr>
            </w:pPr>
            <w:r>
              <w:rPr>
                <w:rFonts w:ascii="Arial" w:cs="Arial" w:eastAsia="Arial" w:hAnsi="Arial"/>
                <w:sz w:val="12"/>
                <w:szCs w:val="12"/>
                <w:color w:val="auto"/>
              </w:rPr>
              <w:t>Technology</w:t>
            </w:r>
          </w:p>
        </w:tc>
        <w:tc>
          <w:tcPr>
            <w:tcW w:w="8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4,112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2"/>
                <w:szCs w:val="12"/>
                <w:color w:val="auto"/>
              </w:rPr>
              <w:t>5,593</w:t>
            </w:r>
          </w:p>
        </w:tc>
        <w:tc>
          <w:tcPr>
            <w:tcW w:w="10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2"/>
                <w:szCs w:val="12"/>
                <w:color w:val="auto"/>
              </w:rPr>
              <w:t>(126)</w:t>
            </w: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9,579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060" w:type="dxa"/>
            <w:vAlign w:val="bottom"/>
            <w:tcBorders>
              <w:top w:val="single" w:sz="8" w:color="CCEEFF"/>
            </w:tcBorders>
            <w:shd w:val="clear" w:color="auto" w:fill="CCEEFF"/>
          </w:tcPr>
          <w:p>
            <w:pPr>
              <w:ind w:left="180"/>
              <w:spacing w:after="0" w:line="133" w:lineRule="exact"/>
              <w:rPr>
                <w:sz w:val="20"/>
                <w:szCs w:val="20"/>
                <w:color w:val="auto"/>
              </w:rPr>
            </w:pPr>
            <w:r>
              <w:rPr>
                <w:rFonts w:ascii="Arial" w:cs="Arial" w:eastAsia="Arial" w:hAnsi="Arial"/>
                <w:sz w:val="12"/>
                <w:szCs w:val="12"/>
                <w:color w:val="auto"/>
              </w:rPr>
              <w:t>Total equity securities</w:t>
            </w: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10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30,489</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10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20,644</w:t>
            </w: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10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(1,328)</w:t>
            </w:r>
          </w:p>
        </w:tc>
        <w:tc>
          <w:tcPr>
            <w:tcW w:w="2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right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49,805</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ind w:left="180"/>
              <w:spacing w:after="0" w:line="133" w:lineRule="exact"/>
              <w:rPr>
                <w:sz w:val="20"/>
                <w:szCs w:val="20"/>
                <w:color w:val="auto"/>
              </w:rPr>
            </w:pPr>
            <w:r>
              <w:rPr>
                <w:rFonts w:ascii="Arial" w:cs="Arial" w:eastAsia="Arial" w:hAnsi="Arial"/>
                <w:sz w:val="12"/>
                <w:szCs w:val="12"/>
                <w:color w:val="auto"/>
              </w:rPr>
              <w:t>Total investments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275,066</w:t>
            </w:r>
          </w:p>
        </w:tc>
        <w:tc>
          <w:tcPr>
            <w:tcW w:w="2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2"/>
                <w:szCs w:val="12"/>
                <w:color w:val="auto"/>
              </w:rPr>
              <w:t>21,552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(5,226</w:t>
            </w:r>
          </w:p>
        </w:tc>
        <w:tc>
          <w:tcPr>
            <w:tcW w:w="220" w:type="dxa"/>
            <w:vAlign w:val="bottom"/>
          </w:tcPr>
          <w:p>
            <w:pPr>
              <w:jc w:val="right"/>
              <w:ind w:right="140"/>
              <w:spacing w:after="0"/>
              <w:rPr>
                <w:sz w:val="20"/>
                <w:szCs w:val="20"/>
                <w:color w:val="auto"/>
              </w:rPr>
            </w:pPr>
            <w:r>
              <w:rPr>
                <w:rFonts w:ascii="Arial" w:cs="Arial" w:eastAsia="Arial" w:hAnsi="Arial"/>
                <w:sz w:val="8"/>
                <w:szCs w:val="8"/>
                <w:color w:val="auto"/>
                <w:w w:val="73"/>
              </w:rPr>
              <w:t>)</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291,392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5"/>
          </w:tcPr>
          <w:p>
            <w:pPr>
              <w:jc w:val="right"/>
              <w:ind w:right="980"/>
              <w:spacing w:after="0"/>
              <w:rPr>
                <w:sz w:val="20"/>
                <w:szCs w:val="20"/>
                <w:color w:val="auto"/>
              </w:rPr>
            </w:pPr>
            <w:r>
              <w:rPr>
                <w:rFonts w:ascii="Arial" w:cs="Arial" w:eastAsia="Arial" w:hAnsi="Arial"/>
                <w:sz w:val="12"/>
                <w:szCs w:val="12"/>
                <w:b w:val="1"/>
                <w:bCs w:val="1"/>
                <w:color w:val="auto"/>
              </w:rPr>
              <w:t>December 31, 2017</w:t>
            </w: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jc w:val="right"/>
              <w:ind w:right="240"/>
              <w:spacing w:after="0" w:line="121" w:lineRule="exact"/>
              <w:rPr>
                <w:sz w:val="20"/>
                <w:szCs w:val="20"/>
                <w:color w:val="auto"/>
              </w:rPr>
            </w:pPr>
            <w:r>
              <w:rPr>
                <w:rFonts w:ascii="Arial" w:cs="Arial" w:eastAsia="Arial" w:hAnsi="Arial"/>
                <w:sz w:val="12"/>
                <w:szCs w:val="12"/>
                <w:b w:val="1"/>
                <w:bCs w:val="1"/>
                <w:color w:val="auto"/>
                <w:w w:val="90"/>
              </w:rPr>
              <w:t>Cost or Amortized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2"/>
          </w:tcPr>
          <w:p>
            <w:pPr>
              <w:jc w:val="right"/>
              <w:ind w:right="380"/>
              <w:spacing w:after="0" w:line="121" w:lineRule="exact"/>
              <w:rPr>
                <w:sz w:val="20"/>
                <w:szCs w:val="20"/>
                <w:color w:val="auto"/>
              </w:rPr>
            </w:pPr>
            <w:r>
              <w:rPr>
                <w:rFonts w:ascii="Arial" w:cs="Arial" w:eastAsia="Arial" w:hAnsi="Arial"/>
                <w:sz w:val="12"/>
                <w:szCs w:val="12"/>
                <w:b w:val="1"/>
                <w:bCs w:val="1"/>
                <w:color w:val="auto"/>
                <w:w w:val="91"/>
              </w:rPr>
              <w:t>Gross Unrealized</w:t>
            </w:r>
          </w:p>
        </w:tc>
        <w:tc>
          <w:tcPr>
            <w:tcW w:w="100" w:type="dxa"/>
            <w:vAlign w:val="bottom"/>
          </w:tcPr>
          <w:p>
            <w:pPr>
              <w:spacing w:after="0"/>
              <w:rPr>
                <w:sz w:val="10"/>
                <w:szCs w:val="10"/>
                <w:color w:val="auto"/>
              </w:rPr>
            </w:pPr>
          </w:p>
        </w:tc>
        <w:tc>
          <w:tcPr>
            <w:tcW w:w="1280" w:type="dxa"/>
            <w:vAlign w:val="bottom"/>
            <w:gridSpan w:val="2"/>
          </w:tcPr>
          <w:p>
            <w:pPr>
              <w:jc w:val="right"/>
              <w:ind w:right="340"/>
              <w:spacing w:after="0" w:line="121" w:lineRule="exact"/>
              <w:rPr>
                <w:sz w:val="20"/>
                <w:szCs w:val="20"/>
                <w:color w:val="auto"/>
              </w:rPr>
            </w:pPr>
            <w:r>
              <w:rPr>
                <w:rFonts w:ascii="Arial" w:cs="Arial" w:eastAsia="Arial" w:hAnsi="Arial"/>
                <w:sz w:val="12"/>
                <w:szCs w:val="12"/>
                <w:b w:val="1"/>
                <w:bCs w:val="1"/>
                <w:color w:val="auto"/>
                <w:w w:val="89"/>
              </w:rPr>
              <w:t>Gross Unrealized</w:t>
            </w: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Cost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2"/>
                <w:szCs w:val="12"/>
                <w:b w:val="1"/>
                <w:bCs w:val="1"/>
                <w:color w:val="auto"/>
              </w:rPr>
              <w:t>Gains</w:t>
            </w:r>
          </w:p>
        </w:tc>
        <w:tc>
          <w:tcPr>
            <w:tcW w:w="100" w:type="dxa"/>
            <w:vAlign w:val="bottom"/>
          </w:tcPr>
          <w:p>
            <w:pPr>
              <w:spacing w:after="0"/>
              <w:rPr>
                <w:sz w:val="13"/>
                <w:szCs w:val="13"/>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2"/>
                <w:szCs w:val="12"/>
                <w:b w:val="1"/>
                <w:bCs w:val="1"/>
                <w:color w:val="auto"/>
              </w:rPr>
              <w:t>Losses</w:t>
            </w:r>
          </w:p>
        </w:tc>
        <w:tc>
          <w:tcPr>
            <w:tcW w:w="180" w:type="dxa"/>
            <w:vAlign w:val="bottom"/>
          </w:tcPr>
          <w:p>
            <w:pPr>
              <w:spacing w:after="0"/>
              <w:rPr>
                <w:sz w:val="13"/>
                <w:szCs w:val="13"/>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Fair Value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0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Fixed income securities:</w:t>
            </w:r>
          </w:p>
        </w:tc>
        <w:tc>
          <w:tcPr>
            <w:tcW w:w="20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ind w:left="80"/>
              <w:spacing w:after="0"/>
              <w:rPr>
                <w:sz w:val="20"/>
                <w:szCs w:val="20"/>
                <w:color w:val="auto"/>
              </w:rPr>
            </w:pPr>
            <w:r>
              <w:rPr>
                <w:rFonts w:ascii="Arial" w:cs="Arial" w:eastAsia="Arial" w:hAnsi="Arial"/>
                <w:sz w:val="12"/>
                <w:szCs w:val="12"/>
                <w:color w:val="auto"/>
              </w:rPr>
              <w:t>U.S. Government and agencies</w:t>
            </w:r>
          </w:p>
        </w:tc>
        <w:tc>
          <w:tcPr>
            <w:tcW w:w="214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9,531</w:t>
            </w:r>
          </w:p>
        </w:tc>
        <w:tc>
          <w:tcPr>
            <w:tcW w:w="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175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140"/>
              <w:spacing w:after="0"/>
              <w:rPr>
                <w:sz w:val="20"/>
                <w:szCs w:val="20"/>
                <w:color w:val="auto"/>
              </w:rPr>
            </w:pPr>
            <w:r>
              <w:rPr>
                <w:rFonts w:ascii="Arial" w:cs="Arial" w:eastAsia="Arial" w:hAnsi="Arial"/>
                <w:sz w:val="12"/>
                <w:szCs w:val="12"/>
                <w:color w:val="auto"/>
              </w:rPr>
              <w:t>(57)</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9,649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ind w:left="80"/>
              <w:spacing w:after="0"/>
              <w:rPr>
                <w:sz w:val="20"/>
                <w:szCs w:val="20"/>
                <w:color w:val="auto"/>
              </w:rPr>
            </w:pPr>
            <w:r>
              <w:rPr>
                <w:rFonts w:ascii="Arial" w:cs="Arial" w:eastAsia="Arial" w:hAnsi="Arial"/>
                <w:sz w:val="12"/>
                <w:szCs w:val="12"/>
                <w:color w:val="auto"/>
              </w:rPr>
              <w:t>Obligations of states and political subdivisions</w:t>
            </w:r>
          </w:p>
        </w:tc>
        <w:tc>
          <w:tcPr>
            <w:tcW w:w="2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81,741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1,171</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(317)</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82,595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ind w:left="80"/>
              <w:spacing w:after="0"/>
              <w:rPr>
                <w:sz w:val="20"/>
                <w:szCs w:val="20"/>
                <w:color w:val="auto"/>
              </w:rPr>
            </w:pPr>
            <w:r>
              <w:rPr>
                <w:rFonts w:ascii="Arial" w:cs="Arial" w:eastAsia="Arial" w:hAnsi="Arial"/>
                <w:sz w:val="12"/>
                <w:szCs w:val="12"/>
                <w:color w:val="auto"/>
              </w:rPr>
              <w:t>Corporate securities</w:t>
            </w: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88,474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1,197</w:t>
            </w:r>
          </w:p>
        </w:tc>
        <w:tc>
          <w:tcPr>
            <w:tcW w:w="100" w:type="dxa"/>
            <w:vAlign w:val="bottom"/>
          </w:tcPr>
          <w:p>
            <w:pPr>
              <w:spacing w:after="0"/>
              <w:rPr>
                <w:sz w:val="12"/>
                <w:szCs w:val="1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2"/>
                <w:szCs w:val="12"/>
                <w:color w:val="auto"/>
              </w:rPr>
              <w:t>(220)</w:t>
            </w: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89,451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ind w:left="80"/>
              <w:spacing w:after="0"/>
              <w:rPr>
                <w:sz w:val="20"/>
                <w:szCs w:val="20"/>
                <w:color w:val="auto"/>
              </w:rPr>
            </w:pPr>
            <w:r>
              <w:rPr>
                <w:rFonts w:ascii="Arial" w:cs="Arial" w:eastAsia="Arial" w:hAnsi="Arial"/>
                <w:sz w:val="12"/>
                <w:szCs w:val="12"/>
                <w:color w:val="auto"/>
              </w:rPr>
              <w:t>Residential mortgage-backed securities</w:t>
            </w:r>
          </w:p>
        </w:tc>
        <w:tc>
          <w:tcPr>
            <w:tcW w:w="2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28,557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124</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(157)</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28,524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ind w:left="80"/>
              <w:spacing w:after="0"/>
              <w:rPr>
                <w:sz w:val="20"/>
                <w:szCs w:val="20"/>
                <w:color w:val="auto"/>
              </w:rPr>
            </w:pPr>
            <w:r>
              <w:rPr>
                <w:rFonts w:ascii="Arial" w:cs="Arial" w:eastAsia="Arial" w:hAnsi="Arial"/>
                <w:sz w:val="12"/>
                <w:szCs w:val="12"/>
                <w:color w:val="auto"/>
              </w:rPr>
              <w:t>Commercial mortgage-backed securities</w:t>
            </w: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11,228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61</w:t>
            </w:r>
          </w:p>
        </w:tc>
        <w:tc>
          <w:tcPr>
            <w:tcW w:w="100" w:type="dxa"/>
            <w:vAlign w:val="bottom"/>
          </w:tcPr>
          <w:p>
            <w:pPr>
              <w:spacing w:after="0"/>
              <w:rPr>
                <w:sz w:val="12"/>
                <w:szCs w:val="1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2"/>
                <w:szCs w:val="12"/>
                <w:color w:val="auto"/>
              </w:rPr>
              <w:t>(119)</w:t>
            </w:r>
          </w:p>
        </w:tc>
        <w:tc>
          <w:tcPr>
            <w:tcW w:w="1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11,170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00" w:type="dxa"/>
            <w:vAlign w:val="bottom"/>
            <w:shd w:val="clear" w:color="auto" w:fill="CCEEFF"/>
          </w:tcPr>
          <w:p>
            <w:pPr>
              <w:ind w:left="80"/>
              <w:spacing w:after="0"/>
              <w:rPr>
                <w:sz w:val="20"/>
                <w:szCs w:val="20"/>
                <w:color w:val="auto"/>
              </w:rPr>
            </w:pPr>
            <w:r>
              <w:rPr>
                <w:rFonts w:ascii="Arial" w:cs="Arial" w:eastAsia="Arial" w:hAnsi="Arial"/>
                <w:sz w:val="12"/>
                <w:szCs w:val="12"/>
                <w:color w:val="auto"/>
              </w:rPr>
              <w:t>Asset-backed securities</w:t>
            </w:r>
          </w:p>
        </w:tc>
        <w:tc>
          <w:tcPr>
            <w:tcW w:w="2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15,447</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(88)</w:t>
            </w: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15,369</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000" w:type="dxa"/>
            <w:vAlign w:val="bottom"/>
            <w:tcBorders>
              <w:bottom w:val="single" w:sz="8" w:color="CCEEFF"/>
            </w:tcBorders>
          </w:tcPr>
          <w:p>
            <w:pPr>
              <w:ind w:left="180"/>
              <w:spacing w:after="0" w:line="133" w:lineRule="exact"/>
              <w:rPr>
                <w:sz w:val="20"/>
                <w:szCs w:val="20"/>
                <w:color w:val="auto"/>
              </w:rPr>
            </w:pPr>
            <w:r>
              <w:rPr>
                <w:rFonts w:ascii="Arial" w:cs="Arial" w:eastAsia="Arial" w:hAnsi="Arial"/>
                <w:sz w:val="12"/>
                <w:szCs w:val="12"/>
                <w:color w:val="auto"/>
              </w:rPr>
              <w:t>Total fixed income securities</w:t>
            </w:r>
          </w:p>
        </w:tc>
        <w:tc>
          <w:tcPr>
            <w:tcW w:w="20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234,978</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2,738</w:t>
            </w:r>
          </w:p>
        </w:tc>
        <w:tc>
          <w:tcPr>
            <w:tcW w:w="2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(958)</w:t>
            </w:r>
          </w:p>
        </w:tc>
        <w:tc>
          <w:tcPr>
            <w:tcW w:w="22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236,758</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400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Equity securities:</w:t>
            </w: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ind w:left="80"/>
              <w:spacing w:after="0"/>
              <w:rPr>
                <w:sz w:val="20"/>
                <w:szCs w:val="20"/>
                <w:color w:val="auto"/>
              </w:rPr>
            </w:pPr>
            <w:r>
              <w:rPr>
                <w:rFonts w:ascii="Arial" w:cs="Arial" w:eastAsia="Arial" w:hAnsi="Arial"/>
                <w:sz w:val="12"/>
                <w:szCs w:val="12"/>
                <w:color w:val="auto"/>
              </w:rPr>
              <w:t>Basic materials</w:t>
            </w:r>
          </w:p>
        </w:tc>
        <w:tc>
          <w:tcPr>
            <w:tcW w:w="2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768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124</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892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ind w:left="80"/>
              <w:spacing w:after="0"/>
              <w:rPr>
                <w:sz w:val="20"/>
                <w:szCs w:val="20"/>
                <w:color w:val="auto"/>
              </w:rPr>
            </w:pPr>
            <w:r>
              <w:rPr>
                <w:rFonts w:ascii="Arial" w:cs="Arial" w:eastAsia="Arial" w:hAnsi="Arial"/>
                <w:sz w:val="12"/>
                <w:szCs w:val="12"/>
                <w:color w:val="auto"/>
              </w:rPr>
              <w:t>Communications</w:t>
            </w: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3,027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1,449</w:t>
            </w:r>
          </w:p>
        </w:tc>
        <w:tc>
          <w:tcPr>
            <w:tcW w:w="100" w:type="dxa"/>
            <w:vAlign w:val="bottom"/>
          </w:tcPr>
          <w:p>
            <w:pPr>
              <w:spacing w:after="0"/>
              <w:rPr>
                <w:sz w:val="12"/>
                <w:szCs w:val="1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2"/>
                <w:szCs w:val="12"/>
                <w:color w:val="auto"/>
              </w:rPr>
              <w:t>(154)</w:t>
            </w: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4,322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Consumer, cyclical</w:t>
            </w:r>
          </w:p>
        </w:tc>
        <w:tc>
          <w:tcPr>
            <w:tcW w:w="2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5,303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4,156</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(120)</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9,339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ind w:left="80"/>
              <w:spacing w:after="0"/>
              <w:rPr>
                <w:sz w:val="20"/>
                <w:szCs w:val="20"/>
                <w:color w:val="auto"/>
              </w:rPr>
            </w:pPr>
            <w:r>
              <w:rPr>
                <w:rFonts w:ascii="Arial" w:cs="Arial" w:eastAsia="Arial" w:hAnsi="Arial"/>
                <w:sz w:val="12"/>
                <w:szCs w:val="12"/>
                <w:color w:val="auto"/>
              </w:rPr>
              <w:t>Consumer, non-cyclical</w:t>
            </w: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7,090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3,940</w:t>
            </w:r>
          </w:p>
        </w:tc>
        <w:tc>
          <w:tcPr>
            <w:tcW w:w="100" w:type="dxa"/>
            <w:vAlign w:val="bottom"/>
          </w:tcPr>
          <w:p>
            <w:pPr>
              <w:spacing w:after="0"/>
              <w:rPr>
                <w:sz w:val="12"/>
                <w:szCs w:val="1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2"/>
                <w:szCs w:val="12"/>
                <w:color w:val="auto"/>
              </w:rPr>
              <w:t>(125)</w:t>
            </w: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10,905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ind w:left="80"/>
              <w:spacing w:after="0"/>
              <w:rPr>
                <w:sz w:val="20"/>
                <w:szCs w:val="20"/>
                <w:color w:val="auto"/>
              </w:rPr>
            </w:pPr>
            <w:r>
              <w:rPr>
                <w:rFonts w:ascii="Arial" w:cs="Arial" w:eastAsia="Arial" w:hAnsi="Arial"/>
                <w:sz w:val="12"/>
                <w:szCs w:val="12"/>
                <w:color w:val="auto"/>
              </w:rPr>
              <w:t>Energy</w:t>
            </w:r>
          </w:p>
        </w:tc>
        <w:tc>
          <w:tcPr>
            <w:tcW w:w="2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2,003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272</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(44)</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2,231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ind w:left="80"/>
              <w:spacing w:after="0"/>
              <w:rPr>
                <w:sz w:val="20"/>
                <w:szCs w:val="20"/>
                <w:color w:val="auto"/>
              </w:rPr>
            </w:pPr>
            <w:r>
              <w:rPr>
                <w:rFonts w:ascii="Arial" w:cs="Arial" w:eastAsia="Arial" w:hAnsi="Arial"/>
                <w:sz w:val="12"/>
                <w:szCs w:val="12"/>
                <w:color w:val="auto"/>
              </w:rPr>
              <w:t>Financial</w:t>
            </w: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2,007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410</w:t>
            </w:r>
          </w:p>
        </w:tc>
        <w:tc>
          <w:tcPr>
            <w:tcW w:w="100" w:type="dxa"/>
            <w:vAlign w:val="bottom"/>
          </w:tcPr>
          <w:p>
            <w:pPr>
              <w:spacing w:after="0"/>
              <w:rPr>
                <w:sz w:val="12"/>
                <w:szCs w:val="12"/>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2,417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ind w:left="80"/>
              <w:spacing w:after="0"/>
              <w:rPr>
                <w:sz w:val="20"/>
                <w:szCs w:val="20"/>
                <w:color w:val="auto"/>
              </w:rPr>
            </w:pPr>
            <w:r>
              <w:rPr>
                <w:rFonts w:ascii="Arial" w:cs="Arial" w:eastAsia="Arial" w:hAnsi="Arial"/>
                <w:sz w:val="12"/>
                <w:szCs w:val="12"/>
                <w:color w:val="auto"/>
              </w:rPr>
              <w:t>Industrial</w:t>
            </w:r>
          </w:p>
        </w:tc>
        <w:tc>
          <w:tcPr>
            <w:tcW w:w="2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5,038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4,167</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9,205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00" w:type="dxa"/>
            <w:vAlign w:val="bottom"/>
          </w:tcPr>
          <w:p>
            <w:pPr>
              <w:ind w:left="80"/>
              <w:spacing w:after="0"/>
              <w:rPr>
                <w:sz w:val="20"/>
                <w:szCs w:val="20"/>
                <w:color w:val="auto"/>
              </w:rPr>
            </w:pPr>
            <w:r>
              <w:rPr>
                <w:rFonts w:ascii="Arial" w:cs="Arial" w:eastAsia="Arial" w:hAnsi="Arial"/>
                <w:sz w:val="12"/>
                <w:szCs w:val="12"/>
                <w:color w:val="auto"/>
              </w:rPr>
              <w:t>Technology</w:t>
            </w:r>
          </w:p>
        </w:tc>
        <w:tc>
          <w:tcPr>
            <w:tcW w:w="2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3,792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4,668</w:t>
            </w:r>
          </w:p>
        </w:tc>
        <w:tc>
          <w:tcPr>
            <w:tcW w:w="10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2"/>
                <w:szCs w:val="12"/>
                <w:color w:val="auto"/>
              </w:rPr>
              <w:t>(210)</w:t>
            </w:r>
          </w:p>
        </w:tc>
        <w:tc>
          <w:tcPr>
            <w:tcW w:w="1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8,250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000" w:type="dxa"/>
            <w:vAlign w:val="bottom"/>
            <w:tcBorders>
              <w:top w:val="single" w:sz="8" w:color="CCEEFF"/>
            </w:tcBorders>
            <w:shd w:val="clear" w:color="auto" w:fill="CCEEFF"/>
          </w:tcPr>
          <w:p>
            <w:pPr>
              <w:ind w:left="180"/>
              <w:spacing w:after="0" w:line="133" w:lineRule="exact"/>
              <w:rPr>
                <w:sz w:val="20"/>
                <w:szCs w:val="20"/>
                <w:color w:val="auto"/>
              </w:rPr>
            </w:pPr>
            <w:r>
              <w:rPr>
                <w:rFonts w:ascii="Arial" w:cs="Arial" w:eastAsia="Arial" w:hAnsi="Arial"/>
                <w:sz w:val="12"/>
                <w:szCs w:val="12"/>
                <w:color w:val="auto"/>
              </w:rPr>
              <w:t>Total equity securities</w:t>
            </w:r>
          </w:p>
        </w:tc>
        <w:tc>
          <w:tcPr>
            <w:tcW w:w="20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10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29,028</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10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19,186</w:t>
            </w: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10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(653)</w:t>
            </w:r>
          </w:p>
        </w:tc>
        <w:tc>
          <w:tcPr>
            <w:tcW w:w="2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9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47,561</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ind w:left="180"/>
              <w:spacing w:after="0" w:line="133" w:lineRule="exact"/>
              <w:rPr>
                <w:sz w:val="20"/>
                <w:szCs w:val="20"/>
                <w:color w:val="auto"/>
              </w:rPr>
            </w:pPr>
            <w:r>
              <w:rPr>
                <w:rFonts w:ascii="Arial" w:cs="Arial" w:eastAsia="Arial" w:hAnsi="Arial"/>
                <w:sz w:val="12"/>
                <w:szCs w:val="12"/>
                <w:color w:val="auto"/>
              </w:rPr>
              <w:t>Total investments</w:t>
            </w:r>
          </w:p>
        </w:tc>
        <w:tc>
          <w:tcPr>
            <w:tcW w:w="214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2"/>
                <w:szCs w:val="12"/>
                <w:color w:val="auto"/>
              </w:rPr>
              <w:t>264,006</w:t>
            </w:r>
          </w:p>
        </w:tc>
        <w:tc>
          <w:tcPr>
            <w:tcW w:w="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21,924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(1,611</w:t>
            </w:r>
          </w:p>
        </w:tc>
        <w:tc>
          <w:tcPr>
            <w:tcW w:w="220" w:type="dxa"/>
            <w:vAlign w:val="bottom"/>
          </w:tcPr>
          <w:p>
            <w:pPr>
              <w:jc w:val="right"/>
              <w:ind w:right="140"/>
              <w:spacing w:after="0"/>
              <w:rPr>
                <w:sz w:val="20"/>
                <w:szCs w:val="20"/>
                <w:color w:val="auto"/>
              </w:rPr>
            </w:pPr>
            <w:r>
              <w:rPr>
                <w:rFonts w:ascii="Arial" w:cs="Arial" w:eastAsia="Arial" w:hAnsi="Arial"/>
                <w:sz w:val="8"/>
                <w:szCs w:val="8"/>
                <w:color w:val="auto"/>
                <w:w w:val="73"/>
              </w:rPr>
              <w:t>)</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284,319</w:t>
            </w: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rPr>
              <w:t>16</w:t>
            </w:r>
          </w:p>
        </w:tc>
        <w:tc>
          <w:tcPr>
            <w:tcW w:w="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8"/>
          </w:cols>
          <w:pgMar w:left="212" w:top="197" w:right="19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NI Holdings, Inc.</w:t>
      </w:r>
    </w:p>
    <w:p>
      <w:pPr>
        <w:spacing w:after="0" w:line="5" w:lineRule="exact"/>
        <w:rPr>
          <w:sz w:val="20"/>
          <w:szCs w:val="20"/>
          <w:color w:val="auto"/>
        </w:rPr>
      </w:pPr>
    </w:p>
    <w:p>
      <w:pPr>
        <w:ind w:left="4340"/>
        <w:spacing w:after="0"/>
        <w:rPr>
          <w:sz w:val="20"/>
          <w:szCs w:val="20"/>
          <w:color w:val="auto"/>
        </w:rPr>
      </w:pPr>
      <w:r>
        <w:rPr>
          <w:rFonts w:ascii="Arial" w:cs="Arial" w:eastAsia="Arial" w:hAnsi="Arial"/>
          <w:sz w:val="12"/>
          <w:szCs w:val="12"/>
          <w:b w:val="1"/>
          <w:bCs w:val="1"/>
          <w:color w:val="auto"/>
        </w:rPr>
        <w:t>Notes to Unaudited Consolidated Financial Statements</w:t>
      </w:r>
    </w:p>
    <w:p>
      <w:pPr>
        <w:spacing w:after="0" w:line="6" w:lineRule="exact"/>
        <w:rPr>
          <w:sz w:val="20"/>
          <w:szCs w:val="20"/>
          <w:color w:val="auto"/>
        </w:rPr>
      </w:pPr>
    </w:p>
    <w:p>
      <w:pPr>
        <w:ind w:left="4260"/>
        <w:spacing w:after="0"/>
        <w:rPr>
          <w:sz w:val="20"/>
          <w:szCs w:val="20"/>
          <w:color w:val="auto"/>
        </w:rPr>
      </w:pPr>
      <w:r>
        <w:rPr>
          <w:rFonts w:ascii="Arial" w:cs="Arial" w:eastAsia="Arial" w:hAnsi="Arial"/>
          <w:sz w:val="12"/>
          <w:szCs w:val="12"/>
          <w:b w:val="1"/>
          <w:bCs w:val="1"/>
          <w:color w:val="auto"/>
        </w:rPr>
        <w:t>(dollar amounts in thousands, except per share amounts)</w:t>
      </w:r>
    </w:p>
    <w:p>
      <w:pPr>
        <w:spacing w:after="0" w:line="358" w:lineRule="exact"/>
        <w:rPr>
          <w:sz w:val="20"/>
          <w:szCs w:val="20"/>
          <w:color w:val="auto"/>
        </w:rPr>
      </w:pPr>
    </w:p>
    <w:p>
      <w:pPr>
        <w:ind w:right="60" w:firstLine="423"/>
        <w:spacing w:after="0" w:line="276" w:lineRule="auto"/>
        <w:rPr>
          <w:sz w:val="20"/>
          <w:szCs w:val="20"/>
          <w:color w:val="auto"/>
        </w:rPr>
      </w:pPr>
      <w:r>
        <w:rPr>
          <w:rFonts w:ascii="Arial" w:cs="Arial" w:eastAsia="Arial" w:hAnsi="Arial"/>
          <w:sz w:val="12"/>
          <w:szCs w:val="12"/>
          <w:color w:val="auto"/>
        </w:rPr>
        <w:t>The amortized cost and estimated fair value of fixed income securities by contractual maturity are shown below. Actual maturities could differ from contractual maturities because issuers of the securities may have the right to call or prepay certain obligations, which may or may not include call or prepayment penalties.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8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June 30, 2018</w:t>
            </w:r>
          </w:p>
        </w:tc>
        <w:tc>
          <w:tcPr>
            <w:tcW w:w="8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Amortized Cost</w:t>
            </w:r>
          </w:p>
        </w:tc>
        <w:tc>
          <w:tcPr>
            <w:tcW w:w="260" w:type="dxa"/>
            <w:vAlign w:val="bottom"/>
          </w:tcPr>
          <w:p>
            <w:pPr>
              <w:spacing w:after="0"/>
              <w:rPr>
                <w:sz w:val="12"/>
                <w:szCs w:val="12"/>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rPr>
              <w:t>Fair Value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88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Due to mature:</w:t>
            </w:r>
          </w:p>
        </w:tc>
        <w:tc>
          <w:tcPr>
            <w:tcW w:w="12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840" w:type="dxa"/>
            <w:vAlign w:val="bottom"/>
          </w:tcPr>
          <w:p>
            <w:pPr>
              <w:ind w:left="100"/>
              <w:spacing w:after="0"/>
              <w:rPr>
                <w:sz w:val="20"/>
                <w:szCs w:val="20"/>
                <w:color w:val="auto"/>
              </w:rPr>
            </w:pPr>
            <w:r>
              <w:rPr>
                <w:rFonts w:ascii="Arial" w:cs="Arial" w:eastAsia="Arial" w:hAnsi="Arial"/>
                <w:sz w:val="12"/>
                <w:szCs w:val="12"/>
                <w:color w:val="auto"/>
              </w:rPr>
              <w:t>One year or less</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7,259</w:t>
            </w:r>
          </w:p>
        </w:tc>
        <w:tc>
          <w:tcPr>
            <w:tcW w:w="240" w:type="dxa"/>
            <w:vAlign w:val="bottom"/>
          </w:tcPr>
          <w:p>
            <w:pPr>
              <w:spacing w:after="0"/>
              <w:rPr>
                <w:sz w:val="12"/>
                <w:szCs w:val="12"/>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7,254</w:t>
            </w:r>
          </w:p>
        </w:tc>
        <w:tc>
          <w:tcPr>
            <w:tcW w:w="0" w:type="dxa"/>
            <w:vAlign w:val="bottom"/>
          </w:tcPr>
          <w:p>
            <w:pPr>
              <w:spacing w:after="0"/>
              <w:rPr>
                <w:sz w:val="1"/>
                <w:szCs w:val="1"/>
                <w:color w:val="auto"/>
              </w:rPr>
            </w:pPr>
          </w:p>
        </w:tc>
      </w:tr>
      <w:tr>
        <w:trPr>
          <w:trHeight w:val="144"/>
        </w:trPr>
        <w:tc>
          <w:tcPr>
            <w:tcW w:w="88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After one year through five years</w:t>
            </w: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94,142</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93,650</w:t>
            </w:r>
          </w:p>
        </w:tc>
        <w:tc>
          <w:tcPr>
            <w:tcW w:w="0" w:type="dxa"/>
            <w:vAlign w:val="bottom"/>
          </w:tcPr>
          <w:p>
            <w:pPr>
              <w:spacing w:after="0"/>
              <w:rPr>
                <w:sz w:val="1"/>
                <w:szCs w:val="1"/>
                <w:color w:val="auto"/>
              </w:rPr>
            </w:pPr>
          </w:p>
        </w:tc>
      </w:tr>
      <w:tr>
        <w:trPr>
          <w:trHeight w:val="144"/>
        </w:trPr>
        <w:tc>
          <w:tcPr>
            <w:tcW w:w="8840" w:type="dxa"/>
            <w:vAlign w:val="bottom"/>
          </w:tcPr>
          <w:p>
            <w:pPr>
              <w:ind w:left="100"/>
              <w:spacing w:after="0"/>
              <w:rPr>
                <w:sz w:val="20"/>
                <w:szCs w:val="20"/>
                <w:color w:val="auto"/>
              </w:rPr>
            </w:pPr>
            <w:r>
              <w:rPr>
                <w:rFonts w:ascii="Arial" w:cs="Arial" w:eastAsia="Arial" w:hAnsi="Arial"/>
                <w:sz w:val="12"/>
                <w:szCs w:val="12"/>
                <w:color w:val="auto"/>
              </w:rPr>
              <w:t>After five years through ten years</w:t>
            </w:r>
          </w:p>
        </w:tc>
        <w:tc>
          <w:tcPr>
            <w:tcW w:w="12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2"/>
                <w:szCs w:val="12"/>
                <w:color w:val="auto"/>
              </w:rPr>
              <w:t>58,294</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57,333</w:t>
            </w:r>
          </w:p>
        </w:tc>
        <w:tc>
          <w:tcPr>
            <w:tcW w:w="0" w:type="dxa"/>
            <w:vAlign w:val="bottom"/>
          </w:tcPr>
          <w:p>
            <w:pPr>
              <w:spacing w:after="0"/>
              <w:rPr>
                <w:sz w:val="1"/>
                <w:szCs w:val="1"/>
                <w:color w:val="auto"/>
              </w:rPr>
            </w:pPr>
          </w:p>
        </w:tc>
      </w:tr>
      <w:tr>
        <w:trPr>
          <w:trHeight w:val="144"/>
        </w:trPr>
        <w:tc>
          <w:tcPr>
            <w:tcW w:w="88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After ten years</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6,363</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6,162</w:t>
            </w:r>
          </w:p>
        </w:tc>
        <w:tc>
          <w:tcPr>
            <w:tcW w:w="0" w:type="dxa"/>
            <w:vAlign w:val="bottom"/>
          </w:tcPr>
          <w:p>
            <w:pPr>
              <w:spacing w:after="0"/>
              <w:rPr>
                <w:sz w:val="1"/>
                <w:szCs w:val="1"/>
                <w:color w:val="auto"/>
              </w:rPr>
            </w:pPr>
          </w:p>
        </w:tc>
      </w:tr>
      <w:tr>
        <w:trPr>
          <w:trHeight w:val="153"/>
        </w:trPr>
        <w:tc>
          <w:tcPr>
            <w:tcW w:w="8840" w:type="dxa"/>
            <w:vAlign w:val="bottom"/>
          </w:tcPr>
          <w:p>
            <w:pPr>
              <w:ind w:left="100"/>
              <w:spacing w:after="0"/>
              <w:rPr>
                <w:sz w:val="20"/>
                <w:szCs w:val="20"/>
                <w:color w:val="auto"/>
              </w:rPr>
            </w:pPr>
            <w:r>
              <w:rPr>
                <w:rFonts w:ascii="Arial" w:cs="Arial" w:eastAsia="Arial" w:hAnsi="Arial"/>
                <w:sz w:val="12"/>
                <w:szCs w:val="12"/>
                <w:color w:val="auto"/>
              </w:rPr>
              <w:t>Mortgage / asset-backed securities</w:t>
            </w: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78,519</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77,188</w:t>
            </w:r>
          </w:p>
        </w:tc>
        <w:tc>
          <w:tcPr>
            <w:tcW w:w="0" w:type="dxa"/>
            <w:vAlign w:val="bottom"/>
          </w:tcPr>
          <w:p>
            <w:pPr>
              <w:spacing w:after="0"/>
              <w:rPr>
                <w:sz w:val="1"/>
                <w:szCs w:val="1"/>
                <w:color w:val="auto"/>
              </w:rPr>
            </w:pPr>
          </w:p>
        </w:tc>
      </w:tr>
      <w:tr>
        <w:trPr>
          <w:trHeight w:val="20"/>
        </w:trPr>
        <w:tc>
          <w:tcPr>
            <w:tcW w:w="8840" w:type="dxa"/>
            <w:vAlign w:val="bottom"/>
            <w:vMerge w:val="restart"/>
            <w:shd w:val="clear" w:color="auto" w:fill="CCEEFF"/>
          </w:tcPr>
          <w:p>
            <w:pPr>
              <w:ind w:left="200"/>
              <w:spacing w:after="0"/>
              <w:rPr>
                <w:sz w:val="20"/>
                <w:szCs w:val="20"/>
                <w:color w:val="auto"/>
              </w:rPr>
            </w:pPr>
            <w:r>
              <w:rPr>
                <w:rFonts w:ascii="Arial" w:cs="Arial" w:eastAsia="Arial" w:hAnsi="Arial"/>
                <w:sz w:val="12"/>
                <w:szCs w:val="12"/>
                <w:color w:val="auto"/>
              </w:rPr>
              <w:t>Total fixed income securities</w:t>
            </w: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244,577</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241,587</w:t>
            </w:r>
          </w:p>
        </w:tc>
        <w:tc>
          <w:tcPr>
            <w:tcW w:w="0" w:type="dxa"/>
            <w:vAlign w:val="bottom"/>
          </w:tcPr>
          <w:p>
            <w:pPr>
              <w:spacing w:after="0"/>
              <w:rPr>
                <w:sz w:val="1"/>
                <w:szCs w:val="1"/>
                <w:color w:val="auto"/>
              </w:rPr>
            </w:pPr>
          </w:p>
        </w:tc>
      </w:tr>
      <w:tr>
        <w:trPr>
          <w:trHeight w:val="27"/>
        </w:trPr>
        <w:tc>
          <w:tcPr>
            <w:tcW w:w="88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gridSpan w:val="5"/>
          </w:tcPr>
          <w:p>
            <w:pPr>
              <w:jc w:val="right"/>
              <w:ind w:right="880"/>
              <w:spacing w:after="0"/>
              <w:rPr>
                <w:sz w:val="20"/>
                <w:szCs w:val="20"/>
                <w:color w:val="auto"/>
              </w:rPr>
            </w:pPr>
            <w:r>
              <w:rPr>
                <w:rFonts w:ascii="Arial" w:cs="Arial" w:eastAsia="Arial" w:hAnsi="Arial"/>
                <w:sz w:val="12"/>
                <w:szCs w:val="12"/>
                <w:b w:val="1"/>
                <w:bCs w:val="1"/>
                <w:color w:val="auto"/>
              </w:rPr>
              <w:t>December 31, 2017</w:t>
            </w:r>
          </w:p>
        </w:tc>
        <w:tc>
          <w:tcPr>
            <w:tcW w:w="0" w:type="dxa"/>
            <w:vAlign w:val="bottom"/>
          </w:tcPr>
          <w:p>
            <w:pPr>
              <w:spacing w:after="0"/>
              <w:rPr>
                <w:sz w:val="1"/>
                <w:szCs w:val="1"/>
                <w:color w:val="auto"/>
              </w:rPr>
            </w:pPr>
          </w:p>
        </w:tc>
      </w:tr>
      <w:tr>
        <w:trPr>
          <w:trHeight w:val="142"/>
        </w:trPr>
        <w:tc>
          <w:tcPr>
            <w:tcW w:w="88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Amortized Cost</w:t>
            </w: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Fair Value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88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Due to mature:</w:t>
            </w:r>
          </w:p>
        </w:tc>
        <w:tc>
          <w:tcPr>
            <w:tcW w:w="12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840" w:type="dxa"/>
            <w:vAlign w:val="bottom"/>
          </w:tcPr>
          <w:p>
            <w:pPr>
              <w:ind w:left="100"/>
              <w:spacing w:after="0"/>
              <w:rPr>
                <w:sz w:val="20"/>
                <w:szCs w:val="20"/>
                <w:color w:val="auto"/>
              </w:rPr>
            </w:pPr>
            <w:r>
              <w:rPr>
                <w:rFonts w:ascii="Arial" w:cs="Arial" w:eastAsia="Arial" w:hAnsi="Arial"/>
                <w:sz w:val="12"/>
                <w:szCs w:val="12"/>
                <w:color w:val="auto"/>
              </w:rPr>
              <w:t>One year or less</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240"/>
              <w:spacing w:after="0"/>
              <w:rPr>
                <w:sz w:val="20"/>
                <w:szCs w:val="20"/>
                <w:color w:val="auto"/>
              </w:rPr>
            </w:pPr>
            <w:r>
              <w:rPr>
                <w:rFonts w:ascii="Arial" w:cs="Arial" w:eastAsia="Arial" w:hAnsi="Arial"/>
                <w:sz w:val="12"/>
                <w:szCs w:val="12"/>
                <w:color w:val="auto"/>
              </w:rPr>
              <w:t>12,761</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12,766</w:t>
            </w:r>
          </w:p>
        </w:tc>
        <w:tc>
          <w:tcPr>
            <w:tcW w:w="0" w:type="dxa"/>
            <w:vAlign w:val="bottom"/>
          </w:tcPr>
          <w:p>
            <w:pPr>
              <w:spacing w:after="0"/>
              <w:rPr>
                <w:sz w:val="1"/>
                <w:szCs w:val="1"/>
                <w:color w:val="auto"/>
              </w:rPr>
            </w:pPr>
          </w:p>
        </w:tc>
      </w:tr>
      <w:tr>
        <w:trPr>
          <w:trHeight w:val="144"/>
        </w:trPr>
        <w:tc>
          <w:tcPr>
            <w:tcW w:w="88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After one year through five years</w:t>
            </w: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86,830</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87,642</w:t>
            </w:r>
          </w:p>
        </w:tc>
        <w:tc>
          <w:tcPr>
            <w:tcW w:w="0" w:type="dxa"/>
            <w:vAlign w:val="bottom"/>
          </w:tcPr>
          <w:p>
            <w:pPr>
              <w:spacing w:after="0"/>
              <w:rPr>
                <w:sz w:val="1"/>
                <w:szCs w:val="1"/>
                <w:color w:val="auto"/>
              </w:rPr>
            </w:pPr>
          </w:p>
        </w:tc>
      </w:tr>
      <w:tr>
        <w:trPr>
          <w:trHeight w:val="144"/>
        </w:trPr>
        <w:tc>
          <w:tcPr>
            <w:tcW w:w="8840" w:type="dxa"/>
            <w:vAlign w:val="bottom"/>
          </w:tcPr>
          <w:p>
            <w:pPr>
              <w:ind w:left="100"/>
              <w:spacing w:after="0"/>
              <w:rPr>
                <w:sz w:val="20"/>
                <w:szCs w:val="20"/>
                <w:color w:val="auto"/>
              </w:rPr>
            </w:pPr>
            <w:r>
              <w:rPr>
                <w:rFonts w:ascii="Arial" w:cs="Arial" w:eastAsia="Arial" w:hAnsi="Arial"/>
                <w:sz w:val="12"/>
                <w:szCs w:val="12"/>
                <w:color w:val="auto"/>
              </w:rPr>
              <w:t>After five years through ten years</w:t>
            </w:r>
          </w:p>
        </w:tc>
        <w:tc>
          <w:tcPr>
            <w:tcW w:w="12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2"/>
                <w:szCs w:val="12"/>
                <w:color w:val="auto"/>
              </w:rPr>
              <w:t>69,586</w:t>
            </w: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70,680</w:t>
            </w:r>
          </w:p>
        </w:tc>
        <w:tc>
          <w:tcPr>
            <w:tcW w:w="0" w:type="dxa"/>
            <w:vAlign w:val="bottom"/>
          </w:tcPr>
          <w:p>
            <w:pPr>
              <w:spacing w:after="0"/>
              <w:rPr>
                <w:sz w:val="1"/>
                <w:szCs w:val="1"/>
                <w:color w:val="auto"/>
              </w:rPr>
            </w:pPr>
          </w:p>
        </w:tc>
      </w:tr>
      <w:tr>
        <w:trPr>
          <w:trHeight w:val="144"/>
        </w:trPr>
        <w:tc>
          <w:tcPr>
            <w:tcW w:w="88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After ten years</w:t>
            </w: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10,569</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10,607</w:t>
            </w:r>
          </w:p>
        </w:tc>
        <w:tc>
          <w:tcPr>
            <w:tcW w:w="0" w:type="dxa"/>
            <w:vAlign w:val="bottom"/>
          </w:tcPr>
          <w:p>
            <w:pPr>
              <w:spacing w:after="0"/>
              <w:rPr>
                <w:sz w:val="1"/>
                <w:szCs w:val="1"/>
                <w:color w:val="auto"/>
              </w:rPr>
            </w:pPr>
          </w:p>
        </w:tc>
      </w:tr>
      <w:tr>
        <w:trPr>
          <w:trHeight w:val="153"/>
        </w:trPr>
        <w:tc>
          <w:tcPr>
            <w:tcW w:w="8840" w:type="dxa"/>
            <w:vAlign w:val="bottom"/>
          </w:tcPr>
          <w:p>
            <w:pPr>
              <w:ind w:left="100"/>
              <w:spacing w:after="0"/>
              <w:rPr>
                <w:sz w:val="20"/>
                <w:szCs w:val="20"/>
                <w:color w:val="auto"/>
              </w:rPr>
            </w:pPr>
            <w:r>
              <w:rPr>
                <w:rFonts w:ascii="Arial" w:cs="Arial" w:eastAsia="Arial" w:hAnsi="Arial"/>
                <w:sz w:val="12"/>
                <w:szCs w:val="12"/>
                <w:color w:val="auto"/>
              </w:rPr>
              <w:t>Mortgage / asset-backed securities</w:t>
            </w: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55,232</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55,063</w:t>
            </w:r>
          </w:p>
        </w:tc>
        <w:tc>
          <w:tcPr>
            <w:tcW w:w="0" w:type="dxa"/>
            <w:vAlign w:val="bottom"/>
          </w:tcPr>
          <w:p>
            <w:pPr>
              <w:spacing w:after="0"/>
              <w:rPr>
                <w:sz w:val="1"/>
                <w:szCs w:val="1"/>
                <w:color w:val="auto"/>
              </w:rPr>
            </w:pPr>
          </w:p>
        </w:tc>
      </w:tr>
      <w:tr>
        <w:trPr>
          <w:trHeight w:val="20"/>
        </w:trPr>
        <w:tc>
          <w:tcPr>
            <w:tcW w:w="8840" w:type="dxa"/>
            <w:vAlign w:val="bottom"/>
            <w:vMerge w:val="restart"/>
            <w:shd w:val="clear" w:color="auto" w:fill="CCEEFF"/>
          </w:tcPr>
          <w:p>
            <w:pPr>
              <w:ind w:left="200"/>
              <w:spacing w:after="0"/>
              <w:rPr>
                <w:sz w:val="20"/>
                <w:szCs w:val="20"/>
                <w:color w:val="auto"/>
              </w:rPr>
            </w:pPr>
            <w:r>
              <w:rPr>
                <w:rFonts w:ascii="Arial" w:cs="Arial" w:eastAsia="Arial" w:hAnsi="Arial"/>
                <w:sz w:val="12"/>
                <w:szCs w:val="12"/>
                <w:color w:val="auto"/>
              </w:rPr>
              <w:t>Total fixed income securities</w:t>
            </w: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234,978</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236,758</w:t>
            </w:r>
          </w:p>
        </w:tc>
        <w:tc>
          <w:tcPr>
            <w:tcW w:w="0" w:type="dxa"/>
            <w:vAlign w:val="bottom"/>
          </w:tcPr>
          <w:p>
            <w:pPr>
              <w:spacing w:after="0"/>
              <w:rPr>
                <w:sz w:val="1"/>
                <w:szCs w:val="1"/>
                <w:color w:val="auto"/>
              </w:rPr>
            </w:pPr>
          </w:p>
        </w:tc>
      </w:tr>
      <w:tr>
        <w:trPr>
          <w:trHeight w:val="27"/>
        </w:trPr>
        <w:tc>
          <w:tcPr>
            <w:tcW w:w="88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right="100" w:firstLine="423"/>
        <w:spacing w:after="0" w:line="276" w:lineRule="auto"/>
        <w:rPr>
          <w:sz w:val="20"/>
          <w:szCs w:val="20"/>
          <w:color w:val="auto"/>
        </w:rPr>
      </w:pPr>
      <w:r>
        <w:rPr>
          <w:rFonts w:ascii="Arial" w:cs="Arial" w:eastAsia="Arial" w:hAnsi="Arial"/>
          <w:sz w:val="12"/>
          <w:szCs w:val="12"/>
          <w:color w:val="auto"/>
        </w:rPr>
        <w:t>Fixed income securities with a fair value of $3,392 at June 30, 2018 and $3,493 at December 31, 2017, were deposited with various state regulatory agencies as required by law. The Company has not pledged any assets to secure any obligations.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2340" cy="1714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NI Holdings, Inc.</w:t>
      </w:r>
    </w:p>
    <w:p>
      <w:pPr>
        <w:spacing w:after="0" w:line="5" w:lineRule="exact"/>
        <w:rPr>
          <w:sz w:val="20"/>
          <w:szCs w:val="20"/>
          <w:color w:val="auto"/>
        </w:rPr>
      </w:pPr>
    </w:p>
    <w:p>
      <w:pPr>
        <w:ind w:left="4340"/>
        <w:spacing w:after="0"/>
        <w:rPr>
          <w:sz w:val="20"/>
          <w:szCs w:val="20"/>
          <w:color w:val="auto"/>
        </w:rPr>
      </w:pPr>
      <w:r>
        <w:rPr>
          <w:rFonts w:ascii="Arial" w:cs="Arial" w:eastAsia="Arial" w:hAnsi="Arial"/>
          <w:sz w:val="12"/>
          <w:szCs w:val="12"/>
          <w:b w:val="1"/>
          <w:bCs w:val="1"/>
          <w:color w:val="auto"/>
        </w:rPr>
        <w:t>Notes to Unaudited Consolidated Financial Statements</w:t>
      </w:r>
    </w:p>
    <w:p>
      <w:pPr>
        <w:spacing w:after="0" w:line="6" w:lineRule="exact"/>
        <w:rPr>
          <w:sz w:val="20"/>
          <w:szCs w:val="20"/>
          <w:color w:val="auto"/>
        </w:rPr>
      </w:pPr>
    </w:p>
    <w:p>
      <w:pPr>
        <w:ind w:left="4260"/>
        <w:spacing w:after="0"/>
        <w:rPr>
          <w:sz w:val="20"/>
          <w:szCs w:val="20"/>
          <w:color w:val="auto"/>
        </w:rPr>
      </w:pPr>
      <w:r>
        <w:rPr>
          <w:rFonts w:ascii="Arial" w:cs="Arial" w:eastAsia="Arial" w:hAnsi="Arial"/>
          <w:sz w:val="12"/>
          <w:szCs w:val="12"/>
          <w:b w:val="1"/>
          <w:bCs w:val="1"/>
          <w:color w:val="auto"/>
        </w:rPr>
        <w:t>(dollar amounts in thousands, except per share amounts)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7420" w:type="dxa"/>
            <w:vAlign w:val="bottom"/>
            <w:gridSpan w:val="11"/>
          </w:tcPr>
          <w:p>
            <w:pPr>
              <w:jc w:val="center"/>
              <w:ind w:left="280"/>
              <w:spacing w:after="0"/>
              <w:rPr>
                <w:sz w:val="20"/>
                <w:szCs w:val="20"/>
                <w:color w:val="auto"/>
              </w:rPr>
            </w:pPr>
            <w:r>
              <w:rPr>
                <w:rFonts w:ascii="Arial" w:cs="Arial" w:eastAsia="Arial" w:hAnsi="Arial"/>
                <w:sz w:val="12"/>
                <w:szCs w:val="12"/>
                <w:color w:val="auto"/>
                <w:w w:val="90"/>
              </w:rPr>
              <w:t>The investment category and duration of the Company’s gross unrealized losses on fixed income securities and equity securities were as follows:</w:t>
            </w: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2"/>
                <w:szCs w:val="12"/>
                <w:b w:val="1"/>
                <w:bCs w:val="1"/>
                <w:color w:val="auto"/>
              </w:rPr>
              <w:t>June 30, 2018</w:t>
            </w: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40" w:type="dxa"/>
            <w:vAlign w:val="bottom"/>
            <w:gridSpan w:val="5"/>
          </w:tcPr>
          <w:p>
            <w:pPr>
              <w:jc w:val="right"/>
              <w:ind w:right="920"/>
              <w:spacing w:after="0"/>
              <w:rPr>
                <w:sz w:val="20"/>
                <w:szCs w:val="20"/>
                <w:color w:val="auto"/>
              </w:rPr>
            </w:pPr>
            <w:r>
              <w:rPr>
                <w:rFonts w:ascii="Arial" w:cs="Arial" w:eastAsia="Arial" w:hAnsi="Arial"/>
                <w:sz w:val="12"/>
                <w:szCs w:val="12"/>
                <w:b w:val="1"/>
                <w:bCs w:val="1"/>
                <w:color w:val="auto"/>
                <w:w w:val="89"/>
              </w:rPr>
              <w:t>Less than 12 Months</w:t>
            </w:r>
          </w:p>
        </w:tc>
        <w:tc>
          <w:tcPr>
            <w:tcW w:w="260" w:type="dxa"/>
            <w:vAlign w:val="bottom"/>
          </w:tcPr>
          <w:p>
            <w:pPr>
              <w:spacing w:after="0"/>
              <w:rPr>
                <w:sz w:val="12"/>
                <w:szCs w:val="12"/>
                <w:color w:val="auto"/>
              </w:rPr>
            </w:pPr>
          </w:p>
        </w:tc>
        <w:tc>
          <w:tcPr>
            <w:tcW w:w="2020" w:type="dxa"/>
            <w:vAlign w:val="bottom"/>
            <w:gridSpan w:val="4"/>
          </w:tcPr>
          <w:p>
            <w:pPr>
              <w:jc w:val="right"/>
              <w:ind w:right="320"/>
              <w:spacing w:after="0"/>
              <w:rPr>
                <w:sz w:val="20"/>
                <w:szCs w:val="20"/>
                <w:color w:val="auto"/>
              </w:rPr>
            </w:pPr>
            <w:r>
              <w:rPr>
                <w:rFonts w:ascii="Arial" w:cs="Arial" w:eastAsia="Arial" w:hAnsi="Arial"/>
                <w:sz w:val="12"/>
                <w:szCs w:val="12"/>
                <w:b w:val="1"/>
                <w:bCs w:val="1"/>
                <w:color w:val="auto"/>
              </w:rPr>
              <w:t>Greater than 12 months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3"/>
          </w:tcPr>
          <w:p>
            <w:pPr>
              <w:jc w:val="right"/>
              <w:ind w:right="90"/>
              <w:spacing w:after="0"/>
              <w:rPr>
                <w:sz w:val="20"/>
                <w:szCs w:val="20"/>
                <w:color w:val="auto"/>
              </w:rPr>
            </w:pPr>
            <w:r>
              <w:rPr>
                <w:rFonts w:ascii="Arial" w:cs="Arial" w:eastAsia="Arial" w:hAnsi="Arial"/>
                <w:sz w:val="12"/>
                <w:szCs w:val="12"/>
                <w:b w:val="1"/>
                <w:bCs w:val="1"/>
                <w:color w:val="auto"/>
              </w:rPr>
              <w:t>Total</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Borders>
              <w:top w:val="single" w:sz="8" w:color="auto"/>
            </w:tcBorders>
          </w:tcPr>
          <w:p>
            <w:pPr>
              <w:jc w:val="center"/>
              <w:ind w:left="360"/>
              <w:spacing w:after="0" w:line="121" w:lineRule="exact"/>
              <w:rPr>
                <w:sz w:val="20"/>
                <w:szCs w:val="20"/>
                <w:color w:val="auto"/>
              </w:rPr>
            </w:pPr>
            <w:r>
              <w:rPr>
                <w:rFonts w:ascii="Arial" w:cs="Arial" w:eastAsia="Arial" w:hAnsi="Arial"/>
                <w:sz w:val="12"/>
                <w:szCs w:val="12"/>
                <w:b w:val="1"/>
                <w:bCs w:val="1"/>
                <w:color w:val="auto"/>
                <w:w w:val="99"/>
              </w:rPr>
              <w:t>Fair</w:t>
            </w:r>
          </w:p>
        </w:tc>
        <w:tc>
          <w:tcPr>
            <w:tcW w:w="4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120"/>
              <w:spacing w:after="0" w:line="121" w:lineRule="exact"/>
              <w:rPr>
                <w:sz w:val="20"/>
                <w:szCs w:val="20"/>
                <w:color w:val="auto"/>
              </w:rPr>
            </w:pPr>
            <w:r>
              <w:rPr>
                <w:rFonts w:ascii="Arial" w:cs="Arial" w:eastAsia="Arial" w:hAnsi="Arial"/>
                <w:sz w:val="12"/>
                <w:szCs w:val="12"/>
                <w:b w:val="1"/>
                <w:bCs w:val="1"/>
                <w:color w:val="auto"/>
                <w:w w:val="92"/>
              </w:rPr>
              <w:t>Unrealized</w:t>
            </w:r>
          </w:p>
        </w:tc>
        <w:tc>
          <w:tcPr>
            <w:tcW w:w="2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ind w:right="420"/>
              <w:spacing w:after="0" w:line="121" w:lineRule="exact"/>
              <w:rPr>
                <w:sz w:val="20"/>
                <w:szCs w:val="20"/>
                <w:color w:val="auto"/>
              </w:rPr>
            </w:pPr>
            <w:r>
              <w:rPr>
                <w:rFonts w:ascii="Arial" w:cs="Arial" w:eastAsia="Arial" w:hAnsi="Arial"/>
                <w:sz w:val="12"/>
                <w:szCs w:val="12"/>
                <w:b w:val="1"/>
                <w:bCs w:val="1"/>
                <w:color w:val="auto"/>
                <w:w w:val="99"/>
              </w:rPr>
              <w:t>Fair</w:t>
            </w:r>
          </w:p>
        </w:tc>
        <w:tc>
          <w:tcPr>
            <w:tcW w:w="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left="220"/>
              <w:spacing w:after="0" w:line="121" w:lineRule="exact"/>
              <w:rPr>
                <w:sz w:val="20"/>
                <w:szCs w:val="20"/>
                <w:color w:val="auto"/>
              </w:rPr>
            </w:pPr>
            <w:r>
              <w:rPr>
                <w:rFonts w:ascii="Arial" w:cs="Arial" w:eastAsia="Arial" w:hAnsi="Arial"/>
                <w:sz w:val="12"/>
                <w:szCs w:val="12"/>
                <w:b w:val="1"/>
                <w:bCs w:val="1"/>
                <w:color w:val="auto"/>
                <w:w w:val="92"/>
              </w:rPr>
              <w:t>Unrealized</w:t>
            </w:r>
          </w:p>
        </w:tc>
        <w:tc>
          <w:tcPr>
            <w:tcW w:w="2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460"/>
              <w:spacing w:after="0" w:line="121" w:lineRule="exact"/>
              <w:rPr>
                <w:sz w:val="20"/>
                <w:szCs w:val="20"/>
                <w:color w:val="auto"/>
              </w:rPr>
            </w:pPr>
            <w:r>
              <w:rPr>
                <w:rFonts w:ascii="Arial" w:cs="Arial" w:eastAsia="Arial" w:hAnsi="Arial"/>
                <w:sz w:val="12"/>
                <w:szCs w:val="12"/>
                <w:b w:val="1"/>
                <w:bCs w:val="1"/>
                <w:color w:val="auto"/>
                <w:w w:val="99"/>
              </w:rPr>
              <w:t>Fair</w:t>
            </w: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240"/>
              <w:spacing w:after="0" w:line="121" w:lineRule="exact"/>
              <w:rPr>
                <w:sz w:val="20"/>
                <w:szCs w:val="20"/>
                <w:color w:val="auto"/>
              </w:rPr>
            </w:pPr>
            <w:r>
              <w:rPr>
                <w:rFonts w:ascii="Arial" w:cs="Arial" w:eastAsia="Arial" w:hAnsi="Arial"/>
                <w:sz w:val="12"/>
                <w:szCs w:val="12"/>
                <w:b w:val="1"/>
                <w:bCs w:val="1"/>
                <w:color w:val="auto"/>
              </w:rPr>
              <w:t>Unrealized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jc w:val="center"/>
              <w:ind w:left="360"/>
              <w:spacing w:after="0"/>
              <w:rPr>
                <w:sz w:val="20"/>
                <w:szCs w:val="20"/>
                <w:color w:val="auto"/>
              </w:rPr>
            </w:pPr>
            <w:r>
              <w:rPr>
                <w:rFonts w:ascii="Arial" w:cs="Arial" w:eastAsia="Arial" w:hAnsi="Arial"/>
                <w:sz w:val="12"/>
                <w:szCs w:val="12"/>
                <w:b w:val="1"/>
                <w:bCs w:val="1"/>
                <w:color w:val="auto"/>
                <w:w w:val="93"/>
              </w:rPr>
              <w:t>Value</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77"/>
              </w:rPr>
              <w:t>Losses</w:t>
            </w:r>
          </w:p>
        </w:tc>
        <w:tc>
          <w:tcPr>
            <w:tcW w:w="260" w:type="dxa"/>
            <w:vAlign w:val="bottom"/>
          </w:tcPr>
          <w:p>
            <w:pPr>
              <w:spacing w:after="0"/>
              <w:rPr>
                <w:sz w:val="13"/>
                <w:szCs w:val="13"/>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87"/>
              </w:rPr>
              <w:t>Value</w:t>
            </w:r>
          </w:p>
        </w:tc>
        <w:tc>
          <w:tcPr>
            <w:tcW w:w="60" w:type="dxa"/>
            <w:vAlign w:val="bottom"/>
          </w:tcPr>
          <w:p>
            <w:pPr>
              <w:spacing w:after="0"/>
              <w:rPr>
                <w:sz w:val="13"/>
                <w:szCs w:val="13"/>
                <w:color w:val="auto"/>
              </w:rPr>
            </w:pPr>
          </w:p>
        </w:tc>
        <w:tc>
          <w:tcPr>
            <w:tcW w:w="880" w:type="dxa"/>
            <w:vAlign w:val="bottom"/>
          </w:tcPr>
          <w:p>
            <w:pPr>
              <w:jc w:val="center"/>
              <w:ind w:left="200"/>
              <w:spacing w:after="0"/>
              <w:rPr>
                <w:sz w:val="20"/>
                <w:szCs w:val="20"/>
                <w:color w:val="auto"/>
              </w:rPr>
            </w:pPr>
            <w:r>
              <w:rPr>
                <w:rFonts w:ascii="Arial" w:cs="Arial" w:eastAsia="Arial" w:hAnsi="Arial"/>
                <w:sz w:val="12"/>
                <w:szCs w:val="12"/>
                <w:b w:val="1"/>
                <w:bCs w:val="1"/>
                <w:color w:val="auto"/>
                <w:w w:val="82"/>
              </w:rPr>
              <w:t>Losses</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93"/>
              </w:rPr>
              <w:t>Value</w:t>
            </w:r>
          </w:p>
        </w:tc>
        <w:tc>
          <w:tcPr>
            <w:tcW w:w="16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77"/>
              </w:rPr>
              <w:t>Losses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82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Fixed income securities:</w:t>
            </w:r>
          </w:p>
        </w:tc>
        <w:tc>
          <w:tcPr>
            <w:tcW w:w="5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20" w:type="dxa"/>
            <w:vAlign w:val="bottom"/>
          </w:tcPr>
          <w:p>
            <w:pPr>
              <w:ind w:left="80"/>
              <w:spacing w:after="0"/>
              <w:rPr>
                <w:sz w:val="20"/>
                <w:szCs w:val="20"/>
                <w:color w:val="auto"/>
              </w:rPr>
            </w:pPr>
            <w:r>
              <w:rPr>
                <w:rFonts w:ascii="Arial" w:cs="Arial" w:eastAsia="Arial" w:hAnsi="Arial"/>
                <w:sz w:val="12"/>
                <w:szCs w:val="12"/>
                <w:color w:val="auto"/>
              </w:rPr>
              <w:t>U.S. Government and agencies</w:t>
            </w:r>
          </w:p>
        </w:tc>
        <w:tc>
          <w:tcPr>
            <w:tcW w:w="1220" w:type="dxa"/>
            <w:vAlign w:val="bottom"/>
            <w:gridSpan w:val="2"/>
          </w:tcPr>
          <w:p>
            <w:pPr>
              <w:jc w:val="right"/>
              <w:ind w:right="60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9,919</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(208)</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748</w:t>
            </w:r>
          </w:p>
        </w:tc>
        <w:tc>
          <w:tcPr>
            <w:tcW w:w="940" w:type="dxa"/>
            <w:vAlign w:val="bottom"/>
            <w:gridSpan w:val="2"/>
          </w:tcPr>
          <w:p>
            <w:pPr>
              <w:jc w:val="right"/>
              <w:ind w:right="760"/>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2"/>
                <w:szCs w:val="12"/>
                <w:color w:val="auto"/>
              </w:rPr>
              <w:t>(3)</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10,667</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2"/>
                <w:szCs w:val="12"/>
                <w:color w:val="auto"/>
              </w:rPr>
              <w:t>(211)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20" w:type="dxa"/>
            <w:vAlign w:val="bottom"/>
            <w:shd w:val="clear" w:color="auto" w:fill="CCEEFF"/>
          </w:tcPr>
          <w:p>
            <w:pPr>
              <w:ind w:left="80"/>
              <w:spacing w:after="0"/>
              <w:rPr>
                <w:sz w:val="20"/>
                <w:szCs w:val="20"/>
                <w:color w:val="auto"/>
              </w:rPr>
            </w:pPr>
            <w:r>
              <w:rPr>
                <w:rFonts w:ascii="Arial" w:cs="Arial" w:eastAsia="Arial" w:hAnsi="Arial"/>
                <w:sz w:val="12"/>
                <w:szCs w:val="12"/>
                <w:color w:val="auto"/>
              </w:rPr>
              <w:t>Obligations of states and political subdivisions</w:t>
            </w: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28,068</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(548)</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3,959</w:t>
            </w: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99"/>
              </w:rPr>
              <w:t>(173)</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32,027</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20" w:type="dxa"/>
            <w:vAlign w:val="bottom"/>
          </w:tcPr>
          <w:p>
            <w:pPr>
              <w:ind w:left="80"/>
              <w:spacing w:after="0"/>
              <w:rPr>
                <w:sz w:val="20"/>
                <w:szCs w:val="20"/>
                <w:color w:val="auto"/>
              </w:rPr>
            </w:pPr>
            <w:r>
              <w:rPr>
                <w:rFonts w:ascii="Arial" w:cs="Arial" w:eastAsia="Arial" w:hAnsi="Arial"/>
                <w:sz w:val="12"/>
                <w:szCs w:val="12"/>
                <w:color w:val="auto"/>
              </w:rPr>
              <w:t>Corporate securities</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67,967</w:t>
            </w:r>
          </w:p>
        </w:tc>
        <w:tc>
          <w:tcPr>
            <w:tcW w:w="180" w:type="dxa"/>
            <w:vAlign w:val="bottom"/>
          </w:tcPr>
          <w:p>
            <w:pPr>
              <w:spacing w:after="0"/>
              <w:rPr>
                <w:sz w:val="12"/>
                <w:szCs w:val="1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(1,560)</w:t>
            </w: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1,122</w:t>
            </w: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2"/>
                <w:szCs w:val="12"/>
                <w:color w:val="auto"/>
              </w:rPr>
              <w:t>(40)</w:t>
            </w:r>
          </w:p>
        </w:tc>
        <w:tc>
          <w:tcPr>
            <w:tcW w:w="24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69,089</w:t>
            </w:r>
          </w:p>
        </w:tc>
        <w:tc>
          <w:tcPr>
            <w:tcW w:w="160" w:type="dxa"/>
            <w:vAlign w:val="bottom"/>
          </w:tcPr>
          <w:p>
            <w:pPr>
              <w:spacing w:after="0"/>
              <w:rPr>
                <w:sz w:val="12"/>
                <w:szCs w:val="12"/>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2"/>
                <w:szCs w:val="12"/>
                <w:color w:val="auto"/>
              </w:rPr>
              <w:t>(1,600)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20" w:type="dxa"/>
            <w:vAlign w:val="bottom"/>
            <w:shd w:val="clear" w:color="auto" w:fill="CCEEFF"/>
          </w:tcPr>
          <w:p>
            <w:pPr>
              <w:ind w:left="80"/>
              <w:spacing w:after="0"/>
              <w:rPr>
                <w:sz w:val="20"/>
                <w:szCs w:val="20"/>
                <w:color w:val="auto"/>
              </w:rPr>
            </w:pPr>
            <w:r>
              <w:rPr>
                <w:rFonts w:ascii="Arial" w:cs="Arial" w:eastAsia="Arial" w:hAnsi="Arial"/>
                <w:sz w:val="12"/>
                <w:szCs w:val="12"/>
                <w:color w:val="auto"/>
              </w:rPr>
              <w:t>Residential mortgage-backed securities</w:t>
            </w: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28,800</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(558)</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6,542</w:t>
            </w: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99"/>
              </w:rPr>
              <w:t>(286)</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35,342</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(844)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20" w:type="dxa"/>
            <w:vAlign w:val="bottom"/>
          </w:tcPr>
          <w:p>
            <w:pPr>
              <w:ind w:left="80"/>
              <w:spacing w:after="0"/>
              <w:rPr>
                <w:sz w:val="20"/>
                <w:szCs w:val="20"/>
                <w:color w:val="auto"/>
              </w:rPr>
            </w:pPr>
            <w:r>
              <w:rPr>
                <w:rFonts w:ascii="Arial" w:cs="Arial" w:eastAsia="Arial" w:hAnsi="Arial"/>
                <w:sz w:val="12"/>
                <w:szCs w:val="12"/>
                <w:color w:val="auto"/>
              </w:rPr>
              <w:t>Commercial mortgage-backed securities</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12,976</w:t>
            </w:r>
          </w:p>
        </w:tc>
        <w:tc>
          <w:tcPr>
            <w:tcW w:w="180" w:type="dxa"/>
            <w:vAlign w:val="bottom"/>
          </w:tcPr>
          <w:p>
            <w:pPr>
              <w:spacing w:after="0"/>
              <w:rPr>
                <w:sz w:val="12"/>
                <w:szCs w:val="1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(233)</w:t>
            </w: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1,606</w:t>
            </w: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2"/>
                <w:szCs w:val="12"/>
                <w:color w:val="auto"/>
              </w:rPr>
              <w:t>(91)</w:t>
            </w:r>
          </w:p>
        </w:tc>
        <w:tc>
          <w:tcPr>
            <w:tcW w:w="24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14,582</w:t>
            </w:r>
          </w:p>
        </w:tc>
        <w:tc>
          <w:tcPr>
            <w:tcW w:w="160" w:type="dxa"/>
            <w:vAlign w:val="bottom"/>
          </w:tcPr>
          <w:p>
            <w:pPr>
              <w:spacing w:after="0"/>
              <w:rPr>
                <w:sz w:val="12"/>
                <w:szCs w:val="12"/>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2"/>
                <w:szCs w:val="12"/>
                <w:color w:val="auto"/>
              </w:rPr>
              <w:t>(324)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820" w:type="dxa"/>
            <w:vAlign w:val="bottom"/>
            <w:shd w:val="clear" w:color="auto" w:fill="CCEEFF"/>
          </w:tcPr>
          <w:p>
            <w:pPr>
              <w:ind w:left="80"/>
              <w:spacing w:after="0"/>
              <w:rPr>
                <w:sz w:val="20"/>
                <w:szCs w:val="20"/>
                <w:color w:val="auto"/>
              </w:rPr>
            </w:pPr>
            <w:r>
              <w:rPr>
                <w:rFonts w:ascii="Arial" w:cs="Arial" w:eastAsia="Arial" w:hAnsi="Arial"/>
                <w:sz w:val="12"/>
                <w:szCs w:val="12"/>
                <w:color w:val="auto"/>
              </w:rPr>
              <w:t>Asset-backed securities</w:t>
            </w:r>
          </w:p>
        </w:tc>
        <w:tc>
          <w:tcPr>
            <w:tcW w:w="5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15,453</w:t>
            </w: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(185)</w:t>
            </w:r>
          </w:p>
        </w:tc>
        <w:tc>
          <w:tcPr>
            <w:tcW w:w="2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1,224</w:t>
            </w: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(13)</w:t>
            </w:r>
          </w:p>
        </w:tc>
        <w:tc>
          <w:tcPr>
            <w:tcW w:w="2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16,677</w:t>
            </w:r>
          </w:p>
        </w:tc>
        <w:tc>
          <w:tcPr>
            <w:tcW w:w="1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(198)</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820" w:type="dxa"/>
            <w:vAlign w:val="bottom"/>
            <w:tcBorders>
              <w:bottom w:val="single" w:sz="8" w:color="CCEEFF"/>
            </w:tcBorders>
          </w:tcPr>
          <w:p>
            <w:pPr>
              <w:ind w:left="180"/>
              <w:spacing w:after="0" w:line="133" w:lineRule="exact"/>
              <w:rPr>
                <w:sz w:val="20"/>
                <w:szCs w:val="20"/>
                <w:color w:val="auto"/>
              </w:rPr>
            </w:pPr>
            <w:r>
              <w:rPr>
                <w:rFonts w:ascii="Arial" w:cs="Arial" w:eastAsia="Arial" w:hAnsi="Arial"/>
                <w:sz w:val="12"/>
                <w:szCs w:val="12"/>
                <w:color w:val="auto"/>
              </w:rPr>
              <w:t>Total fixed income securities</w:t>
            </w:r>
          </w:p>
        </w:tc>
        <w:tc>
          <w:tcPr>
            <w:tcW w:w="500" w:type="dxa"/>
            <w:vAlign w:val="bottom"/>
            <w:tcBorders>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92"/>
              </w:rPr>
              <w:t>163,183</w:t>
            </w:r>
          </w:p>
        </w:tc>
        <w:tc>
          <w:tcPr>
            <w:tcW w:w="24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(3,292)</w:t>
            </w:r>
          </w:p>
        </w:tc>
        <w:tc>
          <w:tcPr>
            <w:tcW w:w="220" w:type="dxa"/>
            <w:vAlign w:val="bottom"/>
            <w:tcBorders>
              <w:bottom w:val="single" w:sz="8" w:color="CCEEFF"/>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15,201</w:t>
            </w:r>
          </w:p>
        </w:tc>
        <w:tc>
          <w:tcPr>
            <w:tcW w:w="1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8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85"/>
              </w:rPr>
              <w:t>(606)</w:t>
            </w:r>
          </w:p>
        </w:tc>
        <w:tc>
          <w:tcPr>
            <w:tcW w:w="24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178,384</w:t>
            </w:r>
          </w:p>
        </w:tc>
        <w:tc>
          <w:tcPr>
            <w:tcW w:w="2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(3,898)</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28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820" w:type="dxa"/>
            <w:vAlign w:val="bottom"/>
          </w:tcPr>
          <w:p>
            <w:pPr>
              <w:spacing w:after="0"/>
              <w:rPr>
                <w:sz w:val="20"/>
                <w:szCs w:val="20"/>
                <w:color w:val="auto"/>
              </w:rPr>
            </w:pPr>
            <w:r>
              <w:rPr>
                <w:rFonts w:ascii="Arial" w:cs="Arial" w:eastAsia="Arial" w:hAnsi="Arial"/>
                <w:sz w:val="12"/>
                <w:szCs w:val="12"/>
                <w:color w:val="auto"/>
              </w:rPr>
              <w:t>Equity securities:</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20" w:type="dxa"/>
            <w:vAlign w:val="bottom"/>
            <w:shd w:val="clear" w:color="auto" w:fill="CCEEFF"/>
          </w:tcPr>
          <w:p>
            <w:pPr>
              <w:ind w:left="80"/>
              <w:spacing w:after="0"/>
              <w:rPr>
                <w:sz w:val="20"/>
                <w:szCs w:val="20"/>
                <w:color w:val="auto"/>
              </w:rPr>
            </w:pPr>
            <w:r>
              <w:rPr>
                <w:rFonts w:ascii="Arial" w:cs="Arial" w:eastAsia="Arial" w:hAnsi="Arial"/>
                <w:sz w:val="12"/>
                <w:szCs w:val="12"/>
                <w:color w:val="auto"/>
              </w:rPr>
              <w:t>Basic materials</w:t>
            </w: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415</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(14)</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20" w:type="dxa"/>
            <w:vAlign w:val="bottom"/>
          </w:tcPr>
          <w:p>
            <w:pPr>
              <w:ind w:left="80"/>
              <w:spacing w:after="0"/>
              <w:rPr>
                <w:sz w:val="20"/>
                <w:szCs w:val="20"/>
                <w:color w:val="auto"/>
              </w:rPr>
            </w:pPr>
            <w:r>
              <w:rPr>
                <w:rFonts w:ascii="Arial" w:cs="Arial" w:eastAsia="Arial" w:hAnsi="Arial"/>
                <w:sz w:val="12"/>
                <w:szCs w:val="12"/>
                <w:color w:val="auto"/>
              </w:rPr>
              <w:t>Communications</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430</w:t>
            </w:r>
          </w:p>
        </w:tc>
        <w:tc>
          <w:tcPr>
            <w:tcW w:w="180" w:type="dxa"/>
            <w:vAlign w:val="bottom"/>
          </w:tcPr>
          <w:p>
            <w:pPr>
              <w:spacing w:after="0"/>
              <w:rPr>
                <w:sz w:val="12"/>
                <w:szCs w:val="1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(79)</w:t>
            </w: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630</w:t>
            </w: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2"/>
                <w:szCs w:val="12"/>
                <w:color w:val="auto"/>
              </w:rPr>
              <w:t>(65)</w:t>
            </w:r>
          </w:p>
        </w:tc>
        <w:tc>
          <w:tcPr>
            <w:tcW w:w="2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1,060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2"/>
                <w:szCs w:val="12"/>
                <w:color w:val="auto"/>
              </w:rPr>
              <w:t>(144)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2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Consumer, cyclical</w:t>
            </w: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376</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(62)</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20" w:type="dxa"/>
            <w:vAlign w:val="bottom"/>
          </w:tcPr>
          <w:p>
            <w:pPr>
              <w:ind w:left="80"/>
              <w:spacing w:after="0"/>
              <w:rPr>
                <w:sz w:val="20"/>
                <w:szCs w:val="20"/>
                <w:color w:val="auto"/>
              </w:rPr>
            </w:pPr>
            <w:r>
              <w:rPr>
                <w:rFonts w:ascii="Arial" w:cs="Arial" w:eastAsia="Arial" w:hAnsi="Arial"/>
                <w:sz w:val="12"/>
                <w:szCs w:val="12"/>
                <w:color w:val="auto"/>
              </w:rPr>
              <w:t>Consumer, non-cyclical</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3,036</w:t>
            </w:r>
          </w:p>
        </w:tc>
        <w:tc>
          <w:tcPr>
            <w:tcW w:w="180" w:type="dxa"/>
            <w:vAlign w:val="bottom"/>
          </w:tcPr>
          <w:p>
            <w:pPr>
              <w:spacing w:after="0"/>
              <w:rPr>
                <w:sz w:val="12"/>
                <w:szCs w:val="1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(425)</w:t>
            </w: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3,036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2"/>
                <w:szCs w:val="12"/>
                <w:color w:val="auto"/>
              </w:rPr>
              <w:t>(425)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20" w:type="dxa"/>
            <w:vAlign w:val="bottom"/>
            <w:shd w:val="clear" w:color="auto" w:fill="CCEEFF"/>
          </w:tcPr>
          <w:p>
            <w:pPr>
              <w:ind w:left="80"/>
              <w:spacing w:after="0"/>
              <w:rPr>
                <w:sz w:val="20"/>
                <w:szCs w:val="20"/>
                <w:color w:val="auto"/>
              </w:rPr>
            </w:pPr>
            <w:r>
              <w:rPr>
                <w:rFonts w:ascii="Arial" w:cs="Arial" w:eastAsia="Arial" w:hAnsi="Arial"/>
                <w:sz w:val="12"/>
                <w:szCs w:val="12"/>
                <w:color w:val="auto"/>
              </w:rPr>
              <w:t>Energy</w:t>
            </w: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132</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(319)</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20" w:type="dxa"/>
            <w:vAlign w:val="bottom"/>
          </w:tcPr>
          <w:p>
            <w:pPr>
              <w:ind w:left="80"/>
              <w:spacing w:after="0"/>
              <w:rPr>
                <w:sz w:val="20"/>
                <w:szCs w:val="20"/>
                <w:color w:val="auto"/>
              </w:rPr>
            </w:pPr>
            <w:r>
              <w:rPr>
                <w:rFonts w:ascii="Arial" w:cs="Arial" w:eastAsia="Arial" w:hAnsi="Arial"/>
                <w:sz w:val="12"/>
                <w:szCs w:val="12"/>
                <w:color w:val="auto"/>
              </w:rPr>
              <w:t>Financial</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1,626</w:t>
            </w:r>
          </w:p>
        </w:tc>
        <w:tc>
          <w:tcPr>
            <w:tcW w:w="180" w:type="dxa"/>
            <w:vAlign w:val="bottom"/>
          </w:tcPr>
          <w:p>
            <w:pPr>
              <w:spacing w:after="0"/>
              <w:rPr>
                <w:sz w:val="12"/>
                <w:szCs w:val="1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(120)</w:t>
            </w: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1,626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2"/>
                <w:szCs w:val="12"/>
                <w:color w:val="auto"/>
              </w:rPr>
              <w:t>(120)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20" w:type="dxa"/>
            <w:vAlign w:val="bottom"/>
            <w:shd w:val="clear" w:color="auto" w:fill="CCEEFF"/>
          </w:tcPr>
          <w:p>
            <w:pPr>
              <w:ind w:left="80"/>
              <w:spacing w:after="0"/>
              <w:rPr>
                <w:sz w:val="20"/>
                <w:szCs w:val="20"/>
                <w:color w:val="auto"/>
              </w:rPr>
            </w:pPr>
            <w:r>
              <w:rPr>
                <w:rFonts w:ascii="Arial" w:cs="Arial" w:eastAsia="Arial" w:hAnsi="Arial"/>
                <w:sz w:val="12"/>
                <w:szCs w:val="12"/>
                <w:color w:val="auto"/>
              </w:rPr>
              <w:t>Industrial</w:t>
            </w: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1,555</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(118)</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(118)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820" w:type="dxa"/>
            <w:vAlign w:val="bottom"/>
          </w:tcPr>
          <w:p>
            <w:pPr>
              <w:ind w:left="80"/>
              <w:spacing w:after="0"/>
              <w:rPr>
                <w:sz w:val="20"/>
                <w:szCs w:val="20"/>
                <w:color w:val="auto"/>
              </w:rPr>
            </w:pPr>
            <w:r>
              <w:rPr>
                <w:rFonts w:ascii="Arial" w:cs="Arial" w:eastAsia="Arial" w:hAnsi="Arial"/>
                <w:sz w:val="12"/>
                <w:szCs w:val="12"/>
                <w:color w:val="auto"/>
              </w:rPr>
              <w:t>Technology</w:t>
            </w: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432</w:t>
            </w:r>
          </w:p>
        </w:tc>
        <w:tc>
          <w:tcPr>
            <w:tcW w:w="18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(75)</w:t>
            </w:r>
          </w:p>
        </w:tc>
        <w:tc>
          <w:tcPr>
            <w:tcW w:w="26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192</w:t>
            </w: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2"/>
                <w:szCs w:val="12"/>
                <w:color w:val="auto"/>
              </w:rPr>
              <w:t>(51)</w:t>
            </w: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624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2"/>
                <w:szCs w:val="12"/>
                <w:color w:val="auto"/>
              </w:rPr>
              <w:t>(126)</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820" w:type="dxa"/>
            <w:vAlign w:val="bottom"/>
            <w:tcBorders>
              <w:top w:val="single" w:sz="8" w:color="CCEEFF"/>
            </w:tcBorders>
            <w:shd w:val="clear" w:color="auto" w:fill="CCEEFF"/>
          </w:tcPr>
          <w:p>
            <w:pPr>
              <w:ind w:left="180"/>
              <w:spacing w:after="0" w:line="133" w:lineRule="exact"/>
              <w:rPr>
                <w:sz w:val="20"/>
                <w:szCs w:val="20"/>
                <w:color w:val="auto"/>
              </w:rPr>
            </w:pPr>
            <w:r>
              <w:rPr>
                <w:rFonts w:ascii="Arial" w:cs="Arial" w:eastAsia="Arial" w:hAnsi="Arial"/>
                <w:sz w:val="12"/>
                <w:szCs w:val="12"/>
                <w:color w:val="auto"/>
              </w:rPr>
              <w:t>Total equity securities</w:t>
            </w:r>
          </w:p>
        </w:tc>
        <w:tc>
          <w:tcPr>
            <w:tcW w:w="5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8,002</w:t>
            </w:r>
          </w:p>
        </w:tc>
        <w:tc>
          <w:tcPr>
            <w:tcW w:w="2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(1,212)</w:t>
            </w:r>
          </w:p>
        </w:tc>
        <w:tc>
          <w:tcPr>
            <w:tcW w:w="2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spacing w:after="0"/>
              <w:rPr>
                <w:sz w:val="11"/>
                <w:szCs w:val="11"/>
                <w:color w:val="auto"/>
              </w:rPr>
            </w:pPr>
          </w:p>
        </w:tc>
        <w:tc>
          <w:tcPr>
            <w:tcW w:w="9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822</w:t>
            </w: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5"/>
              </w:rPr>
              <w:t>(116)</w:t>
            </w:r>
          </w:p>
        </w:tc>
        <w:tc>
          <w:tcPr>
            <w:tcW w:w="2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9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8,824</w:t>
            </w: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(1,328)</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20" w:type="dxa"/>
            <w:vAlign w:val="bottom"/>
          </w:tcPr>
          <w:p>
            <w:pPr>
              <w:ind w:left="180"/>
              <w:spacing w:after="0" w:line="133" w:lineRule="exact"/>
              <w:rPr>
                <w:sz w:val="20"/>
                <w:szCs w:val="20"/>
                <w:color w:val="auto"/>
              </w:rPr>
            </w:pPr>
            <w:r>
              <w:rPr>
                <w:rFonts w:ascii="Arial" w:cs="Arial" w:eastAsia="Arial" w:hAnsi="Arial"/>
                <w:sz w:val="12"/>
                <w:szCs w:val="12"/>
                <w:color w:val="auto"/>
              </w:rPr>
              <w:t>Total investments</w:t>
            </w:r>
          </w:p>
        </w:tc>
        <w:tc>
          <w:tcPr>
            <w:tcW w:w="1220" w:type="dxa"/>
            <w:vAlign w:val="bottom"/>
            <w:gridSpan w:val="2"/>
          </w:tcPr>
          <w:p>
            <w:pPr>
              <w:jc w:val="right"/>
              <w:ind w:right="60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w w:val="92"/>
              </w:rPr>
              <w:t>171,185</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(4,504</w:t>
            </w:r>
          </w:p>
        </w:tc>
        <w:tc>
          <w:tcPr>
            <w:tcW w:w="220" w:type="dxa"/>
            <w:vAlign w:val="bottom"/>
          </w:tcPr>
          <w:p>
            <w:pPr>
              <w:jc w:val="right"/>
              <w:ind w:right="140"/>
              <w:spacing w:after="0"/>
              <w:rPr>
                <w:sz w:val="20"/>
                <w:szCs w:val="20"/>
                <w:color w:val="auto"/>
              </w:rPr>
            </w:pPr>
            <w:r>
              <w:rPr>
                <w:rFonts w:ascii="Arial" w:cs="Arial" w:eastAsia="Arial" w:hAnsi="Arial"/>
                <w:sz w:val="8"/>
                <w:szCs w:val="8"/>
                <w:color w:val="auto"/>
                <w:w w:val="73"/>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16,023</w:t>
            </w:r>
          </w:p>
        </w:tc>
        <w:tc>
          <w:tcPr>
            <w:tcW w:w="940" w:type="dxa"/>
            <w:vAlign w:val="bottom"/>
            <w:gridSpan w:val="2"/>
          </w:tcPr>
          <w:p>
            <w:pPr>
              <w:jc w:val="right"/>
              <w:ind w:right="760"/>
              <w:spacing w:after="0"/>
              <w:rPr>
                <w:sz w:val="20"/>
                <w:szCs w:val="20"/>
                <w:color w:val="auto"/>
              </w:rPr>
            </w:pPr>
            <w:r>
              <w:rPr>
                <w:rFonts w:ascii="Arial" w:cs="Arial" w:eastAsia="Arial" w:hAnsi="Arial"/>
                <w:sz w:val="12"/>
                <w:szCs w:val="12"/>
                <w:color w:val="auto"/>
              </w:rPr>
              <w:t>$</w:t>
            </w:r>
          </w:p>
        </w:tc>
        <w:tc>
          <w:tcPr>
            <w:tcW w:w="260" w:type="dxa"/>
            <w:vAlign w:val="bottom"/>
          </w:tcPr>
          <w:p>
            <w:pPr>
              <w:jc w:val="right"/>
              <w:spacing w:after="0"/>
              <w:rPr>
                <w:sz w:val="20"/>
                <w:szCs w:val="20"/>
                <w:color w:val="auto"/>
              </w:rPr>
            </w:pPr>
            <w:r>
              <w:rPr>
                <w:rFonts w:ascii="Arial" w:cs="Arial" w:eastAsia="Arial" w:hAnsi="Arial"/>
                <w:sz w:val="12"/>
                <w:szCs w:val="12"/>
                <w:color w:val="auto"/>
                <w:w w:val="99"/>
              </w:rPr>
              <w:t>(722</w:t>
            </w:r>
          </w:p>
        </w:tc>
        <w:tc>
          <w:tcPr>
            <w:tcW w:w="240" w:type="dxa"/>
            <w:vAlign w:val="bottom"/>
          </w:tcPr>
          <w:p>
            <w:pPr>
              <w:jc w:val="right"/>
              <w:ind w:right="160"/>
              <w:spacing w:after="0"/>
              <w:rPr>
                <w:sz w:val="20"/>
                <w:szCs w:val="20"/>
                <w:color w:val="auto"/>
              </w:rPr>
            </w:pPr>
            <w:r>
              <w:rPr>
                <w:rFonts w:ascii="Arial" w:cs="Arial" w:eastAsia="Arial" w:hAnsi="Arial"/>
                <w:sz w:val="8"/>
                <w:szCs w:val="8"/>
                <w:color w:val="auto"/>
                <w:w w:val="73"/>
              </w:rPr>
              <w:t>)</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187,208</w:t>
            </w:r>
          </w:p>
        </w:tc>
        <w:tc>
          <w:tcPr>
            <w:tcW w:w="220" w:type="dxa"/>
            <w:vAlign w:val="bottom"/>
          </w:tcPr>
          <w:p>
            <w:pPr>
              <w:spacing w:after="0"/>
              <w:rPr>
                <w:sz w:val="12"/>
                <w:szCs w:val="12"/>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(5,226</w:t>
            </w:r>
          </w:p>
        </w:tc>
        <w:tc>
          <w:tcPr>
            <w:tcW w:w="120" w:type="dxa"/>
            <w:vAlign w:val="bottom"/>
          </w:tcPr>
          <w:p>
            <w:pPr>
              <w:jc w:val="right"/>
              <w:ind w:right="4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gridSpan w:val="2"/>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2"/>
                <w:szCs w:val="12"/>
                <w:b w:val="1"/>
                <w:bCs w:val="1"/>
                <w:color w:val="auto"/>
              </w:rPr>
              <w:t>December 31, 2017</w:t>
            </w: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40" w:type="dxa"/>
            <w:vAlign w:val="bottom"/>
            <w:gridSpan w:val="5"/>
          </w:tcPr>
          <w:p>
            <w:pPr>
              <w:jc w:val="right"/>
              <w:ind w:right="920"/>
              <w:spacing w:after="0"/>
              <w:rPr>
                <w:sz w:val="20"/>
                <w:szCs w:val="20"/>
                <w:color w:val="auto"/>
              </w:rPr>
            </w:pPr>
            <w:r>
              <w:rPr>
                <w:rFonts w:ascii="Arial" w:cs="Arial" w:eastAsia="Arial" w:hAnsi="Arial"/>
                <w:sz w:val="12"/>
                <w:szCs w:val="12"/>
                <w:b w:val="1"/>
                <w:bCs w:val="1"/>
                <w:color w:val="auto"/>
                <w:w w:val="89"/>
              </w:rPr>
              <w:t>Less than 12 Months</w:t>
            </w:r>
          </w:p>
        </w:tc>
        <w:tc>
          <w:tcPr>
            <w:tcW w:w="260" w:type="dxa"/>
            <w:vAlign w:val="bottom"/>
          </w:tcPr>
          <w:p>
            <w:pPr>
              <w:spacing w:after="0"/>
              <w:rPr>
                <w:sz w:val="12"/>
                <w:szCs w:val="12"/>
                <w:color w:val="auto"/>
              </w:rPr>
            </w:pPr>
          </w:p>
        </w:tc>
        <w:tc>
          <w:tcPr>
            <w:tcW w:w="2020" w:type="dxa"/>
            <w:vAlign w:val="bottom"/>
            <w:gridSpan w:val="4"/>
          </w:tcPr>
          <w:p>
            <w:pPr>
              <w:jc w:val="right"/>
              <w:ind w:right="320"/>
              <w:spacing w:after="0"/>
              <w:rPr>
                <w:sz w:val="20"/>
                <w:szCs w:val="20"/>
                <w:color w:val="auto"/>
              </w:rPr>
            </w:pPr>
            <w:r>
              <w:rPr>
                <w:rFonts w:ascii="Arial" w:cs="Arial" w:eastAsia="Arial" w:hAnsi="Arial"/>
                <w:sz w:val="12"/>
                <w:szCs w:val="12"/>
                <w:b w:val="1"/>
                <w:bCs w:val="1"/>
                <w:color w:val="auto"/>
              </w:rPr>
              <w:t>Greater than 12 months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3"/>
          </w:tcPr>
          <w:p>
            <w:pPr>
              <w:jc w:val="right"/>
              <w:ind w:right="90"/>
              <w:spacing w:after="0"/>
              <w:rPr>
                <w:sz w:val="20"/>
                <w:szCs w:val="20"/>
                <w:color w:val="auto"/>
              </w:rPr>
            </w:pPr>
            <w:r>
              <w:rPr>
                <w:rFonts w:ascii="Arial" w:cs="Arial" w:eastAsia="Arial" w:hAnsi="Arial"/>
                <w:sz w:val="12"/>
                <w:szCs w:val="12"/>
                <w:b w:val="1"/>
                <w:bCs w:val="1"/>
                <w:color w:val="auto"/>
              </w:rPr>
              <w:t>Total</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Borders>
              <w:top w:val="single" w:sz="8" w:color="auto"/>
            </w:tcBorders>
          </w:tcPr>
          <w:p>
            <w:pPr>
              <w:jc w:val="center"/>
              <w:ind w:left="360"/>
              <w:spacing w:after="0" w:line="121" w:lineRule="exact"/>
              <w:rPr>
                <w:sz w:val="20"/>
                <w:szCs w:val="20"/>
                <w:color w:val="auto"/>
              </w:rPr>
            </w:pPr>
            <w:r>
              <w:rPr>
                <w:rFonts w:ascii="Arial" w:cs="Arial" w:eastAsia="Arial" w:hAnsi="Arial"/>
                <w:sz w:val="12"/>
                <w:szCs w:val="12"/>
                <w:b w:val="1"/>
                <w:bCs w:val="1"/>
                <w:color w:val="auto"/>
                <w:w w:val="99"/>
              </w:rPr>
              <w:t>Fair</w:t>
            </w:r>
          </w:p>
        </w:tc>
        <w:tc>
          <w:tcPr>
            <w:tcW w:w="4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120"/>
              <w:spacing w:after="0" w:line="121" w:lineRule="exact"/>
              <w:rPr>
                <w:sz w:val="20"/>
                <w:szCs w:val="20"/>
                <w:color w:val="auto"/>
              </w:rPr>
            </w:pPr>
            <w:r>
              <w:rPr>
                <w:rFonts w:ascii="Arial" w:cs="Arial" w:eastAsia="Arial" w:hAnsi="Arial"/>
                <w:sz w:val="12"/>
                <w:szCs w:val="12"/>
                <w:b w:val="1"/>
                <w:bCs w:val="1"/>
                <w:color w:val="auto"/>
                <w:w w:val="92"/>
              </w:rPr>
              <w:t>Unrealized</w:t>
            </w:r>
          </w:p>
        </w:tc>
        <w:tc>
          <w:tcPr>
            <w:tcW w:w="2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ind w:right="420"/>
              <w:spacing w:after="0" w:line="121" w:lineRule="exact"/>
              <w:rPr>
                <w:sz w:val="20"/>
                <w:szCs w:val="20"/>
                <w:color w:val="auto"/>
              </w:rPr>
            </w:pPr>
            <w:r>
              <w:rPr>
                <w:rFonts w:ascii="Arial" w:cs="Arial" w:eastAsia="Arial" w:hAnsi="Arial"/>
                <w:sz w:val="12"/>
                <w:szCs w:val="12"/>
                <w:b w:val="1"/>
                <w:bCs w:val="1"/>
                <w:color w:val="auto"/>
                <w:w w:val="99"/>
              </w:rPr>
              <w:t>Fair</w:t>
            </w:r>
          </w:p>
        </w:tc>
        <w:tc>
          <w:tcPr>
            <w:tcW w:w="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left="220"/>
              <w:spacing w:after="0" w:line="121" w:lineRule="exact"/>
              <w:rPr>
                <w:sz w:val="20"/>
                <w:szCs w:val="20"/>
                <w:color w:val="auto"/>
              </w:rPr>
            </w:pPr>
            <w:r>
              <w:rPr>
                <w:rFonts w:ascii="Arial" w:cs="Arial" w:eastAsia="Arial" w:hAnsi="Arial"/>
                <w:sz w:val="12"/>
                <w:szCs w:val="12"/>
                <w:b w:val="1"/>
                <w:bCs w:val="1"/>
                <w:color w:val="auto"/>
                <w:w w:val="92"/>
              </w:rPr>
              <w:t>Unrealized</w:t>
            </w:r>
          </w:p>
        </w:tc>
        <w:tc>
          <w:tcPr>
            <w:tcW w:w="2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460"/>
              <w:spacing w:after="0" w:line="121" w:lineRule="exact"/>
              <w:rPr>
                <w:sz w:val="20"/>
                <w:szCs w:val="20"/>
                <w:color w:val="auto"/>
              </w:rPr>
            </w:pPr>
            <w:r>
              <w:rPr>
                <w:rFonts w:ascii="Arial" w:cs="Arial" w:eastAsia="Arial" w:hAnsi="Arial"/>
                <w:sz w:val="12"/>
                <w:szCs w:val="12"/>
                <w:b w:val="1"/>
                <w:bCs w:val="1"/>
                <w:color w:val="auto"/>
                <w:w w:val="99"/>
              </w:rPr>
              <w:t>Fair</w:t>
            </w: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100"/>
              <w:spacing w:after="0" w:line="121" w:lineRule="exact"/>
              <w:rPr>
                <w:sz w:val="20"/>
                <w:szCs w:val="20"/>
                <w:color w:val="auto"/>
              </w:rPr>
            </w:pPr>
            <w:r>
              <w:rPr>
                <w:rFonts w:ascii="Arial" w:cs="Arial" w:eastAsia="Arial" w:hAnsi="Arial"/>
                <w:sz w:val="12"/>
                <w:szCs w:val="12"/>
                <w:b w:val="1"/>
                <w:bCs w:val="1"/>
                <w:color w:val="auto"/>
                <w:w w:val="92"/>
              </w:rPr>
              <w:t>Unrealized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jc w:val="center"/>
              <w:ind w:left="360"/>
              <w:spacing w:after="0"/>
              <w:rPr>
                <w:sz w:val="20"/>
                <w:szCs w:val="20"/>
                <w:color w:val="auto"/>
              </w:rPr>
            </w:pPr>
            <w:r>
              <w:rPr>
                <w:rFonts w:ascii="Arial" w:cs="Arial" w:eastAsia="Arial" w:hAnsi="Arial"/>
                <w:sz w:val="12"/>
                <w:szCs w:val="12"/>
                <w:b w:val="1"/>
                <w:bCs w:val="1"/>
                <w:color w:val="auto"/>
                <w:w w:val="93"/>
              </w:rPr>
              <w:t>Value</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77"/>
              </w:rPr>
              <w:t>Losses</w:t>
            </w:r>
          </w:p>
        </w:tc>
        <w:tc>
          <w:tcPr>
            <w:tcW w:w="260" w:type="dxa"/>
            <w:vAlign w:val="bottom"/>
          </w:tcPr>
          <w:p>
            <w:pPr>
              <w:spacing w:after="0"/>
              <w:rPr>
                <w:sz w:val="13"/>
                <w:szCs w:val="13"/>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87"/>
              </w:rPr>
              <w:t>Value</w:t>
            </w:r>
          </w:p>
        </w:tc>
        <w:tc>
          <w:tcPr>
            <w:tcW w:w="60" w:type="dxa"/>
            <w:vAlign w:val="bottom"/>
          </w:tcPr>
          <w:p>
            <w:pPr>
              <w:spacing w:after="0"/>
              <w:rPr>
                <w:sz w:val="13"/>
                <w:szCs w:val="13"/>
                <w:color w:val="auto"/>
              </w:rPr>
            </w:pPr>
          </w:p>
        </w:tc>
        <w:tc>
          <w:tcPr>
            <w:tcW w:w="880" w:type="dxa"/>
            <w:vAlign w:val="bottom"/>
          </w:tcPr>
          <w:p>
            <w:pPr>
              <w:jc w:val="center"/>
              <w:ind w:left="200"/>
              <w:spacing w:after="0"/>
              <w:rPr>
                <w:sz w:val="20"/>
                <w:szCs w:val="20"/>
                <w:color w:val="auto"/>
              </w:rPr>
            </w:pPr>
            <w:r>
              <w:rPr>
                <w:rFonts w:ascii="Arial" w:cs="Arial" w:eastAsia="Arial" w:hAnsi="Arial"/>
                <w:sz w:val="12"/>
                <w:szCs w:val="12"/>
                <w:b w:val="1"/>
                <w:bCs w:val="1"/>
                <w:color w:val="auto"/>
                <w:w w:val="82"/>
              </w:rPr>
              <w:t>Losses</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93"/>
              </w:rPr>
              <w:t>Value</w:t>
            </w:r>
          </w:p>
        </w:tc>
        <w:tc>
          <w:tcPr>
            <w:tcW w:w="16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77"/>
              </w:rPr>
              <w:t>Losses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82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Fixed income securities:</w:t>
            </w:r>
          </w:p>
        </w:tc>
        <w:tc>
          <w:tcPr>
            <w:tcW w:w="5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20" w:type="dxa"/>
            <w:vAlign w:val="bottom"/>
          </w:tcPr>
          <w:p>
            <w:pPr>
              <w:ind w:left="80"/>
              <w:spacing w:after="0"/>
              <w:rPr>
                <w:sz w:val="20"/>
                <w:szCs w:val="20"/>
                <w:color w:val="auto"/>
              </w:rPr>
            </w:pPr>
            <w:r>
              <w:rPr>
                <w:rFonts w:ascii="Arial" w:cs="Arial" w:eastAsia="Arial" w:hAnsi="Arial"/>
                <w:sz w:val="12"/>
                <w:szCs w:val="12"/>
                <w:color w:val="auto"/>
              </w:rPr>
              <w:t>U.S. Government and agencies</w:t>
            </w:r>
          </w:p>
        </w:tc>
        <w:tc>
          <w:tcPr>
            <w:tcW w:w="1220" w:type="dxa"/>
            <w:vAlign w:val="bottom"/>
            <w:gridSpan w:val="2"/>
          </w:tcPr>
          <w:p>
            <w:pPr>
              <w:jc w:val="right"/>
              <w:ind w:right="60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6,442</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(54)</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497</w:t>
            </w:r>
          </w:p>
        </w:tc>
        <w:tc>
          <w:tcPr>
            <w:tcW w:w="940" w:type="dxa"/>
            <w:vAlign w:val="bottom"/>
            <w:gridSpan w:val="2"/>
          </w:tcPr>
          <w:p>
            <w:pPr>
              <w:jc w:val="right"/>
              <w:ind w:right="760"/>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2"/>
                <w:szCs w:val="12"/>
                <w:color w:val="auto"/>
              </w:rPr>
              <w:t>(3)</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6,939</w:t>
            </w:r>
          </w:p>
        </w:tc>
        <w:tc>
          <w:tcPr>
            <w:tcW w:w="220" w:type="dxa"/>
            <w:vAlign w:val="bottom"/>
          </w:tcPr>
          <w:p>
            <w:pPr>
              <w:spacing w:after="0"/>
              <w:rPr>
                <w:sz w:val="12"/>
                <w:szCs w:val="12"/>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2"/>
                <w:szCs w:val="12"/>
                <w:color w:val="auto"/>
              </w:rPr>
              <w:t>(57)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20" w:type="dxa"/>
            <w:vAlign w:val="bottom"/>
            <w:shd w:val="clear" w:color="auto" w:fill="CCEEFF"/>
          </w:tcPr>
          <w:p>
            <w:pPr>
              <w:ind w:left="80"/>
              <w:spacing w:after="0"/>
              <w:rPr>
                <w:sz w:val="20"/>
                <w:szCs w:val="20"/>
                <w:color w:val="auto"/>
              </w:rPr>
            </w:pPr>
            <w:r>
              <w:rPr>
                <w:rFonts w:ascii="Arial" w:cs="Arial" w:eastAsia="Arial" w:hAnsi="Arial"/>
                <w:sz w:val="12"/>
                <w:szCs w:val="12"/>
                <w:color w:val="auto"/>
              </w:rPr>
              <w:t>Obligations of states and political subdivisions</w:t>
            </w: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28,219</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(251)</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3,593</w:t>
            </w: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(66)</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31,812</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(317)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20" w:type="dxa"/>
            <w:vAlign w:val="bottom"/>
          </w:tcPr>
          <w:p>
            <w:pPr>
              <w:ind w:left="80"/>
              <w:spacing w:after="0"/>
              <w:rPr>
                <w:sz w:val="20"/>
                <w:szCs w:val="20"/>
                <w:color w:val="auto"/>
              </w:rPr>
            </w:pPr>
            <w:r>
              <w:rPr>
                <w:rFonts w:ascii="Arial" w:cs="Arial" w:eastAsia="Arial" w:hAnsi="Arial"/>
                <w:sz w:val="12"/>
                <w:szCs w:val="12"/>
                <w:color w:val="auto"/>
              </w:rPr>
              <w:t>Corporate securities</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39,025</w:t>
            </w:r>
          </w:p>
        </w:tc>
        <w:tc>
          <w:tcPr>
            <w:tcW w:w="180" w:type="dxa"/>
            <w:vAlign w:val="bottom"/>
          </w:tcPr>
          <w:p>
            <w:pPr>
              <w:spacing w:after="0"/>
              <w:rPr>
                <w:sz w:val="12"/>
                <w:szCs w:val="1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(201)</w:t>
            </w: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1,195</w:t>
            </w: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2"/>
                <w:szCs w:val="12"/>
                <w:color w:val="auto"/>
              </w:rPr>
              <w:t>(19)</w:t>
            </w:r>
          </w:p>
        </w:tc>
        <w:tc>
          <w:tcPr>
            <w:tcW w:w="24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40,220</w:t>
            </w:r>
          </w:p>
        </w:tc>
        <w:tc>
          <w:tcPr>
            <w:tcW w:w="160" w:type="dxa"/>
            <w:vAlign w:val="bottom"/>
          </w:tcPr>
          <w:p>
            <w:pPr>
              <w:spacing w:after="0"/>
              <w:rPr>
                <w:sz w:val="12"/>
                <w:szCs w:val="12"/>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2"/>
                <w:szCs w:val="12"/>
                <w:color w:val="auto"/>
              </w:rPr>
              <w:t>(220)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20" w:type="dxa"/>
            <w:vAlign w:val="bottom"/>
            <w:shd w:val="clear" w:color="auto" w:fill="CCEEFF"/>
          </w:tcPr>
          <w:p>
            <w:pPr>
              <w:ind w:left="80"/>
              <w:spacing w:after="0"/>
              <w:rPr>
                <w:sz w:val="20"/>
                <w:szCs w:val="20"/>
                <w:color w:val="auto"/>
              </w:rPr>
            </w:pPr>
            <w:r>
              <w:rPr>
                <w:rFonts w:ascii="Arial" w:cs="Arial" w:eastAsia="Arial" w:hAnsi="Arial"/>
                <w:sz w:val="12"/>
                <w:szCs w:val="12"/>
                <w:color w:val="auto"/>
              </w:rPr>
              <w:t>Residential mortgage-backed securities</w:t>
            </w: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7,573</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(40)</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7,248</w:t>
            </w: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99"/>
              </w:rPr>
              <w:t>(117)</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14,821</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(157)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20" w:type="dxa"/>
            <w:vAlign w:val="bottom"/>
          </w:tcPr>
          <w:p>
            <w:pPr>
              <w:ind w:left="80"/>
              <w:spacing w:after="0"/>
              <w:rPr>
                <w:sz w:val="20"/>
                <w:szCs w:val="20"/>
                <w:color w:val="auto"/>
              </w:rPr>
            </w:pPr>
            <w:r>
              <w:rPr>
                <w:rFonts w:ascii="Arial" w:cs="Arial" w:eastAsia="Arial" w:hAnsi="Arial"/>
                <w:sz w:val="12"/>
                <w:szCs w:val="12"/>
                <w:color w:val="auto"/>
              </w:rPr>
              <w:t>Commercial mortgage-backed securities</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4,652</w:t>
            </w:r>
          </w:p>
        </w:tc>
        <w:tc>
          <w:tcPr>
            <w:tcW w:w="180" w:type="dxa"/>
            <w:vAlign w:val="bottom"/>
          </w:tcPr>
          <w:p>
            <w:pPr>
              <w:spacing w:after="0"/>
              <w:rPr>
                <w:sz w:val="12"/>
                <w:szCs w:val="1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(64)</w:t>
            </w: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1,643</w:t>
            </w: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2"/>
                <w:szCs w:val="12"/>
                <w:color w:val="auto"/>
              </w:rPr>
              <w:t>(55)</w:t>
            </w:r>
          </w:p>
        </w:tc>
        <w:tc>
          <w:tcPr>
            <w:tcW w:w="2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6,295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2"/>
                <w:szCs w:val="12"/>
                <w:color w:val="auto"/>
              </w:rPr>
              <w:t>(119)</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820" w:type="dxa"/>
            <w:vAlign w:val="bottom"/>
            <w:shd w:val="clear" w:color="auto" w:fill="CCEEFF"/>
          </w:tcPr>
          <w:p>
            <w:pPr>
              <w:ind w:left="80"/>
              <w:spacing w:after="0"/>
              <w:rPr>
                <w:sz w:val="20"/>
                <w:szCs w:val="20"/>
                <w:color w:val="auto"/>
              </w:rPr>
            </w:pPr>
            <w:r>
              <w:rPr>
                <w:rFonts w:ascii="Arial" w:cs="Arial" w:eastAsia="Arial" w:hAnsi="Arial"/>
                <w:sz w:val="12"/>
                <w:szCs w:val="12"/>
                <w:color w:val="auto"/>
              </w:rPr>
              <w:t>Asset-backed securities</w:t>
            </w:r>
          </w:p>
        </w:tc>
        <w:tc>
          <w:tcPr>
            <w:tcW w:w="5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13,386</w:t>
            </w: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(80)</w:t>
            </w:r>
          </w:p>
        </w:tc>
        <w:tc>
          <w:tcPr>
            <w:tcW w:w="2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781</w:t>
            </w: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(8)</w:t>
            </w:r>
          </w:p>
        </w:tc>
        <w:tc>
          <w:tcPr>
            <w:tcW w:w="2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14,167</w:t>
            </w:r>
          </w:p>
        </w:tc>
        <w:tc>
          <w:tcPr>
            <w:tcW w:w="1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(88)</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820" w:type="dxa"/>
            <w:vAlign w:val="bottom"/>
            <w:tcBorders>
              <w:bottom w:val="single" w:sz="8" w:color="CCEEFF"/>
            </w:tcBorders>
          </w:tcPr>
          <w:p>
            <w:pPr>
              <w:ind w:left="180"/>
              <w:spacing w:after="0" w:line="133" w:lineRule="exact"/>
              <w:rPr>
                <w:sz w:val="20"/>
                <w:szCs w:val="20"/>
                <w:color w:val="auto"/>
              </w:rPr>
            </w:pPr>
            <w:r>
              <w:rPr>
                <w:rFonts w:ascii="Arial" w:cs="Arial" w:eastAsia="Arial" w:hAnsi="Arial"/>
                <w:sz w:val="12"/>
                <w:szCs w:val="12"/>
                <w:color w:val="auto"/>
              </w:rPr>
              <w:t>Total fixed income securities</w:t>
            </w:r>
          </w:p>
        </w:tc>
        <w:tc>
          <w:tcPr>
            <w:tcW w:w="500" w:type="dxa"/>
            <w:vAlign w:val="bottom"/>
            <w:tcBorders>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99,297</w:t>
            </w:r>
          </w:p>
        </w:tc>
        <w:tc>
          <w:tcPr>
            <w:tcW w:w="24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(690)</w:t>
            </w:r>
          </w:p>
        </w:tc>
        <w:tc>
          <w:tcPr>
            <w:tcW w:w="220" w:type="dxa"/>
            <w:vAlign w:val="bottom"/>
            <w:tcBorders>
              <w:bottom w:val="single" w:sz="8" w:color="CCEEFF"/>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14,957</w:t>
            </w:r>
          </w:p>
        </w:tc>
        <w:tc>
          <w:tcPr>
            <w:tcW w:w="1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8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85"/>
              </w:rPr>
              <w:t>(268)</w:t>
            </w:r>
          </w:p>
        </w:tc>
        <w:tc>
          <w:tcPr>
            <w:tcW w:w="24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114,254</w:t>
            </w:r>
          </w:p>
        </w:tc>
        <w:tc>
          <w:tcPr>
            <w:tcW w:w="2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(958)</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28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820" w:type="dxa"/>
            <w:vAlign w:val="bottom"/>
          </w:tcPr>
          <w:p>
            <w:pPr>
              <w:spacing w:after="0"/>
              <w:rPr>
                <w:sz w:val="20"/>
                <w:szCs w:val="20"/>
                <w:color w:val="auto"/>
              </w:rPr>
            </w:pPr>
            <w:r>
              <w:rPr>
                <w:rFonts w:ascii="Arial" w:cs="Arial" w:eastAsia="Arial" w:hAnsi="Arial"/>
                <w:sz w:val="12"/>
                <w:szCs w:val="12"/>
                <w:color w:val="auto"/>
              </w:rPr>
              <w:t>Equity securities:</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2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Communications</w:t>
            </w: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840</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(48)</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107</w:t>
            </w: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99"/>
              </w:rPr>
              <w:t>(106)</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947</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(154)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20" w:type="dxa"/>
            <w:vAlign w:val="bottom"/>
          </w:tcPr>
          <w:p>
            <w:pPr>
              <w:ind w:left="80"/>
              <w:spacing w:after="0"/>
              <w:rPr>
                <w:sz w:val="20"/>
                <w:szCs w:val="20"/>
                <w:color w:val="auto"/>
              </w:rPr>
            </w:pPr>
            <w:r>
              <w:rPr>
                <w:rFonts w:ascii="Arial" w:cs="Arial" w:eastAsia="Arial" w:hAnsi="Arial"/>
                <w:sz w:val="12"/>
                <w:szCs w:val="12"/>
                <w:color w:val="auto"/>
              </w:rPr>
              <w:t>Consumer, cyclical</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898</w:t>
            </w:r>
          </w:p>
        </w:tc>
        <w:tc>
          <w:tcPr>
            <w:tcW w:w="180" w:type="dxa"/>
            <w:vAlign w:val="bottom"/>
          </w:tcPr>
          <w:p>
            <w:pPr>
              <w:spacing w:after="0"/>
              <w:rPr>
                <w:sz w:val="12"/>
                <w:szCs w:val="1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(116)</w:t>
            </w: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214</w:t>
            </w: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2"/>
                <w:szCs w:val="12"/>
                <w:color w:val="auto"/>
              </w:rPr>
              <w:t>(4)</w:t>
            </w:r>
          </w:p>
        </w:tc>
        <w:tc>
          <w:tcPr>
            <w:tcW w:w="24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1,112</w:t>
            </w:r>
          </w:p>
        </w:tc>
        <w:tc>
          <w:tcPr>
            <w:tcW w:w="160" w:type="dxa"/>
            <w:vAlign w:val="bottom"/>
          </w:tcPr>
          <w:p>
            <w:pPr>
              <w:spacing w:after="0"/>
              <w:rPr>
                <w:sz w:val="12"/>
                <w:szCs w:val="12"/>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2"/>
                <w:szCs w:val="12"/>
                <w:color w:val="auto"/>
              </w:rPr>
              <w:t>(120)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2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Consumer, non-cyclical</w:t>
            </w: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1,894</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(125)</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1,894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(125)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20" w:type="dxa"/>
            <w:vAlign w:val="bottom"/>
          </w:tcPr>
          <w:p>
            <w:pPr>
              <w:ind w:left="80"/>
              <w:spacing w:after="0"/>
              <w:rPr>
                <w:sz w:val="20"/>
                <w:szCs w:val="20"/>
                <w:color w:val="auto"/>
              </w:rPr>
            </w:pPr>
            <w:r>
              <w:rPr>
                <w:rFonts w:ascii="Arial" w:cs="Arial" w:eastAsia="Arial" w:hAnsi="Arial"/>
                <w:sz w:val="12"/>
                <w:szCs w:val="12"/>
                <w:color w:val="auto"/>
              </w:rPr>
              <w:t>Energy</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243</w:t>
            </w:r>
          </w:p>
        </w:tc>
        <w:tc>
          <w:tcPr>
            <w:tcW w:w="180" w:type="dxa"/>
            <w:vAlign w:val="bottom"/>
          </w:tcPr>
          <w:p>
            <w:pPr>
              <w:spacing w:after="0"/>
              <w:rPr>
                <w:sz w:val="12"/>
                <w:szCs w:val="1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(44)</w:t>
            </w: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243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2"/>
                <w:szCs w:val="12"/>
                <w:color w:val="auto"/>
              </w:rPr>
              <w:t>(44)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820" w:type="dxa"/>
            <w:vAlign w:val="bottom"/>
            <w:shd w:val="clear" w:color="auto" w:fill="CCEEFF"/>
          </w:tcPr>
          <w:p>
            <w:pPr>
              <w:ind w:left="80"/>
              <w:spacing w:after="0"/>
              <w:rPr>
                <w:sz w:val="20"/>
                <w:szCs w:val="20"/>
                <w:color w:val="auto"/>
              </w:rPr>
            </w:pPr>
            <w:r>
              <w:rPr>
                <w:rFonts w:ascii="Arial" w:cs="Arial" w:eastAsia="Arial" w:hAnsi="Arial"/>
                <w:sz w:val="12"/>
                <w:szCs w:val="12"/>
                <w:color w:val="auto"/>
              </w:rPr>
              <w:t>Technology</w:t>
            </w:r>
          </w:p>
        </w:tc>
        <w:tc>
          <w:tcPr>
            <w:tcW w:w="5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634</w:t>
            </w: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(120)</w:t>
            </w:r>
          </w:p>
        </w:tc>
        <w:tc>
          <w:tcPr>
            <w:tcW w:w="2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152</w:t>
            </w: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(90)</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786</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(210)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820" w:type="dxa"/>
            <w:vAlign w:val="bottom"/>
            <w:tcBorders>
              <w:bottom w:val="single" w:sz="8" w:color="CCEEFF"/>
            </w:tcBorders>
          </w:tcPr>
          <w:p>
            <w:pPr>
              <w:ind w:left="180"/>
              <w:spacing w:after="0" w:line="133" w:lineRule="exact"/>
              <w:rPr>
                <w:sz w:val="20"/>
                <w:szCs w:val="20"/>
                <w:color w:val="auto"/>
              </w:rPr>
            </w:pPr>
            <w:r>
              <w:rPr>
                <w:rFonts w:ascii="Arial" w:cs="Arial" w:eastAsia="Arial" w:hAnsi="Arial"/>
                <w:sz w:val="12"/>
                <w:szCs w:val="12"/>
                <w:color w:val="auto"/>
              </w:rPr>
              <w:t>Total equity securities</w:t>
            </w:r>
          </w:p>
        </w:tc>
        <w:tc>
          <w:tcPr>
            <w:tcW w:w="500" w:type="dxa"/>
            <w:vAlign w:val="bottom"/>
            <w:tcBorders>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4,509</w:t>
            </w:r>
          </w:p>
        </w:tc>
        <w:tc>
          <w:tcPr>
            <w:tcW w:w="24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(453)</w:t>
            </w:r>
          </w:p>
        </w:tc>
        <w:tc>
          <w:tcPr>
            <w:tcW w:w="220" w:type="dxa"/>
            <w:vAlign w:val="bottom"/>
            <w:tcBorders>
              <w:bottom w:val="single" w:sz="8" w:color="CCEEFF"/>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473</w:t>
            </w:r>
          </w:p>
        </w:tc>
        <w:tc>
          <w:tcPr>
            <w:tcW w:w="1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8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85"/>
              </w:rPr>
              <w:t>(200)</w:t>
            </w:r>
          </w:p>
        </w:tc>
        <w:tc>
          <w:tcPr>
            <w:tcW w:w="24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4,982</w:t>
            </w:r>
          </w:p>
        </w:tc>
        <w:tc>
          <w:tcPr>
            <w:tcW w:w="2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(653)</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ind w:left="180"/>
              <w:spacing w:after="0" w:line="133" w:lineRule="exact"/>
              <w:rPr>
                <w:sz w:val="20"/>
                <w:szCs w:val="20"/>
                <w:color w:val="auto"/>
              </w:rPr>
            </w:pPr>
            <w:r>
              <w:rPr>
                <w:rFonts w:ascii="Arial" w:cs="Arial" w:eastAsia="Arial" w:hAnsi="Arial"/>
                <w:sz w:val="12"/>
                <w:szCs w:val="12"/>
                <w:color w:val="auto"/>
              </w:rPr>
              <w:t>Total investments</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92"/>
              </w:rPr>
              <w:t>103,806</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(1,143</w:t>
            </w:r>
          </w:p>
        </w:tc>
        <w:tc>
          <w:tcPr>
            <w:tcW w:w="220" w:type="dxa"/>
            <w:vAlign w:val="bottom"/>
            <w:shd w:val="clear" w:color="auto" w:fill="CCEEFF"/>
          </w:tcPr>
          <w:p>
            <w:pPr>
              <w:jc w:val="right"/>
              <w:ind w:right="140"/>
              <w:spacing w:after="0"/>
              <w:rPr>
                <w:sz w:val="20"/>
                <w:szCs w:val="20"/>
                <w:color w:val="auto"/>
              </w:rPr>
            </w:pPr>
            <w:r>
              <w:rPr>
                <w:rFonts w:ascii="Arial" w:cs="Arial" w:eastAsia="Arial" w:hAnsi="Arial"/>
                <w:sz w:val="8"/>
                <w:szCs w:val="8"/>
                <w:color w:val="auto"/>
                <w:w w:val="73"/>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15,430</w:t>
            </w:r>
          </w:p>
        </w:tc>
        <w:tc>
          <w:tcPr>
            <w:tcW w:w="940" w:type="dxa"/>
            <w:vAlign w:val="bottom"/>
            <w:gridSpan w:val="2"/>
            <w:shd w:val="clear" w:color="auto" w:fill="CCEEFF"/>
          </w:tcPr>
          <w:p>
            <w:pPr>
              <w:jc w:val="right"/>
              <w:ind w:right="76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(468</w:t>
            </w:r>
          </w:p>
        </w:tc>
        <w:tc>
          <w:tcPr>
            <w:tcW w:w="240" w:type="dxa"/>
            <w:vAlign w:val="bottom"/>
            <w:shd w:val="clear" w:color="auto" w:fill="CCEEFF"/>
          </w:tcPr>
          <w:p>
            <w:pPr>
              <w:jc w:val="right"/>
              <w:ind w:right="160"/>
              <w:spacing w:after="0"/>
              <w:rPr>
                <w:sz w:val="20"/>
                <w:szCs w:val="20"/>
                <w:color w:val="auto"/>
              </w:rPr>
            </w:pPr>
            <w:r>
              <w:rPr>
                <w:rFonts w:ascii="Arial" w:cs="Arial" w:eastAsia="Arial" w:hAnsi="Arial"/>
                <w:sz w:val="8"/>
                <w:szCs w:val="8"/>
                <w:color w:val="auto"/>
                <w:w w:val="73"/>
              </w:rPr>
              <w:t>)</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119,236</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(1,611</w:t>
            </w:r>
          </w:p>
        </w:tc>
        <w:tc>
          <w:tcPr>
            <w:tcW w:w="120" w:type="dxa"/>
            <w:vAlign w:val="bottom"/>
            <w:shd w:val="clear" w:color="auto" w:fill="CCEEFF"/>
          </w:tcPr>
          <w:p>
            <w:pPr>
              <w:jc w:val="right"/>
              <w:ind w:right="4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82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rPr>
              <w:t>18</w:t>
            </w:r>
          </w:p>
        </w:tc>
        <w:tc>
          <w:tcPr>
            <w:tcW w:w="22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197" w:right="199" w:bottom="1440" w:gutter="0" w:footer="0" w:header="0"/>
        </w:sectPr>
      </w:pPr>
    </w:p>
    <w:bookmarkStart w:id="20" w:name="page21"/>
    <w:bookmarkEnd w:id="20"/>
    <w:p>
      <w:pPr>
        <w:ind w:left="8"/>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NI Holdings, Inc.</w:t>
      </w:r>
    </w:p>
    <w:p>
      <w:pPr>
        <w:spacing w:after="0" w:line="5" w:lineRule="exact"/>
        <w:rPr>
          <w:sz w:val="20"/>
          <w:szCs w:val="20"/>
          <w:color w:val="auto"/>
        </w:rPr>
      </w:pPr>
    </w:p>
    <w:p>
      <w:pPr>
        <w:ind w:left="4348"/>
        <w:spacing w:after="0"/>
        <w:rPr>
          <w:sz w:val="20"/>
          <w:szCs w:val="20"/>
          <w:color w:val="auto"/>
        </w:rPr>
      </w:pPr>
      <w:r>
        <w:rPr>
          <w:rFonts w:ascii="Arial" w:cs="Arial" w:eastAsia="Arial" w:hAnsi="Arial"/>
          <w:sz w:val="12"/>
          <w:szCs w:val="12"/>
          <w:b w:val="1"/>
          <w:bCs w:val="1"/>
          <w:color w:val="auto"/>
        </w:rPr>
        <w:t>Notes to Unaudited Consolidated Financial Statements</w:t>
      </w:r>
    </w:p>
    <w:p>
      <w:pPr>
        <w:spacing w:after="0" w:line="6" w:lineRule="exact"/>
        <w:rPr>
          <w:sz w:val="20"/>
          <w:szCs w:val="20"/>
          <w:color w:val="auto"/>
        </w:rPr>
      </w:pPr>
    </w:p>
    <w:p>
      <w:pPr>
        <w:ind w:left="4268"/>
        <w:spacing w:after="0"/>
        <w:rPr>
          <w:sz w:val="20"/>
          <w:szCs w:val="20"/>
          <w:color w:val="auto"/>
        </w:rPr>
      </w:pPr>
      <w:r>
        <w:rPr>
          <w:rFonts w:ascii="Arial" w:cs="Arial" w:eastAsia="Arial" w:hAnsi="Arial"/>
          <w:sz w:val="12"/>
          <w:szCs w:val="12"/>
          <w:b w:val="1"/>
          <w:bCs w:val="1"/>
          <w:color w:val="auto"/>
        </w:rPr>
        <w:t>(dollar amounts in thousands, except per share amounts)</w:t>
      </w:r>
    </w:p>
    <w:p>
      <w:pPr>
        <w:spacing w:after="0" w:line="358" w:lineRule="exact"/>
        <w:rPr>
          <w:sz w:val="20"/>
          <w:szCs w:val="20"/>
          <w:color w:val="auto"/>
        </w:rPr>
      </w:pPr>
    </w:p>
    <w:p>
      <w:pPr>
        <w:ind w:left="428"/>
        <w:spacing w:after="0"/>
        <w:rPr>
          <w:sz w:val="20"/>
          <w:szCs w:val="20"/>
          <w:color w:val="auto"/>
        </w:rPr>
      </w:pPr>
      <w:r>
        <w:rPr>
          <w:rFonts w:ascii="Arial" w:cs="Arial" w:eastAsia="Arial" w:hAnsi="Arial"/>
          <w:sz w:val="12"/>
          <w:szCs w:val="12"/>
          <w:color w:val="auto"/>
        </w:rPr>
        <w:t>Investments with unrealized losses are categorized with a duration of greater than 12 months when all positions of a security have continually been in a loss position for at least 12 months.</w:t>
      </w:r>
    </w:p>
    <w:p>
      <w:pPr>
        <w:spacing w:after="0" w:line="78" w:lineRule="exact"/>
        <w:rPr>
          <w:sz w:val="20"/>
          <w:szCs w:val="20"/>
          <w:color w:val="auto"/>
        </w:rPr>
      </w:pPr>
    </w:p>
    <w:p>
      <w:pPr>
        <w:jc w:val="both"/>
        <w:ind w:left="8" w:right="160" w:firstLine="423"/>
        <w:spacing w:after="0" w:line="259" w:lineRule="auto"/>
        <w:rPr>
          <w:sz w:val="20"/>
          <w:szCs w:val="20"/>
          <w:color w:val="auto"/>
        </w:rPr>
      </w:pPr>
      <w:r>
        <w:rPr>
          <w:rFonts w:ascii="Arial" w:cs="Arial" w:eastAsia="Arial" w:hAnsi="Arial"/>
          <w:sz w:val="12"/>
          <w:szCs w:val="12"/>
          <w:color w:val="auto"/>
        </w:rPr>
        <w:t>We frequently review our investment portfolio for declines in fair value. Our process for identifying declines in the fair value of investments that are other than temporary involves consideration of several factors. These factors include (i) the time period in which there has been a significant decline in value, (ii) an analysis of the liquidity, business prospects, and overall financial condition of the issuer, (iii) the significance of the decline, and (iv) our intent and ability to hold the investment for a sufficient period of time for the value to recover. When our analysis of the above factors results in the conclusion that declines in fair values are other than temporary, the cost of the securities is written down to fair value and the previously unrealized loss is therefore reflected as a realized capital loss on investment.</w:t>
      </w:r>
    </w:p>
    <w:p>
      <w:pPr>
        <w:spacing w:after="0" w:line="5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Company recorded no impairments during the three or six months ended June 30, 2018. The Company recorded impairments of $206 in the three and six months ended June 30, 2017.</w:t>
      </w:r>
    </w:p>
    <w:p>
      <w:pPr>
        <w:spacing w:after="0" w:line="78" w:lineRule="exact"/>
        <w:rPr>
          <w:sz w:val="20"/>
          <w:szCs w:val="20"/>
          <w:color w:val="auto"/>
        </w:rPr>
      </w:pPr>
    </w:p>
    <w:p>
      <w:pPr>
        <w:ind w:left="8" w:right="80" w:firstLine="423"/>
        <w:spacing w:after="0" w:line="263" w:lineRule="auto"/>
        <w:rPr>
          <w:sz w:val="20"/>
          <w:szCs w:val="20"/>
          <w:color w:val="auto"/>
        </w:rPr>
      </w:pPr>
      <w:r>
        <w:rPr>
          <w:rFonts w:ascii="Arial" w:cs="Arial" w:eastAsia="Arial" w:hAnsi="Arial"/>
          <w:sz w:val="12"/>
          <w:szCs w:val="12"/>
          <w:color w:val="auto"/>
        </w:rPr>
        <w:t>As of June 30, 2018, we held 296 fixed income securities with unrealized losses. As of December 31, 2017, we held 196 fixed income securities with unrealized losses. In conjunction with our outside investment advisors, we analyzed the credit ratings of the securities as well as the historical monthly amortized cost to fair value ratio of securities in an unrealized loss position. This analysis yielded no fixed income securities which had fair values less than 80% of amortized cost for the preceding 12-month period.</w:t>
      </w:r>
    </w:p>
    <w:p>
      <w:pPr>
        <w:spacing w:after="0" w:line="51"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6080" w:type="dxa"/>
            <w:vAlign w:val="bottom"/>
          </w:tcPr>
          <w:p>
            <w:pPr>
              <w:ind w:left="420"/>
              <w:spacing w:after="0"/>
              <w:rPr>
                <w:sz w:val="20"/>
                <w:szCs w:val="20"/>
                <w:color w:val="auto"/>
              </w:rPr>
            </w:pPr>
            <w:r>
              <w:rPr>
                <w:rFonts w:ascii="Arial" w:cs="Arial" w:eastAsia="Arial" w:hAnsi="Arial"/>
                <w:sz w:val="12"/>
                <w:szCs w:val="12"/>
                <w:color w:val="auto"/>
              </w:rPr>
              <w:t>Net investment income consisted of the following:</w:t>
            </w: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6080" w:type="dxa"/>
            <w:vAlign w:val="bottom"/>
          </w:tcPr>
          <w:p>
            <w:pPr>
              <w:spacing w:after="0"/>
              <w:rPr>
                <w:sz w:val="19"/>
                <w:szCs w:val="19"/>
                <w:color w:val="auto"/>
              </w:rPr>
            </w:pPr>
          </w:p>
        </w:tc>
        <w:tc>
          <w:tcPr>
            <w:tcW w:w="218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2"/>
                <w:szCs w:val="12"/>
                <w:b w:val="1"/>
                <w:bCs w:val="1"/>
                <w:color w:val="auto"/>
              </w:rPr>
              <w:t>Three Months Ended June 30,</w:t>
            </w:r>
          </w:p>
        </w:tc>
        <w:tc>
          <w:tcPr>
            <w:tcW w:w="3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140" w:type="dxa"/>
            <w:vAlign w:val="bottom"/>
            <w:tcBorders>
              <w:bottom w:val="single" w:sz="8" w:color="auto"/>
            </w:tcBorders>
            <w:gridSpan w:val="4"/>
          </w:tcPr>
          <w:p>
            <w:pPr>
              <w:jc w:val="right"/>
              <w:ind w:right="127"/>
              <w:spacing w:after="0"/>
              <w:rPr>
                <w:sz w:val="20"/>
                <w:szCs w:val="20"/>
                <w:color w:val="auto"/>
              </w:rPr>
            </w:pPr>
            <w:r>
              <w:rPr>
                <w:rFonts w:ascii="Arial" w:cs="Arial" w:eastAsia="Arial" w:hAnsi="Arial"/>
                <w:sz w:val="12"/>
                <w:szCs w:val="12"/>
                <w:b w:val="1"/>
                <w:bCs w:val="1"/>
                <w:color w:val="auto"/>
              </w:rPr>
              <w:t>Six Months Ended June 30,</w:t>
            </w:r>
          </w:p>
        </w:tc>
        <w:tc>
          <w:tcPr>
            <w:tcW w:w="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6080" w:type="dxa"/>
            <w:vAlign w:val="bottom"/>
          </w:tcPr>
          <w:p>
            <w:pPr>
              <w:spacing w:after="0"/>
              <w:rPr>
                <w:sz w:val="12"/>
                <w:szCs w:val="12"/>
                <w:color w:val="auto"/>
              </w:rPr>
            </w:pPr>
          </w:p>
        </w:tc>
        <w:tc>
          <w:tcPr>
            <w:tcW w:w="800" w:type="dxa"/>
            <w:vAlign w:val="bottom"/>
          </w:tcPr>
          <w:p>
            <w:pPr>
              <w:jc w:val="right"/>
              <w:ind w:right="45"/>
              <w:spacing w:after="0"/>
              <w:rPr>
                <w:sz w:val="20"/>
                <w:szCs w:val="20"/>
                <w:color w:val="auto"/>
              </w:rPr>
            </w:pPr>
            <w:r>
              <w:rPr>
                <w:rFonts w:ascii="Arial" w:cs="Arial" w:eastAsia="Arial" w:hAnsi="Arial"/>
                <w:sz w:val="12"/>
                <w:szCs w:val="12"/>
                <w:b w:val="1"/>
                <w:bCs w:val="1"/>
                <w:color w:val="auto"/>
              </w:rPr>
              <w:t>2018</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30"/>
              <w:spacing w:after="0"/>
              <w:rPr>
                <w:sz w:val="20"/>
                <w:szCs w:val="20"/>
                <w:color w:val="auto"/>
              </w:rPr>
            </w:pPr>
            <w:r>
              <w:rPr>
                <w:rFonts w:ascii="Arial" w:cs="Arial" w:eastAsia="Arial" w:hAnsi="Arial"/>
                <w:sz w:val="12"/>
                <w:szCs w:val="12"/>
                <w:b w:val="1"/>
                <w:bCs w:val="1"/>
                <w:color w:val="auto"/>
              </w:rPr>
              <w:t>2017</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45"/>
              <w:spacing w:after="0"/>
              <w:rPr>
                <w:sz w:val="20"/>
                <w:szCs w:val="20"/>
                <w:color w:val="auto"/>
              </w:rPr>
            </w:pPr>
            <w:r>
              <w:rPr>
                <w:rFonts w:ascii="Arial" w:cs="Arial" w:eastAsia="Arial" w:hAnsi="Arial"/>
                <w:sz w:val="12"/>
                <w:szCs w:val="12"/>
                <w:b w:val="1"/>
                <w:bCs w:val="1"/>
                <w:color w:val="auto"/>
              </w:rPr>
              <w:t>2018</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7"/>
              <w:spacing w:after="0"/>
              <w:rPr>
                <w:sz w:val="20"/>
                <w:szCs w:val="20"/>
                <w:color w:val="auto"/>
              </w:rPr>
            </w:pPr>
            <w:r>
              <w:rPr>
                <w:rFonts w:ascii="Arial" w:cs="Arial" w:eastAsia="Arial" w:hAnsi="Arial"/>
                <w:sz w:val="12"/>
                <w:szCs w:val="12"/>
                <w:b w:val="1"/>
                <w:bCs w:val="1"/>
                <w:color w:val="auto"/>
              </w:rPr>
              <w:t>2017</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60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Fixed income securities</w:t>
            </w:r>
          </w:p>
        </w:tc>
        <w:tc>
          <w:tcPr>
            <w:tcW w:w="800" w:type="dxa"/>
            <w:vAlign w:val="bottom"/>
            <w:tcBorders>
              <w:top w:val="single" w:sz="8" w:color="auto"/>
            </w:tcBorders>
            <w:shd w:val="clear" w:color="auto" w:fill="CCEEFF"/>
          </w:tcPr>
          <w:p>
            <w:pPr>
              <w:jc w:val="right"/>
              <w:ind w:right="685"/>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1,674</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1,580</w:t>
            </w:r>
          </w:p>
        </w:tc>
        <w:tc>
          <w:tcPr>
            <w:tcW w:w="24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ind w:right="685"/>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3,273</w:t>
            </w:r>
          </w:p>
        </w:tc>
        <w:tc>
          <w:tcPr>
            <w:tcW w:w="2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ind w:right="647"/>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2,911</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080" w:type="dxa"/>
            <w:vAlign w:val="bottom"/>
          </w:tcPr>
          <w:p>
            <w:pPr>
              <w:spacing w:after="0"/>
              <w:rPr>
                <w:sz w:val="20"/>
                <w:szCs w:val="20"/>
                <w:color w:val="auto"/>
              </w:rPr>
            </w:pPr>
            <w:r>
              <w:rPr>
                <w:rFonts w:ascii="Arial" w:cs="Arial" w:eastAsia="Arial" w:hAnsi="Arial"/>
                <w:sz w:val="12"/>
                <w:szCs w:val="12"/>
                <w:color w:val="auto"/>
              </w:rPr>
              <w:t>Equity securities</w:t>
            </w:r>
          </w:p>
        </w:tc>
        <w:tc>
          <w:tcPr>
            <w:tcW w:w="80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243</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2"/>
                <w:szCs w:val="12"/>
                <w:color w:val="auto"/>
              </w:rPr>
              <w:t>93</w:t>
            </w:r>
          </w:p>
        </w:tc>
        <w:tc>
          <w:tcPr>
            <w:tcW w:w="8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472</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163</w:t>
            </w:r>
          </w:p>
        </w:tc>
        <w:tc>
          <w:tcPr>
            <w:tcW w:w="0" w:type="dxa"/>
            <w:vAlign w:val="bottom"/>
          </w:tcPr>
          <w:p>
            <w:pPr>
              <w:spacing w:after="0"/>
              <w:rPr>
                <w:sz w:val="1"/>
                <w:szCs w:val="1"/>
                <w:color w:val="auto"/>
              </w:rPr>
            </w:pPr>
          </w:p>
        </w:tc>
      </w:tr>
      <w:tr>
        <w:trPr>
          <w:trHeight w:val="144"/>
        </w:trPr>
        <w:tc>
          <w:tcPr>
            <w:tcW w:w="6080" w:type="dxa"/>
            <w:vAlign w:val="bottom"/>
            <w:shd w:val="clear" w:color="auto" w:fill="CCEEFF"/>
          </w:tcPr>
          <w:p>
            <w:pPr>
              <w:spacing w:after="0"/>
              <w:rPr>
                <w:sz w:val="20"/>
                <w:szCs w:val="20"/>
                <w:color w:val="auto"/>
              </w:rPr>
            </w:pPr>
            <w:r>
              <w:rPr>
                <w:rFonts w:ascii="Arial" w:cs="Arial" w:eastAsia="Arial" w:hAnsi="Arial"/>
                <w:sz w:val="12"/>
                <w:szCs w:val="12"/>
                <w:color w:val="auto"/>
              </w:rPr>
              <w:t>Real estate</w:t>
            </w: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87</w:t>
            </w: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182</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173</w:t>
            </w:r>
          </w:p>
        </w:tc>
        <w:tc>
          <w:tcPr>
            <w:tcW w:w="0" w:type="dxa"/>
            <w:vAlign w:val="bottom"/>
          </w:tcPr>
          <w:p>
            <w:pPr>
              <w:spacing w:after="0"/>
              <w:rPr>
                <w:sz w:val="1"/>
                <w:szCs w:val="1"/>
                <w:color w:val="auto"/>
              </w:rPr>
            </w:pPr>
          </w:p>
        </w:tc>
      </w:tr>
      <w:tr>
        <w:trPr>
          <w:trHeight w:val="153"/>
        </w:trPr>
        <w:tc>
          <w:tcPr>
            <w:tcW w:w="6080" w:type="dxa"/>
            <w:vAlign w:val="bottom"/>
          </w:tcPr>
          <w:p>
            <w:pPr>
              <w:spacing w:after="0"/>
              <w:rPr>
                <w:sz w:val="20"/>
                <w:szCs w:val="20"/>
                <w:color w:val="auto"/>
              </w:rPr>
            </w:pPr>
            <w:r>
              <w:rPr>
                <w:rFonts w:ascii="Arial" w:cs="Arial" w:eastAsia="Arial" w:hAnsi="Arial"/>
                <w:sz w:val="12"/>
                <w:szCs w:val="12"/>
                <w:color w:val="auto"/>
              </w:rPr>
              <w:t>Cash and cash equivalents</w:t>
            </w:r>
          </w:p>
        </w:tc>
        <w:tc>
          <w:tcPr>
            <w:tcW w:w="8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43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2"/>
                <w:szCs w:val="12"/>
                <w:color w:val="auto"/>
              </w:rPr>
              <w:t>34</w:t>
            </w:r>
          </w:p>
        </w:tc>
        <w:tc>
          <w:tcPr>
            <w:tcW w:w="8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62</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44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080" w:type="dxa"/>
            <w:vAlign w:val="bottom"/>
            <w:tcBorders>
              <w:top w:val="single" w:sz="8" w:color="CCEEFF"/>
            </w:tcBorders>
            <w:shd w:val="clear" w:color="auto" w:fill="CCEEFF"/>
          </w:tcPr>
          <w:p>
            <w:pPr>
              <w:ind w:left="200"/>
              <w:spacing w:after="0" w:line="133" w:lineRule="exact"/>
              <w:rPr>
                <w:sz w:val="20"/>
                <w:szCs w:val="20"/>
                <w:color w:val="auto"/>
              </w:rPr>
            </w:pPr>
            <w:r>
              <w:rPr>
                <w:rFonts w:ascii="Arial" w:cs="Arial" w:eastAsia="Arial" w:hAnsi="Arial"/>
                <w:sz w:val="12"/>
                <w:szCs w:val="12"/>
                <w:color w:val="auto"/>
              </w:rPr>
              <w:t>Total gross investment income</w:t>
            </w:r>
          </w:p>
        </w:tc>
        <w:tc>
          <w:tcPr>
            <w:tcW w:w="8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2,051</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1,794</w:t>
            </w:r>
          </w:p>
        </w:tc>
        <w:tc>
          <w:tcPr>
            <w:tcW w:w="24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3,989</w:t>
            </w:r>
          </w:p>
        </w:tc>
        <w:tc>
          <w:tcPr>
            <w:tcW w:w="2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3,291</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080" w:type="dxa"/>
            <w:vAlign w:val="bottom"/>
          </w:tcPr>
          <w:p>
            <w:pPr>
              <w:spacing w:after="0"/>
              <w:rPr>
                <w:sz w:val="20"/>
                <w:szCs w:val="20"/>
                <w:color w:val="auto"/>
              </w:rPr>
            </w:pPr>
            <w:r>
              <w:rPr>
                <w:rFonts w:ascii="Arial" w:cs="Arial" w:eastAsia="Arial" w:hAnsi="Arial"/>
                <w:sz w:val="12"/>
                <w:szCs w:val="12"/>
                <w:color w:val="auto"/>
              </w:rPr>
              <w:t>Investment expenses</w:t>
            </w:r>
          </w:p>
        </w:tc>
        <w:tc>
          <w:tcPr>
            <w:tcW w:w="800" w:type="dxa"/>
            <w:vAlign w:val="bottom"/>
          </w:tcPr>
          <w:p>
            <w:pPr>
              <w:spacing w:after="0"/>
              <w:rPr>
                <w:sz w:val="13"/>
                <w:szCs w:val="13"/>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528</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2"/>
                <w:szCs w:val="12"/>
                <w:color w:val="auto"/>
              </w:rPr>
              <w:t>491</w:t>
            </w:r>
          </w:p>
        </w:tc>
        <w:tc>
          <w:tcPr>
            <w:tcW w:w="8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1,097</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989</w:t>
            </w:r>
          </w:p>
        </w:tc>
        <w:tc>
          <w:tcPr>
            <w:tcW w:w="0" w:type="dxa"/>
            <w:vAlign w:val="bottom"/>
          </w:tcPr>
          <w:p>
            <w:pPr>
              <w:spacing w:after="0"/>
              <w:rPr>
                <w:sz w:val="1"/>
                <w:szCs w:val="1"/>
                <w:color w:val="auto"/>
              </w:rPr>
            </w:pPr>
          </w:p>
        </w:tc>
      </w:tr>
      <w:tr>
        <w:trPr>
          <w:trHeight w:val="20"/>
        </w:trPr>
        <w:tc>
          <w:tcPr>
            <w:tcW w:w="6080" w:type="dxa"/>
            <w:vAlign w:val="bottom"/>
            <w:vMerge w:val="restart"/>
            <w:shd w:val="clear" w:color="auto" w:fill="CCEEFF"/>
          </w:tcPr>
          <w:p>
            <w:pPr>
              <w:ind w:left="200"/>
              <w:spacing w:after="0"/>
              <w:rPr>
                <w:sz w:val="20"/>
                <w:szCs w:val="20"/>
                <w:color w:val="auto"/>
              </w:rPr>
            </w:pPr>
            <w:r>
              <w:rPr>
                <w:rFonts w:ascii="Arial" w:cs="Arial" w:eastAsia="Arial" w:hAnsi="Arial"/>
                <w:sz w:val="12"/>
                <w:szCs w:val="12"/>
                <w:color w:val="auto"/>
              </w:rPr>
              <w:t>Net investment income</w:t>
            </w: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80" w:type="dxa"/>
            <w:vAlign w:val="bottom"/>
            <w:vMerge w:val="continue"/>
            <w:shd w:val="clear" w:color="auto" w:fill="CCEEFF"/>
          </w:tcPr>
          <w:p>
            <w:pPr>
              <w:spacing w:after="0"/>
              <w:rPr>
                <w:sz w:val="12"/>
                <w:szCs w:val="12"/>
                <w:color w:val="auto"/>
              </w:rPr>
            </w:pPr>
          </w:p>
        </w:tc>
        <w:tc>
          <w:tcPr>
            <w:tcW w:w="800" w:type="dxa"/>
            <w:vAlign w:val="bottom"/>
            <w:shd w:val="clear" w:color="auto" w:fill="CCEEFF"/>
          </w:tcPr>
          <w:p>
            <w:pPr>
              <w:jc w:val="right"/>
              <w:ind w:right="685"/>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1,523</w:t>
            </w:r>
          </w:p>
        </w:tc>
        <w:tc>
          <w:tcPr>
            <w:tcW w:w="900" w:type="dxa"/>
            <w:vAlign w:val="bottom"/>
            <w:gridSpan w:val="2"/>
            <w:shd w:val="clear" w:color="auto" w:fill="CCEEFF"/>
          </w:tcPr>
          <w:p>
            <w:pPr>
              <w:jc w:val="right"/>
              <w:ind w:right="67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1,303</w:t>
            </w:r>
          </w:p>
        </w:tc>
        <w:tc>
          <w:tcPr>
            <w:tcW w:w="800" w:type="dxa"/>
            <w:vAlign w:val="bottom"/>
            <w:shd w:val="clear" w:color="auto" w:fill="CCEEFF"/>
          </w:tcPr>
          <w:p>
            <w:pPr>
              <w:jc w:val="right"/>
              <w:ind w:right="685"/>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2,892</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47"/>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2,302</w:t>
            </w:r>
          </w:p>
        </w:tc>
        <w:tc>
          <w:tcPr>
            <w:tcW w:w="0" w:type="dxa"/>
            <w:vAlign w:val="bottom"/>
          </w:tcPr>
          <w:p>
            <w:pPr>
              <w:spacing w:after="0"/>
              <w:rPr>
                <w:sz w:val="1"/>
                <w:szCs w:val="1"/>
                <w:color w:val="auto"/>
              </w:rPr>
            </w:pPr>
          </w:p>
        </w:tc>
      </w:tr>
      <w:tr>
        <w:trPr>
          <w:trHeight w:val="27"/>
        </w:trPr>
        <w:tc>
          <w:tcPr>
            <w:tcW w:w="608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88"/>
          </w:cols>
          <w:pgMar w:left="212" w:top="197" w:right="199" w:bottom="1440" w:gutter="0" w:footer="0" w:header="0"/>
        </w:sectPr>
      </w:pPr>
    </w:p>
    <w:p>
      <w:pPr>
        <w:spacing w:after="0" w:line="7" w:lineRule="exact"/>
        <w:rPr>
          <w:sz w:val="20"/>
          <w:szCs w:val="20"/>
          <w:color w:val="auto"/>
        </w:rPr>
      </w:pPr>
    </w:p>
    <w:p>
      <w:pPr>
        <w:jc w:val="right"/>
        <w:ind w:right="1700"/>
        <w:spacing w:after="0"/>
        <w:rPr>
          <w:sz w:val="20"/>
          <w:szCs w:val="20"/>
          <w:color w:val="auto"/>
        </w:rPr>
      </w:pPr>
      <w:r>
        <w:rPr>
          <w:rFonts w:ascii="Arial" w:cs="Arial" w:eastAsia="Arial" w:hAnsi="Arial"/>
          <w:sz w:val="12"/>
          <w:szCs w:val="12"/>
          <w:color w:val="auto"/>
        </w:rPr>
        <w:t>Net realized capital gain on investments consisted of the following:</w:t>
      </w:r>
    </w:p>
    <w:p>
      <w:pPr>
        <w:spacing w:after="0" w:line="200" w:lineRule="exact"/>
        <w:rPr>
          <w:sz w:val="20"/>
          <w:szCs w:val="20"/>
          <w:color w:val="auto"/>
        </w:rPr>
      </w:pPr>
    </w:p>
    <w:p>
      <w:pPr>
        <w:spacing w:after="0" w:line="202" w:lineRule="exact"/>
        <w:rPr>
          <w:sz w:val="20"/>
          <w:szCs w:val="20"/>
          <w:color w:val="auto"/>
        </w:rPr>
      </w:pPr>
    </w:p>
    <w:p>
      <w:pPr>
        <w:ind w:left="8"/>
        <w:spacing w:after="0"/>
        <w:rPr>
          <w:sz w:val="20"/>
          <w:szCs w:val="20"/>
          <w:color w:val="auto"/>
        </w:rPr>
      </w:pPr>
      <w:r>
        <w:rPr>
          <w:rFonts w:ascii="Arial" w:cs="Arial" w:eastAsia="Arial" w:hAnsi="Arial"/>
          <w:sz w:val="12"/>
          <w:szCs w:val="12"/>
          <w:color w:val="auto"/>
        </w:rPr>
        <w:t>Gross realized gains</w:t>
      </w:r>
    </w:p>
    <w:p>
      <w:pPr>
        <w:spacing w:after="0" w:line="15" w:lineRule="exact"/>
        <w:rPr>
          <w:sz w:val="20"/>
          <w:szCs w:val="20"/>
          <w:color w:val="auto"/>
        </w:rPr>
      </w:pPr>
    </w:p>
    <w:p>
      <w:pPr>
        <w:ind w:left="8" w:right="1880"/>
        <w:spacing w:after="0" w:line="250" w:lineRule="auto"/>
        <w:rPr>
          <w:sz w:val="20"/>
          <w:szCs w:val="20"/>
          <w:color w:val="auto"/>
        </w:rPr>
      </w:pPr>
      <w:r>
        <w:rPr>
          <w:rFonts w:ascii="Arial" w:cs="Arial" w:eastAsia="Arial" w:hAnsi="Arial"/>
          <w:sz w:val="12"/>
          <w:szCs w:val="12"/>
          <w:color w:val="auto"/>
        </w:rPr>
        <w:t>Gross realized losses, excluding other-than-temporary impairment losses Other-than-temporary impairment losses</w:t>
      </w:r>
    </w:p>
    <w:p>
      <w:pPr>
        <w:spacing w:after="0" w:line="1" w:lineRule="exact"/>
        <w:rPr>
          <w:sz w:val="20"/>
          <w:szCs w:val="20"/>
          <w:color w:val="auto"/>
        </w:rPr>
      </w:pPr>
    </w:p>
    <w:p>
      <w:pPr>
        <w:ind w:left="208"/>
        <w:spacing w:after="0"/>
        <w:rPr>
          <w:sz w:val="20"/>
          <w:szCs w:val="20"/>
          <w:color w:val="auto"/>
        </w:rPr>
      </w:pPr>
      <w:r>
        <w:rPr>
          <w:rFonts w:ascii="Arial" w:cs="Arial" w:eastAsia="Arial" w:hAnsi="Arial"/>
          <w:sz w:val="12"/>
          <w:szCs w:val="12"/>
          <w:color w:val="auto"/>
        </w:rPr>
        <w:t>Net realized capital gain on investments</w:t>
      </w:r>
    </w:p>
    <w:p>
      <w:pPr>
        <w:spacing w:after="0" w:line="191" w:lineRule="exact"/>
        <w:rPr>
          <w:sz w:val="20"/>
          <w:szCs w:val="20"/>
          <w:color w:val="auto"/>
        </w:rPr>
      </w:pPr>
    </w:p>
    <w:p>
      <w:pPr>
        <w:ind w:left="428" w:hanging="428"/>
        <w:spacing w:after="0"/>
        <w:tabs>
          <w:tab w:leader="none" w:pos="428" w:val="left"/>
        </w:tabs>
        <w:numPr>
          <w:ilvl w:val="0"/>
          <w:numId w:val="13"/>
        </w:numPr>
        <w:rPr>
          <w:rFonts w:ascii="Arial" w:cs="Arial" w:eastAsia="Arial" w:hAnsi="Arial"/>
          <w:sz w:val="12"/>
          <w:szCs w:val="12"/>
          <w:b w:val="1"/>
          <w:bCs w:val="1"/>
          <w:color w:val="auto"/>
        </w:rPr>
      </w:pPr>
      <w:r>
        <w:rPr>
          <w:rFonts w:ascii="Arial" w:cs="Arial" w:eastAsia="Arial" w:hAnsi="Arial"/>
          <w:sz w:val="12"/>
          <w:szCs w:val="12"/>
          <w:b w:val="1"/>
          <w:bCs w:val="1"/>
          <w:color w:val="auto"/>
        </w:rPr>
        <w:t>Fair Value Measurements</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2220" w:type="dxa"/>
            <w:vAlign w:val="bottom"/>
            <w:tcBorders>
              <w:bottom w:val="single" w:sz="8" w:color="auto"/>
            </w:tcBorders>
            <w:gridSpan w:val="5"/>
          </w:tcPr>
          <w:p>
            <w:pPr>
              <w:jc w:val="right"/>
              <w:ind w:right="110"/>
              <w:spacing w:after="0"/>
              <w:rPr>
                <w:sz w:val="20"/>
                <w:szCs w:val="20"/>
                <w:color w:val="auto"/>
              </w:rPr>
            </w:pPr>
            <w:r>
              <w:rPr>
                <w:rFonts w:ascii="Arial" w:cs="Arial" w:eastAsia="Arial" w:hAnsi="Arial"/>
                <w:sz w:val="12"/>
                <w:szCs w:val="12"/>
                <w:b w:val="1"/>
                <w:bCs w:val="1"/>
                <w:color w:val="auto"/>
              </w:rPr>
              <w:t>Three Months Ended June 30,</w:t>
            </w:r>
          </w:p>
        </w:tc>
        <w:tc>
          <w:tcPr>
            <w:tcW w:w="3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140" w:type="dxa"/>
            <w:vAlign w:val="bottom"/>
            <w:tcBorders>
              <w:bottom w:val="single" w:sz="8" w:color="auto"/>
            </w:tcBorders>
            <w:gridSpan w:val="4"/>
          </w:tcPr>
          <w:p>
            <w:pPr>
              <w:jc w:val="right"/>
              <w:ind w:right="127"/>
              <w:spacing w:after="0"/>
              <w:rPr>
                <w:sz w:val="20"/>
                <w:szCs w:val="20"/>
                <w:color w:val="auto"/>
              </w:rPr>
            </w:pPr>
            <w:r>
              <w:rPr>
                <w:rFonts w:ascii="Arial" w:cs="Arial" w:eastAsia="Arial" w:hAnsi="Arial"/>
                <w:sz w:val="12"/>
                <w:szCs w:val="12"/>
                <w:b w:val="1"/>
                <w:bCs w:val="1"/>
                <w:color w:val="auto"/>
              </w:rPr>
              <w:t>Six Months Ended June 30,</w:t>
            </w:r>
          </w:p>
        </w:tc>
        <w:tc>
          <w:tcPr>
            <w:tcW w:w="3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820" w:type="dxa"/>
            <w:vAlign w:val="bottom"/>
          </w:tcPr>
          <w:p>
            <w:pPr>
              <w:jc w:val="right"/>
              <w:ind w:right="65"/>
              <w:spacing w:after="0"/>
              <w:rPr>
                <w:sz w:val="20"/>
                <w:szCs w:val="20"/>
                <w:color w:val="auto"/>
              </w:rPr>
            </w:pPr>
            <w:r>
              <w:rPr>
                <w:rFonts w:ascii="Arial" w:cs="Arial" w:eastAsia="Arial" w:hAnsi="Arial"/>
                <w:sz w:val="12"/>
                <w:szCs w:val="12"/>
                <w:b w:val="1"/>
                <w:bCs w:val="1"/>
                <w:color w:val="auto"/>
              </w:rPr>
              <w:t>2018</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70"/>
              <w:spacing w:after="0"/>
              <w:rPr>
                <w:sz w:val="20"/>
                <w:szCs w:val="20"/>
                <w:color w:val="auto"/>
              </w:rPr>
            </w:pPr>
            <w:r>
              <w:rPr>
                <w:rFonts w:ascii="Arial" w:cs="Arial" w:eastAsia="Arial" w:hAnsi="Arial"/>
                <w:sz w:val="12"/>
                <w:szCs w:val="12"/>
                <w:b w:val="1"/>
                <w:bCs w:val="1"/>
                <w:color w:val="auto"/>
              </w:rPr>
              <w:t>2017</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45"/>
              <w:spacing w:after="0"/>
              <w:rPr>
                <w:sz w:val="20"/>
                <w:szCs w:val="20"/>
                <w:color w:val="auto"/>
              </w:rPr>
            </w:pPr>
            <w:r>
              <w:rPr>
                <w:rFonts w:ascii="Arial" w:cs="Arial" w:eastAsia="Arial" w:hAnsi="Arial"/>
                <w:sz w:val="12"/>
                <w:szCs w:val="12"/>
                <w:b w:val="1"/>
                <w:bCs w:val="1"/>
                <w:color w:val="auto"/>
              </w:rPr>
              <w:t>2018</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7"/>
              <w:spacing w:after="0"/>
              <w:rPr>
                <w:sz w:val="20"/>
                <w:szCs w:val="20"/>
                <w:color w:val="auto"/>
              </w:rPr>
            </w:pPr>
            <w:r>
              <w:rPr>
                <w:rFonts w:ascii="Arial" w:cs="Arial" w:eastAsia="Arial" w:hAnsi="Arial"/>
                <w:sz w:val="12"/>
                <w:szCs w:val="12"/>
                <w:b w:val="1"/>
                <w:bCs w:val="1"/>
                <w:color w:val="auto"/>
              </w:rPr>
              <w:t>2017</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24"/>
        </w:trPr>
        <w:tc>
          <w:tcPr>
            <w:tcW w:w="820" w:type="dxa"/>
            <w:vAlign w:val="bottom"/>
            <w:tcBorders>
              <w:top w:val="single" w:sz="8" w:color="auto"/>
            </w:tcBorders>
          </w:tcPr>
          <w:p>
            <w:pPr>
              <w:jc w:val="right"/>
              <w:ind w:right="705"/>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2"/>
                <w:szCs w:val="12"/>
                <w:color w:val="auto"/>
              </w:rPr>
              <w:t>626</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top w:val="single" w:sz="8" w:color="auto"/>
            </w:tcBorders>
          </w:tcPr>
          <w:p>
            <w:pPr>
              <w:jc w:val="right"/>
              <w:ind w:right="710"/>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2"/>
                <w:szCs w:val="12"/>
                <w:color w:val="auto"/>
              </w:rPr>
              <w:t>552</w:t>
            </w:r>
          </w:p>
        </w:tc>
        <w:tc>
          <w:tcPr>
            <w:tcW w:w="240" w:type="dxa"/>
            <w:vAlign w:val="bottom"/>
          </w:tcPr>
          <w:p>
            <w:pPr>
              <w:spacing w:after="0"/>
              <w:rPr>
                <w:sz w:val="10"/>
                <w:szCs w:val="10"/>
                <w:color w:val="auto"/>
              </w:rPr>
            </w:pPr>
          </w:p>
        </w:tc>
        <w:tc>
          <w:tcPr>
            <w:tcW w:w="800" w:type="dxa"/>
            <w:vAlign w:val="bottom"/>
            <w:tcBorders>
              <w:top w:val="single" w:sz="8" w:color="auto"/>
            </w:tcBorders>
          </w:tcPr>
          <w:p>
            <w:pPr>
              <w:jc w:val="right"/>
              <w:ind w:right="685"/>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2"/>
                <w:szCs w:val="12"/>
                <w:color w:val="auto"/>
              </w:rPr>
              <w:t>1,195</w:t>
            </w:r>
          </w:p>
        </w:tc>
        <w:tc>
          <w:tcPr>
            <w:tcW w:w="220" w:type="dxa"/>
            <w:vAlign w:val="bottom"/>
          </w:tcPr>
          <w:p>
            <w:pPr>
              <w:spacing w:after="0"/>
              <w:rPr>
                <w:sz w:val="10"/>
                <w:szCs w:val="10"/>
                <w:color w:val="auto"/>
              </w:rPr>
            </w:pPr>
          </w:p>
        </w:tc>
        <w:tc>
          <w:tcPr>
            <w:tcW w:w="760" w:type="dxa"/>
            <w:vAlign w:val="bottom"/>
            <w:tcBorders>
              <w:top w:val="single" w:sz="8" w:color="auto"/>
            </w:tcBorders>
          </w:tcPr>
          <w:p>
            <w:pPr>
              <w:jc w:val="right"/>
              <w:ind w:right="647"/>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2"/>
                <w:szCs w:val="12"/>
                <w:color w:val="auto"/>
              </w:rPr>
              <w:t>1,180</w:t>
            </w:r>
          </w:p>
        </w:tc>
        <w:tc>
          <w:tcPr>
            <w:tcW w:w="20" w:type="dxa"/>
            <w:vAlign w:val="bottom"/>
          </w:tcPr>
          <w:p>
            <w:pPr>
              <w:spacing w:after="0"/>
              <w:rPr>
                <w:sz w:val="10"/>
                <w:szCs w:val="10"/>
                <w:color w:val="auto"/>
              </w:rPr>
            </w:pPr>
          </w:p>
        </w:tc>
      </w:tr>
      <w:tr>
        <w:trPr>
          <w:trHeight w:val="144"/>
        </w:trPr>
        <w:tc>
          <w:tcPr>
            <w:tcW w:w="82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(376)</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2"/>
                <w:szCs w:val="12"/>
                <w:color w:val="auto"/>
              </w:rPr>
              <w:t>(7)</w:t>
            </w:r>
          </w:p>
        </w:tc>
        <w:tc>
          <w:tcPr>
            <w:tcW w:w="80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(476)</w:t>
            </w:r>
          </w:p>
        </w:tc>
        <w:tc>
          <w:tcPr>
            <w:tcW w:w="760" w:type="dxa"/>
            <w:vAlign w:val="bottom"/>
          </w:tcPr>
          <w:p>
            <w:pPr>
              <w:spacing w:after="0"/>
              <w:rPr>
                <w:sz w:val="12"/>
                <w:szCs w:val="12"/>
                <w:color w:val="auto"/>
              </w:rPr>
            </w:pP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(19)</w:t>
            </w:r>
          </w:p>
        </w:tc>
      </w:tr>
      <w:tr>
        <w:trPr>
          <w:trHeight w:val="162"/>
        </w:trPr>
        <w:tc>
          <w:tcPr>
            <w:tcW w:w="82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2"/>
                <w:szCs w:val="12"/>
                <w:color w:val="auto"/>
              </w:rPr>
              <w:t>(206)</w:t>
            </w:r>
          </w:p>
        </w:tc>
        <w:tc>
          <w:tcPr>
            <w:tcW w:w="80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76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(206)</w:t>
            </w:r>
          </w:p>
        </w:tc>
      </w:tr>
      <w:tr>
        <w:trPr>
          <w:trHeight w:val="20"/>
        </w:trPr>
        <w:tc>
          <w:tcPr>
            <w:tcW w:w="8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820" w:type="dxa"/>
            <w:vAlign w:val="bottom"/>
          </w:tcPr>
          <w:p>
            <w:pPr>
              <w:jc w:val="right"/>
              <w:ind w:right="705"/>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40"/>
              <w:spacing w:after="0"/>
              <w:rPr>
                <w:sz w:val="20"/>
                <w:szCs w:val="20"/>
                <w:color w:val="auto"/>
              </w:rPr>
            </w:pPr>
            <w:r>
              <w:rPr>
                <w:rFonts w:ascii="Arial" w:cs="Arial" w:eastAsia="Arial" w:hAnsi="Arial"/>
                <w:sz w:val="12"/>
                <w:szCs w:val="12"/>
                <w:color w:val="auto"/>
              </w:rPr>
              <w:t>250</w:t>
            </w:r>
          </w:p>
        </w:tc>
        <w:tc>
          <w:tcPr>
            <w:tcW w:w="920" w:type="dxa"/>
            <w:vAlign w:val="bottom"/>
            <w:gridSpan w:val="2"/>
          </w:tcPr>
          <w:p>
            <w:pPr>
              <w:jc w:val="right"/>
              <w:ind w:right="71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2"/>
                <w:szCs w:val="12"/>
                <w:color w:val="auto"/>
              </w:rPr>
              <w:t>339</w:t>
            </w:r>
          </w:p>
        </w:tc>
        <w:tc>
          <w:tcPr>
            <w:tcW w:w="800" w:type="dxa"/>
            <w:vAlign w:val="bottom"/>
          </w:tcPr>
          <w:p>
            <w:pPr>
              <w:jc w:val="right"/>
              <w:ind w:right="685"/>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719</w:t>
            </w:r>
          </w:p>
        </w:tc>
        <w:tc>
          <w:tcPr>
            <w:tcW w:w="220" w:type="dxa"/>
            <w:vAlign w:val="bottom"/>
          </w:tcPr>
          <w:p>
            <w:pPr>
              <w:spacing w:after="0"/>
              <w:rPr>
                <w:sz w:val="12"/>
                <w:szCs w:val="12"/>
                <w:color w:val="auto"/>
              </w:rPr>
            </w:pPr>
          </w:p>
        </w:tc>
        <w:tc>
          <w:tcPr>
            <w:tcW w:w="760" w:type="dxa"/>
            <w:vAlign w:val="bottom"/>
          </w:tcPr>
          <w:p>
            <w:pPr>
              <w:jc w:val="right"/>
              <w:ind w:right="647"/>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955</w:t>
            </w:r>
          </w:p>
        </w:tc>
        <w:tc>
          <w:tcPr>
            <w:tcW w:w="20" w:type="dxa"/>
            <w:vAlign w:val="bottom"/>
          </w:tcPr>
          <w:p>
            <w:pPr>
              <w:spacing w:after="0"/>
              <w:rPr>
                <w:sz w:val="12"/>
                <w:szCs w:val="12"/>
                <w:color w:val="auto"/>
              </w:rPr>
            </w:pPr>
          </w:p>
        </w:tc>
      </w:tr>
      <w:tr>
        <w:trPr>
          <w:trHeight w:val="27"/>
        </w:trPr>
        <w:tc>
          <w:tcPr>
            <w:tcW w:w="8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-405130</wp:posOffset>
            </wp:positionV>
            <wp:extent cx="7292340" cy="971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2340" cy="97155"/>
                    </a:xfrm>
                    <a:prstGeom prst="rect">
                      <a:avLst/>
                    </a:prstGeom>
                    <a:noFill/>
                  </pic:spPr>
                </pic:pic>
              </a:graphicData>
            </a:graphic>
          </wp:anchor>
        </w:drawing>
        <w:drawing>
          <wp:anchor simplePos="0" relativeHeight="251657728" behindDoc="1" locked="0" layoutInCell="0" allowOverlap="1">
            <wp:simplePos x="0" y="0"/>
            <wp:positionH relativeFrom="column">
              <wp:posOffset>-3865245</wp:posOffset>
            </wp:positionH>
            <wp:positionV relativeFrom="paragraph">
              <wp:posOffset>-216535</wp:posOffset>
            </wp:positionV>
            <wp:extent cx="7292340" cy="971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2340" cy="97155"/>
                    </a:xfrm>
                    <a:prstGeom prst="rect">
                      <a:avLst/>
                    </a:prstGeom>
                    <a:noFill/>
                  </pic:spPr>
                </pic:pic>
              </a:graphicData>
            </a:graphic>
          </wp:anchor>
        </w:drawing>
      </w:r>
    </w:p>
    <w:p>
      <w:pPr>
        <w:spacing w:after="0" w:line="423" w:lineRule="exact"/>
        <w:rPr>
          <w:sz w:val="20"/>
          <w:szCs w:val="20"/>
          <w:color w:val="auto"/>
        </w:rPr>
      </w:pPr>
    </w:p>
    <w:p>
      <w:pPr>
        <w:sectPr>
          <w:pgSz w:w="11900" w:h="16838" w:orient="portrait"/>
          <w:cols w:equalWidth="0" w:num="2">
            <w:col w:w="5368" w:space="720"/>
            <w:col w:w="5400"/>
          </w:cols>
          <w:pgMar w:left="212" w:top="197" w:right="199" w:bottom="1440" w:gutter="0" w:footer="0" w:header="0"/>
          <w:type w:val="continuous"/>
        </w:sectPr>
      </w:pPr>
    </w:p>
    <w:p>
      <w:pPr>
        <w:ind w:left="8" w:right="220" w:firstLine="423"/>
        <w:spacing w:after="0" w:line="276" w:lineRule="auto"/>
        <w:rPr>
          <w:sz w:val="20"/>
          <w:szCs w:val="20"/>
          <w:color w:val="auto"/>
        </w:rPr>
      </w:pPr>
      <w:r>
        <w:rPr>
          <w:rFonts w:ascii="Arial" w:cs="Arial" w:eastAsia="Arial" w:hAnsi="Arial"/>
          <w:sz w:val="12"/>
          <w:szCs w:val="12"/>
          <w:color w:val="auto"/>
        </w:rPr>
        <w:t>We maximize the use of observable inputs in our valuation techniques and apply unobservable inputs only to the extent that observable inputs are unavailable. The largest class of assets and liabilities carried at fair value by the Company at June 30, 2018 and December 31, 2017 were fixed income securities.</w:t>
      </w:r>
    </w:p>
    <w:p>
      <w:pPr>
        <w:spacing w:after="0" w:line="4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Prices provided by independent pricing services and independent broker quotes can vary widely, even for the same security.</w:t>
      </w:r>
    </w:p>
    <w:p>
      <w:pPr>
        <w:spacing w:after="0" w:line="78" w:lineRule="exact"/>
        <w:rPr>
          <w:sz w:val="20"/>
          <w:szCs w:val="20"/>
          <w:color w:val="auto"/>
        </w:rPr>
      </w:pPr>
    </w:p>
    <w:p>
      <w:pPr>
        <w:ind w:left="8" w:right="40" w:firstLine="423"/>
        <w:spacing w:after="0" w:line="259" w:lineRule="auto"/>
        <w:rPr>
          <w:sz w:val="20"/>
          <w:szCs w:val="20"/>
          <w:color w:val="auto"/>
        </w:rPr>
      </w:pPr>
      <w:r>
        <w:rPr>
          <w:rFonts w:ascii="Arial" w:cs="Arial" w:eastAsia="Arial" w:hAnsi="Arial"/>
          <w:sz w:val="12"/>
          <w:szCs w:val="12"/>
          <w:color w:val="auto"/>
        </w:rPr>
        <w:t>Our available-for-sale investments are comprised of a variety of different securities, which are classified into levels based on the valuation technique and inputs used in their valuation. The valuation of cash equivalents and equity securities are generally based on Level I inputs, which use the market approach valuation technique. The valuation of fixed income securities generally incorporates significant Level II inputs using the market and income approach techniques. We may assign a lower level to inputs typically considered to be Level II based on our assessment of liquidity and relative level of uncertainty surrounding inputs. There were no assets or liabilities classified as Level III at June 30, 2018 or December 31, 2017.</w:t>
      </w:r>
    </w:p>
    <w:p>
      <w:pPr>
        <w:spacing w:after="0" w:line="125"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9234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2340" cy="17145"/>
                    </a:xfrm>
                    <a:prstGeom prst="rect">
                      <a:avLst/>
                    </a:prstGeom>
                    <a:noFill/>
                  </pic:spPr>
                </pic:pic>
              </a:graphicData>
            </a:graphic>
          </wp:anchor>
        </w:drawing>
      </w:r>
    </w:p>
    <w:p>
      <w:pPr>
        <w:sectPr>
          <w:pgSz w:w="11900" w:h="16838" w:orient="portrait"/>
          <w:cols w:equalWidth="0" w:num="1">
            <w:col w:w="11488"/>
          </w:cols>
          <w:pgMar w:left="212" w:top="197" w:right="199" w:bottom="1440" w:gutter="0" w:footer="0" w:header="0"/>
          <w:type w:val="continuous"/>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NI Holdings, Inc.</w:t>
      </w:r>
    </w:p>
    <w:p>
      <w:pPr>
        <w:spacing w:after="0" w:line="5" w:lineRule="exact"/>
        <w:rPr>
          <w:sz w:val="20"/>
          <w:szCs w:val="20"/>
          <w:color w:val="auto"/>
        </w:rPr>
      </w:pPr>
    </w:p>
    <w:p>
      <w:pPr>
        <w:ind w:left="4340"/>
        <w:spacing w:after="0"/>
        <w:rPr>
          <w:sz w:val="20"/>
          <w:szCs w:val="20"/>
          <w:color w:val="auto"/>
        </w:rPr>
      </w:pPr>
      <w:r>
        <w:rPr>
          <w:rFonts w:ascii="Arial" w:cs="Arial" w:eastAsia="Arial" w:hAnsi="Arial"/>
          <w:sz w:val="12"/>
          <w:szCs w:val="12"/>
          <w:b w:val="1"/>
          <w:bCs w:val="1"/>
          <w:color w:val="auto"/>
        </w:rPr>
        <w:t>Notes to Unaudited Consolidated Financial Statements</w:t>
      </w:r>
    </w:p>
    <w:p>
      <w:pPr>
        <w:spacing w:after="0" w:line="6" w:lineRule="exact"/>
        <w:rPr>
          <w:sz w:val="20"/>
          <w:szCs w:val="20"/>
          <w:color w:val="auto"/>
        </w:rPr>
      </w:pPr>
    </w:p>
    <w:p>
      <w:pPr>
        <w:ind w:left="4260"/>
        <w:spacing w:after="0"/>
        <w:rPr>
          <w:sz w:val="20"/>
          <w:szCs w:val="20"/>
          <w:color w:val="auto"/>
        </w:rPr>
      </w:pPr>
      <w:r>
        <w:rPr>
          <w:rFonts w:ascii="Arial" w:cs="Arial" w:eastAsia="Arial" w:hAnsi="Arial"/>
          <w:sz w:val="12"/>
          <w:szCs w:val="12"/>
          <w:b w:val="1"/>
          <w:bCs w:val="1"/>
          <w:color w:val="auto"/>
        </w:rPr>
        <w:t>(dollar amounts in thousands, except per share amounts)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8260" w:type="dxa"/>
            <w:vAlign w:val="bottom"/>
            <w:gridSpan w:val="6"/>
          </w:tcPr>
          <w:p>
            <w:pPr>
              <w:ind w:left="400"/>
              <w:spacing w:after="0"/>
              <w:rPr>
                <w:sz w:val="20"/>
                <w:szCs w:val="20"/>
                <w:color w:val="auto"/>
              </w:rPr>
            </w:pPr>
            <w:r>
              <w:rPr>
                <w:rFonts w:ascii="Arial" w:cs="Arial" w:eastAsia="Arial" w:hAnsi="Arial"/>
                <w:sz w:val="12"/>
                <w:szCs w:val="12"/>
                <w:color w:val="auto"/>
                <w:w w:val="91"/>
              </w:rPr>
              <w:t>The following tables set forth our assets which are measured on a recurring basis by the level within the fair value hierarchy in which fair value measurements fall:</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2"/>
                <w:szCs w:val="12"/>
                <w:b w:val="1"/>
                <w:bCs w:val="1"/>
                <w:color w:val="auto"/>
                <w:w w:val="99"/>
              </w:rPr>
              <w:t>June 30, 2018</w:t>
            </w:r>
          </w:p>
        </w:tc>
        <w:tc>
          <w:tcPr>
            <w:tcW w:w="8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Total</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b w:val="1"/>
                <w:bCs w:val="1"/>
                <w:color w:val="auto"/>
              </w:rPr>
              <w:t>Level I</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Level II</w:t>
            </w:r>
          </w:p>
        </w:tc>
        <w:tc>
          <w:tcPr>
            <w:tcW w:w="200" w:type="dxa"/>
            <w:vAlign w:val="bottom"/>
          </w:tcPr>
          <w:p>
            <w:pPr>
              <w:spacing w:after="0"/>
              <w:rPr>
                <w:sz w:val="12"/>
                <w:szCs w:val="12"/>
                <w:color w:val="auto"/>
              </w:rPr>
            </w:pPr>
          </w:p>
        </w:tc>
        <w:tc>
          <w:tcPr>
            <w:tcW w:w="920" w:type="dxa"/>
            <w:vAlign w:val="bottom"/>
          </w:tcPr>
          <w:p>
            <w:pPr>
              <w:ind w:left="140"/>
              <w:spacing w:after="0"/>
              <w:rPr>
                <w:sz w:val="20"/>
                <w:szCs w:val="20"/>
                <w:color w:val="auto"/>
              </w:rPr>
            </w:pPr>
            <w:r>
              <w:rPr>
                <w:rFonts w:ascii="Arial" w:cs="Arial" w:eastAsia="Arial" w:hAnsi="Arial"/>
                <w:sz w:val="12"/>
                <w:szCs w:val="12"/>
                <w:b w:val="1"/>
                <w:bCs w:val="1"/>
                <w:color w:val="auto"/>
              </w:rPr>
              <w:t>Level III</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0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Fixed income securities:</w:t>
            </w:r>
          </w:p>
        </w:tc>
        <w:tc>
          <w:tcPr>
            <w:tcW w:w="74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ind w:left="80"/>
              <w:spacing w:after="0"/>
              <w:rPr>
                <w:sz w:val="20"/>
                <w:szCs w:val="20"/>
                <w:color w:val="auto"/>
              </w:rPr>
            </w:pPr>
            <w:r>
              <w:rPr>
                <w:rFonts w:ascii="Arial" w:cs="Arial" w:eastAsia="Arial" w:hAnsi="Arial"/>
                <w:sz w:val="12"/>
                <w:szCs w:val="12"/>
                <w:color w:val="auto"/>
              </w:rPr>
              <w:t>U.S. Government and agencies</w:t>
            </w:r>
          </w:p>
        </w:tc>
        <w:tc>
          <w:tcPr>
            <w:tcW w:w="740" w:type="dxa"/>
            <w:vAlign w:val="bottom"/>
          </w:tcPr>
          <w:p>
            <w:pPr>
              <w:jc w:val="right"/>
              <w:ind w:right="627"/>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15,287</w:t>
            </w:r>
          </w:p>
        </w:tc>
        <w:tc>
          <w:tcPr>
            <w:tcW w:w="920" w:type="dxa"/>
            <w:vAlign w:val="bottom"/>
            <w:gridSpan w:val="2"/>
          </w:tcPr>
          <w:p>
            <w:pPr>
              <w:jc w:val="right"/>
              <w:ind w:right="68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15,287</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shd w:val="clear" w:color="auto" w:fill="CCEEFF"/>
          </w:tcPr>
          <w:p>
            <w:pPr>
              <w:ind w:left="80"/>
              <w:spacing w:after="0"/>
              <w:rPr>
                <w:sz w:val="20"/>
                <w:szCs w:val="20"/>
                <w:color w:val="auto"/>
              </w:rPr>
            </w:pPr>
            <w:r>
              <w:rPr>
                <w:rFonts w:ascii="Arial" w:cs="Arial" w:eastAsia="Arial" w:hAnsi="Arial"/>
                <w:sz w:val="12"/>
                <w:szCs w:val="12"/>
                <w:color w:val="auto"/>
              </w:rPr>
              <w:t>Obligations of states and political subdivisions</w:t>
            </w:r>
          </w:p>
        </w:tc>
        <w:tc>
          <w:tcPr>
            <w:tcW w:w="7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56,962</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56,962</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8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ind w:left="80"/>
              <w:spacing w:after="0"/>
              <w:rPr>
                <w:sz w:val="20"/>
                <w:szCs w:val="20"/>
                <w:color w:val="auto"/>
              </w:rPr>
            </w:pPr>
            <w:r>
              <w:rPr>
                <w:rFonts w:ascii="Arial" w:cs="Arial" w:eastAsia="Arial" w:hAnsi="Arial"/>
                <w:sz w:val="12"/>
                <w:szCs w:val="12"/>
                <w:color w:val="auto"/>
              </w:rPr>
              <w:t>Corporate securities</w:t>
            </w:r>
          </w:p>
        </w:tc>
        <w:tc>
          <w:tcPr>
            <w:tcW w:w="74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92,150</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92,150</w:t>
            </w:r>
          </w:p>
        </w:tc>
        <w:tc>
          <w:tcPr>
            <w:tcW w:w="200" w:type="dxa"/>
            <w:vAlign w:val="bottom"/>
          </w:tcPr>
          <w:p>
            <w:pPr>
              <w:spacing w:after="0"/>
              <w:rPr>
                <w:sz w:val="12"/>
                <w:szCs w:val="12"/>
                <w:color w:val="auto"/>
              </w:rPr>
            </w:pPr>
          </w:p>
        </w:tc>
        <w:tc>
          <w:tcPr>
            <w:tcW w:w="104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shd w:val="clear" w:color="auto" w:fill="CCEEFF"/>
          </w:tcPr>
          <w:p>
            <w:pPr>
              <w:ind w:left="80"/>
              <w:spacing w:after="0"/>
              <w:rPr>
                <w:sz w:val="20"/>
                <w:szCs w:val="20"/>
                <w:color w:val="auto"/>
              </w:rPr>
            </w:pPr>
            <w:r>
              <w:rPr>
                <w:rFonts w:ascii="Arial" w:cs="Arial" w:eastAsia="Arial" w:hAnsi="Arial"/>
                <w:sz w:val="12"/>
                <w:szCs w:val="12"/>
                <w:color w:val="auto"/>
              </w:rPr>
              <w:t>Residential mortgage-backed securities</w:t>
            </w:r>
          </w:p>
        </w:tc>
        <w:tc>
          <w:tcPr>
            <w:tcW w:w="7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40,841</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40,841</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8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ind w:left="80"/>
              <w:spacing w:after="0"/>
              <w:rPr>
                <w:sz w:val="20"/>
                <w:szCs w:val="20"/>
                <w:color w:val="auto"/>
              </w:rPr>
            </w:pPr>
            <w:r>
              <w:rPr>
                <w:rFonts w:ascii="Arial" w:cs="Arial" w:eastAsia="Arial" w:hAnsi="Arial"/>
                <w:sz w:val="12"/>
                <w:szCs w:val="12"/>
                <w:color w:val="auto"/>
              </w:rPr>
              <w:t>Commercial mortgage-backed securities</w:t>
            </w:r>
          </w:p>
        </w:tc>
        <w:tc>
          <w:tcPr>
            <w:tcW w:w="74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14,582</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14,582</w:t>
            </w:r>
          </w:p>
        </w:tc>
        <w:tc>
          <w:tcPr>
            <w:tcW w:w="200" w:type="dxa"/>
            <w:vAlign w:val="bottom"/>
          </w:tcPr>
          <w:p>
            <w:pPr>
              <w:spacing w:after="0"/>
              <w:rPr>
                <w:sz w:val="12"/>
                <w:szCs w:val="12"/>
                <w:color w:val="auto"/>
              </w:rPr>
            </w:pPr>
          </w:p>
        </w:tc>
        <w:tc>
          <w:tcPr>
            <w:tcW w:w="104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060" w:type="dxa"/>
            <w:vAlign w:val="bottom"/>
            <w:shd w:val="clear" w:color="auto" w:fill="CCEEFF"/>
          </w:tcPr>
          <w:p>
            <w:pPr>
              <w:ind w:left="80"/>
              <w:spacing w:after="0"/>
              <w:rPr>
                <w:sz w:val="20"/>
                <w:szCs w:val="20"/>
                <w:color w:val="auto"/>
              </w:rPr>
            </w:pPr>
            <w:r>
              <w:rPr>
                <w:rFonts w:ascii="Arial" w:cs="Arial" w:eastAsia="Arial" w:hAnsi="Arial"/>
                <w:sz w:val="12"/>
                <w:szCs w:val="12"/>
                <w:color w:val="auto"/>
              </w:rPr>
              <w:t>Asset-backed securities</w:t>
            </w:r>
          </w:p>
        </w:tc>
        <w:tc>
          <w:tcPr>
            <w:tcW w:w="7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21,765</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21,765</w:t>
            </w:r>
          </w:p>
        </w:tc>
        <w:tc>
          <w:tcPr>
            <w:tcW w:w="2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8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060" w:type="dxa"/>
            <w:vAlign w:val="bottom"/>
            <w:tcBorders>
              <w:bottom w:val="single" w:sz="8" w:color="CCEEFF"/>
            </w:tcBorders>
          </w:tcPr>
          <w:p>
            <w:pPr>
              <w:ind w:left="180"/>
              <w:spacing w:after="0" w:line="133" w:lineRule="exact"/>
              <w:rPr>
                <w:sz w:val="20"/>
                <w:szCs w:val="20"/>
                <w:color w:val="auto"/>
              </w:rPr>
            </w:pPr>
            <w:r>
              <w:rPr>
                <w:rFonts w:ascii="Arial" w:cs="Arial" w:eastAsia="Arial" w:hAnsi="Arial"/>
                <w:sz w:val="12"/>
                <w:szCs w:val="12"/>
                <w:color w:val="auto"/>
              </w:rPr>
              <w:t>Total fixed income securities</w:t>
            </w:r>
          </w:p>
        </w:tc>
        <w:tc>
          <w:tcPr>
            <w:tcW w:w="74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92"/>
              </w:rPr>
              <w:t>241,587</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240" w:type="dxa"/>
            <w:vAlign w:val="bottom"/>
            <w:tcBorders>
              <w:bottom w:val="single" w:sz="8" w:color="CCEEFF"/>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241,587</w:t>
            </w:r>
          </w:p>
        </w:tc>
        <w:tc>
          <w:tcPr>
            <w:tcW w:w="22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ind w:left="800"/>
              <w:spacing w:after="0" w:line="133" w:lineRule="exact"/>
              <w:rPr>
                <w:sz w:val="20"/>
                <w:szCs w:val="20"/>
                <w:color w:val="auto"/>
              </w:rPr>
            </w:pPr>
            <w:r>
              <w:rPr>
                <w:rFonts w:ascii="Arial" w:cs="Arial" w:eastAsia="Arial" w:hAnsi="Arial"/>
                <w:sz w:val="12"/>
                <w:szCs w:val="12"/>
                <w:color w:val="auto"/>
                <w:w w:val="82"/>
              </w:rPr>
              <w:t>—</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60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060" w:type="dxa"/>
            <w:vAlign w:val="bottom"/>
          </w:tcPr>
          <w:p>
            <w:pPr>
              <w:spacing w:after="0"/>
              <w:rPr>
                <w:sz w:val="20"/>
                <w:szCs w:val="20"/>
                <w:color w:val="auto"/>
              </w:rPr>
            </w:pPr>
            <w:r>
              <w:rPr>
                <w:rFonts w:ascii="Arial" w:cs="Arial" w:eastAsia="Arial" w:hAnsi="Arial"/>
                <w:sz w:val="12"/>
                <w:szCs w:val="12"/>
                <w:color w:val="auto"/>
              </w:rPr>
              <w:t>Equity securities:</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shd w:val="clear" w:color="auto" w:fill="CCEEFF"/>
          </w:tcPr>
          <w:p>
            <w:pPr>
              <w:ind w:left="80"/>
              <w:spacing w:after="0"/>
              <w:rPr>
                <w:sz w:val="20"/>
                <w:szCs w:val="20"/>
                <w:color w:val="auto"/>
              </w:rPr>
            </w:pPr>
            <w:r>
              <w:rPr>
                <w:rFonts w:ascii="Arial" w:cs="Arial" w:eastAsia="Arial" w:hAnsi="Arial"/>
                <w:sz w:val="12"/>
                <w:szCs w:val="12"/>
                <w:color w:val="auto"/>
              </w:rPr>
              <w:t>Basic materials</w:t>
            </w:r>
          </w:p>
        </w:tc>
        <w:tc>
          <w:tcPr>
            <w:tcW w:w="7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1,263</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1,263</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8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ind w:left="80"/>
              <w:spacing w:after="0"/>
              <w:rPr>
                <w:sz w:val="20"/>
                <w:szCs w:val="20"/>
                <w:color w:val="auto"/>
              </w:rPr>
            </w:pPr>
            <w:r>
              <w:rPr>
                <w:rFonts w:ascii="Arial" w:cs="Arial" w:eastAsia="Arial" w:hAnsi="Arial"/>
                <w:sz w:val="12"/>
                <w:szCs w:val="12"/>
                <w:color w:val="auto"/>
              </w:rPr>
              <w:t>Communications</w:t>
            </w:r>
          </w:p>
        </w:tc>
        <w:tc>
          <w:tcPr>
            <w:tcW w:w="74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4,781</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2"/>
                <w:szCs w:val="12"/>
                <w:color w:val="auto"/>
              </w:rPr>
              <w:t>4,781</w:t>
            </w:r>
          </w:p>
        </w:tc>
        <w:tc>
          <w:tcPr>
            <w:tcW w:w="30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04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Consumer, cyclical</w:t>
            </w:r>
          </w:p>
        </w:tc>
        <w:tc>
          <w:tcPr>
            <w:tcW w:w="7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9,149</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9,149</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8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ind w:left="80"/>
              <w:spacing w:after="0"/>
              <w:rPr>
                <w:sz w:val="20"/>
                <w:szCs w:val="20"/>
                <w:color w:val="auto"/>
              </w:rPr>
            </w:pPr>
            <w:r>
              <w:rPr>
                <w:rFonts w:ascii="Arial" w:cs="Arial" w:eastAsia="Arial" w:hAnsi="Arial"/>
                <w:sz w:val="12"/>
                <w:szCs w:val="12"/>
                <w:color w:val="auto"/>
              </w:rPr>
              <w:t>Consumer, non-cyclical</w:t>
            </w:r>
          </w:p>
        </w:tc>
        <w:tc>
          <w:tcPr>
            <w:tcW w:w="7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11,355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2"/>
                <w:szCs w:val="12"/>
                <w:color w:val="auto"/>
                <w:w w:val="87"/>
              </w:rPr>
              <w:t>11,355</w:t>
            </w:r>
          </w:p>
        </w:tc>
        <w:tc>
          <w:tcPr>
            <w:tcW w:w="30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04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shd w:val="clear" w:color="auto" w:fill="CCEEFF"/>
          </w:tcPr>
          <w:p>
            <w:pPr>
              <w:ind w:left="80"/>
              <w:spacing w:after="0"/>
              <w:rPr>
                <w:sz w:val="20"/>
                <w:szCs w:val="20"/>
                <w:color w:val="auto"/>
              </w:rPr>
            </w:pPr>
            <w:r>
              <w:rPr>
                <w:rFonts w:ascii="Arial" w:cs="Arial" w:eastAsia="Arial" w:hAnsi="Arial"/>
                <w:sz w:val="12"/>
                <w:szCs w:val="12"/>
                <w:color w:val="auto"/>
              </w:rPr>
              <w:t>Energy</w:t>
            </w:r>
          </w:p>
        </w:tc>
        <w:tc>
          <w:tcPr>
            <w:tcW w:w="7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2,054</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2,054</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8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ind w:left="80"/>
              <w:spacing w:after="0"/>
              <w:rPr>
                <w:sz w:val="20"/>
                <w:szCs w:val="20"/>
                <w:color w:val="auto"/>
              </w:rPr>
            </w:pPr>
            <w:r>
              <w:rPr>
                <w:rFonts w:ascii="Arial" w:cs="Arial" w:eastAsia="Arial" w:hAnsi="Arial"/>
                <w:sz w:val="12"/>
                <w:szCs w:val="12"/>
                <w:color w:val="auto"/>
              </w:rPr>
              <w:t>Financial</w:t>
            </w:r>
          </w:p>
        </w:tc>
        <w:tc>
          <w:tcPr>
            <w:tcW w:w="74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3,214</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2"/>
                <w:szCs w:val="12"/>
                <w:color w:val="auto"/>
              </w:rPr>
              <w:t>3,214</w:t>
            </w:r>
          </w:p>
        </w:tc>
        <w:tc>
          <w:tcPr>
            <w:tcW w:w="30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04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shd w:val="clear" w:color="auto" w:fill="CCEEFF"/>
          </w:tcPr>
          <w:p>
            <w:pPr>
              <w:ind w:left="80"/>
              <w:spacing w:after="0"/>
              <w:rPr>
                <w:sz w:val="20"/>
                <w:szCs w:val="20"/>
                <w:color w:val="auto"/>
              </w:rPr>
            </w:pPr>
            <w:r>
              <w:rPr>
                <w:rFonts w:ascii="Arial" w:cs="Arial" w:eastAsia="Arial" w:hAnsi="Arial"/>
                <w:sz w:val="12"/>
                <w:szCs w:val="12"/>
                <w:color w:val="auto"/>
              </w:rPr>
              <w:t>Industrial</w:t>
            </w:r>
          </w:p>
        </w:tc>
        <w:tc>
          <w:tcPr>
            <w:tcW w:w="7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8,410</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8,410</w:t>
            </w:r>
          </w:p>
        </w:tc>
        <w:tc>
          <w:tcPr>
            <w:tcW w:w="3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8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060" w:type="dxa"/>
            <w:vAlign w:val="bottom"/>
          </w:tcPr>
          <w:p>
            <w:pPr>
              <w:ind w:left="80"/>
              <w:spacing w:after="0"/>
              <w:rPr>
                <w:sz w:val="20"/>
                <w:szCs w:val="20"/>
                <w:color w:val="auto"/>
              </w:rPr>
            </w:pPr>
            <w:r>
              <w:rPr>
                <w:rFonts w:ascii="Arial" w:cs="Arial" w:eastAsia="Arial" w:hAnsi="Arial"/>
                <w:sz w:val="12"/>
                <w:szCs w:val="12"/>
                <w:color w:val="auto"/>
              </w:rPr>
              <w:t>Technology</w:t>
            </w:r>
          </w:p>
        </w:tc>
        <w:tc>
          <w:tcPr>
            <w:tcW w:w="74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9,579</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2"/>
                <w:szCs w:val="12"/>
                <w:color w:val="auto"/>
              </w:rPr>
              <w:t>9,579</w:t>
            </w:r>
          </w:p>
        </w:tc>
        <w:tc>
          <w:tcPr>
            <w:tcW w:w="30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4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060" w:type="dxa"/>
            <w:vAlign w:val="bottom"/>
            <w:tcBorders>
              <w:top w:val="single" w:sz="8" w:color="CCEEFF"/>
            </w:tcBorders>
            <w:shd w:val="clear" w:color="auto" w:fill="CCEEFF"/>
          </w:tcPr>
          <w:p>
            <w:pPr>
              <w:ind w:left="180"/>
              <w:spacing w:after="0" w:line="133" w:lineRule="exact"/>
              <w:rPr>
                <w:sz w:val="20"/>
                <w:szCs w:val="20"/>
                <w:color w:val="auto"/>
              </w:rPr>
            </w:pPr>
            <w:r>
              <w:rPr>
                <w:rFonts w:ascii="Arial" w:cs="Arial" w:eastAsia="Arial" w:hAnsi="Arial"/>
                <w:sz w:val="12"/>
                <w:szCs w:val="12"/>
                <w:color w:val="auto"/>
              </w:rPr>
              <w:t>Total equity securities</w:t>
            </w:r>
          </w:p>
        </w:tc>
        <w:tc>
          <w:tcPr>
            <w:tcW w:w="74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49,805</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7"/>
              </w:rPr>
              <w:t>49,805</w:t>
            </w:r>
          </w:p>
        </w:tc>
        <w:tc>
          <w:tcPr>
            <w:tcW w:w="2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920" w:type="dxa"/>
            <w:vAlign w:val="bottom"/>
            <w:tcBorders>
              <w:top w:val="single" w:sz="8" w:color="auto"/>
              <w:bottom w:val="single" w:sz="8" w:color="auto"/>
            </w:tcBorders>
            <w:shd w:val="clear" w:color="auto" w:fill="CCEEFF"/>
          </w:tcPr>
          <w:p>
            <w:pPr>
              <w:ind w:left="800"/>
              <w:spacing w:after="0" w:line="133" w:lineRule="exact"/>
              <w:rPr>
                <w:sz w:val="20"/>
                <w:szCs w:val="20"/>
                <w:color w:val="auto"/>
              </w:rPr>
            </w:pPr>
            <w:r>
              <w:rPr>
                <w:rFonts w:ascii="Arial" w:cs="Arial" w:eastAsia="Arial" w:hAnsi="Arial"/>
                <w:sz w:val="12"/>
                <w:szCs w:val="12"/>
                <w:color w:val="auto"/>
                <w:w w:val="82"/>
              </w:rPr>
              <w:t>—</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6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w:t>
            </w:r>
          </w:p>
        </w:tc>
        <w:tc>
          <w:tcPr>
            <w:tcW w:w="7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30,955</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87"/>
              </w:rPr>
              <w:t>30,955</w:t>
            </w:r>
          </w:p>
        </w:tc>
        <w:tc>
          <w:tcPr>
            <w:tcW w:w="3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8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vMerge w:val="restart"/>
          </w:tcPr>
          <w:p>
            <w:pPr>
              <w:ind w:left="180"/>
              <w:spacing w:after="0"/>
              <w:rPr>
                <w:sz w:val="20"/>
                <w:szCs w:val="20"/>
                <w:color w:val="auto"/>
              </w:rPr>
            </w:pPr>
            <w:r>
              <w:rPr>
                <w:rFonts w:ascii="Arial" w:cs="Arial" w:eastAsia="Arial" w:hAnsi="Arial"/>
                <w:sz w:val="12"/>
                <w:szCs w:val="12"/>
                <w:color w:val="auto"/>
              </w:rPr>
              <w:t>Total assets at fair value</w:t>
            </w: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vMerge w:val="continue"/>
          </w:tcPr>
          <w:p>
            <w:pPr>
              <w:spacing w:after="0"/>
              <w:rPr>
                <w:sz w:val="12"/>
                <w:szCs w:val="12"/>
                <w:color w:val="auto"/>
              </w:rPr>
            </w:pPr>
          </w:p>
        </w:tc>
        <w:tc>
          <w:tcPr>
            <w:tcW w:w="740" w:type="dxa"/>
            <w:vAlign w:val="bottom"/>
          </w:tcPr>
          <w:p>
            <w:pPr>
              <w:jc w:val="right"/>
              <w:ind w:right="627"/>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w w:val="92"/>
              </w:rPr>
              <w:t>322,347</w:t>
            </w:r>
          </w:p>
        </w:tc>
        <w:tc>
          <w:tcPr>
            <w:tcW w:w="920" w:type="dxa"/>
            <w:vAlign w:val="bottom"/>
            <w:gridSpan w:val="2"/>
          </w:tcPr>
          <w:p>
            <w:pPr>
              <w:jc w:val="right"/>
              <w:ind w:right="68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2"/>
                <w:szCs w:val="12"/>
                <w:color w:val="auto"/>
                <w:w w:val="87"/>
              </w:rPr>
              <w:t>80,760</w:t>
            </w: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241,587</w:t>
            </w:r>
          </w:p>
        </w:tc>
        <w:tc>
          <w:tcPr>
            <w:tcW w:w="220" w:type="dxa"/>
            <w:vAlign w:val="bottom"/>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December 31, 2017</w:t>
            </w:r>
          </w:p>
        </w:tc>
        <w:tc>
          <w:tcPr>
            <w:tcW w:w="8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Total</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2"/>
                <w:szCs w:val="12"/>
                <w:b w:val="1"/>
                <w:bCs w:val="1"/>
                <w:color w:val="auto"/>
              </w:rPr>
              <w:t>Level I</w:t>
            </w:r>
          </w:p>
        </w:tc>
        <w:tc>
          <w:tcPr>
            <w:tcW w:w="360" w:type="dxa"/>
            <w:vAlign w:val="bottom"/>
          </w:tcPr>
          <w:p>
            <w:pPr>
              <w:spacing w:after="0"/>
              <w:rPr>
                <w:sz w:val="12"/>
                <w:szCs w:val="12"/>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Level II</w:t>
            </w:r>
          </w:p>
        </w:tc>
        <w:tc>
          <w:tcPr>
            <w:tcW w:w="200" w:type="dxa"/>
            <w:vAlign w:val="bottom"/>
          </w:tcPr>
          <w:p>
            <w:pPr>
              <w:spacing w:after="0"/>
              <w:rPr>
                <w:sz w:val="12"/>
                <w:szCs w:val="12"/>
                <w:color w:val="auto"/>
              </w:rPr>
            </w:pPr>
          </w:p>
        </w:tc>
        <w:tc>
          <w:tcPr>
            <w:tcW w:w="920" w:type="dxa"/>
            <w:vAlign w:val="bottom"/>
          </w:tcPr>
          <w:p>
            <w:pPr>
              <w:ind w:left="140"/>
              <w:spacing w:after="0"/>
              <w:rPr>
                <w:sz w:val="20"/>
                <w:szCs w:val="20"/>
                <w:color w:val="auto"/>
              </w:rPr>
            </w:pPr>
            <w:r>
              <w:rPr>
                <w:rFonts w:ascii="Arial" w:cs="Arial" w:eastAsia="Arial" w:hAnsi="Arial"/>
                <w:sz w:val="12"/>
                <w:szCs w:val="12"/>
                <w:b w:val="1"/>
                <w:bCs w:val="1"/>
                <w:color w:val="auto"/>
              </w:rPr>
              <w:t>Level III</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0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Fixed income securities:</w:t>
            </w:r>
          </w:p>
        </w:tc>
        <w:tc>
          <w:tcPr>
            <w:tcW w:w="74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ind w:left="120"/>
              <w:spacing w:after="0"/>
              <w:rPr>
                <w:sz w:val="20"/>
                <w:szCs w:val="20"/>
                <w:color w:val="auto"/>
              </w:rPr>
            </w:pPr>
            <w:r>
              <w:rPr>
                <w:rFonts w:ascii="Arial" w:cs="Arial" w:eastAsia="Arial" w:hAnsi="Arial"/>
                <w:sz w:val="12"/>
                <w:szCs w:val="12"/>
                <w:color w:val="auto"/>
              </w:rPr>
              <w:t>U.S. Government and agencies</w:t>
            </w:r>
          </w:p>
        </w:tc>
        <w:tc>
          <w:tcPr>
            <w:tcW w:w="740" w:type="dxa"/>
            <w:vAlign w:val="bottom"/>
          </w:tcPr>
          <w:p>
            <w:pPr>
              <w:jc w:val="right"/>
              <w:ind w:right="627"/>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9,649</w:t>
            </w:r>
          </w:p>
        </w:tc>
        <w:tc>
          <w:tcPr>
            <w:tcW w:w="3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9,649</w:t>
            </w:r>
          </w:p>
        </w:tc>
        <w:tc>
          <w:tcPr>
            <w:tcW w:w="220" w:type="dxa"/>
            <w:vAlign w:val="bottom"/>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Obligations of states and political subdivisions</w:t>
            </w:r>
          </w:p>
        </w:tc>
        <w:tc>
          <w:tcPr>
            <w:tcW w:w="7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82,595</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82,595</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8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ind w:left="120"/>
              <w:spacing w:after="0"/>
              <w:rPr>
                <w:sz w:val="20"/>
                <w:szCs w:val="20"/>
                <w:color w:val="auto"/>
              </w:rPr>
            </w:pPr>
            <w:r>
              <w:rPr>
                <w:rFonts w:ascii="Arial" w:cs="Arial" w:eastAsia="Arial" w:hAnsi="Arial"/>
                <w:sz w:val="12"/>
                <w:szCs w:val="12"/>
                <w:color w:val="auto"/>
              </w:rPr>
              <w:t>Corporate securities</w:t>
            </w:r>
          </w:p>
        </w:tc>
        <w:tc>
          <w:tcPr>
            <w:tcW w:w="74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89,451</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89,451</w:t>
            </w:r>
          </w:p>
        </w:tc>
        <w:tc>
          <w:tcPr>
            <w:tcW w:w="200" w:type="dxa"/>
            <w:vAlign w:val="bottom"/>
          </w:tcPr>
          <w:p>
            <w:pPr>
              <w:spacing w:after="0"/>
              <w:rPr>
                <w:sz w:val="12"/>
                <w:szCs w:val="12"/>
                <w:color w:val="auto"/>
              </w:rPr>
            </w:pPr>
          </w:p>
        </w:tc>
        <w:tc>
          <w:tcPr>
            <w:tcW w:w="104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Residential mortgage-backed securities</w:t>
            </w:r>
          </w:p>
        </w:tc>
        <w:tc>
          <w:tcPr>
            <w:tcW w:w="7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28,524</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28,524</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8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ind w:left="120"/>
              <w:spacing w:after="0"/>
              <w:rPr>
                <w:sz w:val="20"/>
                <w:szCs w:val="20"/>
                <w:color w:val="auto"/>
              </w:rPr>
            </w:pPr>
            <w:r>
              <w:rPr>
                <w:rFonts w:ascii="Arial" w:cs="Arial" w:eastAsia="Arial" w:hAnsi="Arial"/>
                <w:sz w:val="12"/>
                <w:szCs w:val="12"/>
                <w:color w:val="auto"/>
              </w:rPr>
              <w:t>Commercial mortgage-backed securities</w:t>
            </w:r>
          </w:p>
        </w:tc>
        <w:tc>
          <w:tcPr>
            <w:tcW w:w="7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11,170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11,170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0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Asset-backed securities</w:t>
            </w:r>
          </w:p>
        </w:tc>
        <w:tc>
          <w:tcPr>
            <w:tcW w:w="7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15,369</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15,369</w:t>
            </w:r>
          </w:p>
        </w:tc>
        <w:tc>
          <w:tcPr>
            <w:tcW w:w="2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8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060" w:type="dxa"/>
            <w:vAlign w:val="bottom"/>
            <w:tcBorders>
              <w:bottom w:val="single" w:sz="8" w:color="CCEEFF"/>
            </w:tcBorders>
          </w:tcPr>
          <w:p>
            <w:pPr>
              <w:ind w:left="240"/>
              <w:spacing w:after="0" w:line="133" w:lineRule="exact"/>
              <w:rPr>
                <w:sz w:val="20"/>
                <w:szCs w:val="20"/>
                <w:color w:val="auto"/>
              </w:rPr>
            </w:pPr>
            <w:r>
              <w:rPr>
                <w:rFonts w:ascii="Arial" w:cs="Arial" w:eastAsia="Arial" w:hAnsi="Arial"/>
                <w:sz w:val="12"/>
                <w:szCs w:val="12"/>
                <w:color w:val="auto"/>
              </w:rPr>
              <w:t>Total fixed income securities</w:t>
            </w:r>
          </w:p>
        </w:tc>
        <w:tc>
          <w:tcPr>
            <w:tcW w:w="74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92"/>
              </w:rPr>
              <w:t>236,758</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240" w:type="dxa"/>
            <w:vAlign w:val="bottom"/>
            <w:tcBorders>
              <w:bottom w:val="single" w:sz="8" w:color="CCEEFF"/>
            </w:tcBorders>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236,758</w:t>
            </w:r>
          </w:p>
        </w:tc>
        <w:tc>
          <w:tcPr>
            <w:tcW w:w="22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ind w:left="800"/>
              <w:spacing w:after="0" w:line="133" w:lineRule="exact"/>
              <w:rPr>
                <w:sz w:val="20"/>
                <w:szCs w:val="20"/>
                <w:color w:val="auto"/>
              </w:rPr>
            </w:pPr>
            <w:r>
              <w:rPr>
                <w:rFonts w:ascii="Arial" w:cs="Arial" w:eastAsia="Arial" w:hAnsi="Arial"/>
                <w:sz w:val="12"/>
                <w:szCs w:val="12"/>
                <w:color w:val="auto"/>
                <w:w w:val="82"/>
              </w:rPr>
              <w:t>—</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60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060" w:type="dxa"/>
            <w:vAlign w:val="bottom"/>
          </w:tcPr>
          <w:p>
            <w:pPr>
              <w:spacing w:after="0"/>
              <w:rPr>
                <w:sz w:val="20"/>
                <w:szCs w:val="20"/>
                <w:color w:val="auto"/>
              </w:rPr>
            </w:pPr>
            <w:r>
              <w:rPr>
                <w:rFonts w:ascii="Arial" w:cs="Arial" w:eastAsia="Arial" w:hAnsi="Arial"/>
                <w:sz w:val="12"/>
                <w:szCs w:val="12"/>
                <w:color w:val="auto"/>
              </w:rPr>
              <w:t>Equity securities:</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Basic materials</w:t>
            </w:r>
          </w:p>
        </w:tc>
        <w:tc>
          <w:tcPr>
            <w:tcW w:w="7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892</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892</w:t>
            </w:r>
          </w:p>
        </w:tc>
        <w:tc>
          <w:tcPr>
            <w:tcW w:w="3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8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ind w:left="120"/>
              <w:spacing w:after="0"/>
              <w:rPr>
                <w:sz w:val="20"/>
                <w:szCs w:val="20"/>
                <w:color w:val="auto"/>
              </w:rPr>
            </w:pPr>
            <w:r>
              <w:rPr>
                <w:rFonts w:ascii="Arial" w:cs="Arial" w:eastAsia="Arial" w:hAnsi="Arial"/>
                <w:sz w:val="12"/>
                <w:szCs w:val="12"/>
                <w:color w:val="auto"/>
              </w:rPr>
              <w:t>Communications</w:t>
            </w:r>
          </w:p>
        </w:tc>
        <w:tc>
          <w:tcPr>
            <w:tcW w:w="74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4,322</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4,322</w:t>
            </w:r>
          </w:p>
        </w:tc>
        <w:tc>
          <w:tcPr>
            <w:tcW w:w="36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04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Consumer, cyclical</w:t>
            </w:r>
          </w:p>
        </w:tc>
        <w:tc>
          <w:tcPr>
            <w:tcW w:w="7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9,339</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9,339</w:t>
            </w:r>
          </w:p>
        </w:tc>
        <w:tc>
          <w:tcPr>
            <w:tcW w:w="3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8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ind w:left="120"/>
              <w:spacing w:after="0"/>
              <w:rPr>
                <w:sz w:val="20"/>
                <w:szCs w:val="20"/>
                <w:color w:val="auto"/>
              </w:rPr>
            </w:pPr>
            <w:r>
              <w:rPr>
                <w:rFonts w:ascii="Arial" w:cs="Arial" w:eastAsia="Arial" w:hAnsi="Arial"/>
                <w:sz w:val="12"/>
                <w:szCs w:val="12"/>
                <w:color w:val="auto"/>
              </w:rPr>
              <w:t>Consumer, non-cyclical</w:t>
            </w:r>
          </w:p>
        </w:tc>
        <w:tc>
          <w:tcPr>
            <w:tcW w:w="74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10,905</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10,905</w:t>
            </w:r>
          </w:p>
        </w:tc>
        <w:tc>
          <w:tcPr>
            <w:tcW w:w="36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04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Energy</w:t>
            </w:r>
          </w:p>
        </w:tc>
        <w:tc>
          <w:tcPr>
            <w:tcW w:w="7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2,231</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2,231</w:t>
            </w:r>
          </w:p>
        </w:tc>
        <w:tc>
          <w:tcPr>
            <w:tcW w:w="3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8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ind w:left="120"/>
              <w:spacing w:after="0"/>
              <w:rPr>
                <w:sz w:val="20"/>
                <w:szCs w:val="20"/>
                <w:color w:val="auto"/>
              </w:rPr>
            </w:pPr>
            <w:r>
              <w:rPr>
                <w:rFonts w:ascii="Arial" w:cs="Arial" w:eastAsia="Arial" w:hAnsi="Arial"/>
                <w:sz w:val="12"/>
                <w:szCs w:val="12"/>
                <w:color w:val="auto"/>
              </w:rPr>
              <w:t>Financial</w:t>
            </w:r>
          </w:p>
        </w:tc>
        <w:tc>
          <w:tcPr>
            <w:tcW w:w="74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2,417</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2,417</w:t>
            </w:r>
          </w:p>
        </w:tc>
        <w:tc>
          <w:tcPr>
            <w:tcW w:w="36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04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Industrial</w:t>
            </w:r>
          </w:p>
        </w:tc>
        <w:tc>
          <w:tcPr>
            <w:tcW w:w="7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9,205</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9,205</w:t>
            </w:r>
          </w:p>
        </w:tc>
        <w:tc>
          <w:tcPr>
            <w:tcW w:w="3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8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060" w:type="dxa"/>
            <w:vAlign w:val="bottom"/>
          </w:tcPr>
          <w:p>
            <w:pPr>
              <w:ind w:left="120"/>
              <w:spacing w:after="0"/>
              <w:rPr>
                <w:sz w:val="20"/>
                <w:szCs w:val="20"/>
                <w:color w:val="auto"/>
              </w:rPr>
            </w:pPr>
            <w:r>
              <w:rPr>
                <w:rFonts w:ascii="Arial" w:cs="Arial" w:eastAsia="Arial" w:hAnsi="Arial"/>
                <w:sz w:val="12"/>
                <w:szCs w:val="12"/>
                <w:color w:val="auto"/>
              </w:rPr>
              <w:t>Technology</w:t>
            </w:r>
          </w:p>
        </w:tc>
        <w:tc>
          <w:tcPr>
            <w:tcW w:w="74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8,250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8,250</w:t>
            </w:r>
          </w:p>
        </w:tc>
        <w:tc>
          <w:tcPr>
            <w:tcW w:w="36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4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060" w:type="dxa"/>
            <w:vAlign w:val="bottom"/>
            <w:tcBorders>
              <w:top w:val="single" w:sz="8" w:color="CCEEFF"/>
            </w:tcBorders>
            <w:shd w:val="clear" w:color="auto" w:fill="CCEEFF"/>
          </w:tcPr>
          <w:p>
            <w:pPr>
              <w:ind w:left="220"/>
              <w:spacing w:after="0" w:line="133" w:lineRule="exact"/>
              <w:rPr>
                <w:sz w:val="20"/>
                <w:szCs w:val="20"/>
                <w:color w:val="auto"/>
              </w:rPr>
            </w:pPr>
            <w:r>
              <w:rPr>
                <w:rFonts w:ascii="Arial" w:cs="Arial" w:eastAsia="Arial" w:hAnsi="Arial"/>
                <w:sz w:val="12"/>
                <w:szCs w:val="12"/>
                <w:color w:val="auto"/>
              </w:rPr>
              <w:t>Total equity securities</w:t>
            </w:r>
          </w:p>
        </w:tc>
        <w:tc>
          <w:tcPr>
            <w:tcW w:w="74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47,561</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9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47,561</w:t>
            </w:r>
          </w:p>
        </w:tc>
        <w:tc>
          <w:tcPr>
            <w:tcW w:w="24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920" w:type="dxa"/>
            <w:vAlign w:val="bottom"/>
            <w:tcBorders>
              <w:top w:val="single" w:sz="8" w:color="auto"/>
              <w:bottom w:val="single" w:sz="8" w:color="auto"/>
            </w:tcBorders>
            <w:shd w:val="clear" w:color="auto" w:fill="CCEEFF"/>
          </w:tcPr>
          <w:p>
            <w:pPr>
              <w:ind w:left="800"/>
              <w:spacing w:after="0" w:line="133" w:lineRule="exact"/>
              <w:rPr>
                <w:sz w:val="20"/>
                <w:szCs w:val="20"/>
                <w:color w:val="auto"/>
              </w:rPr>
            </w:pPr>
            <w:r>
              <w:rPr>
                <w:rFonts w:ascii="Arial" w:cs="Arial" w:eastAsia="Arial" w:hAnsi="Arial"/>
                <w:sz w:val="12"/>
                <w:szCs w:val="12"/>
                <w:color w:val="auto"/>
                <w:w w:val="82"/>
              </w:rPr>
              <w:t>—</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6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w:t>
            </w:r>
          </w:p>
        </w:tc>
        <w:tc>
          <w:tcPr>
            <w:tcW w:w="7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27,594</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27,594</w:t>
            </w:r>
          </w:p>
        </w:tc>
        <w:tc>
          <w:tcPr>
            <w:tcW w:w="3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8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vMerge w:val="restart"/>
          </w:tcPr>
          <w:p>
            <w:pPr>
              <w:ind w:left="220"/>
              <w:spacing w:after="0"/>
              <w:rPr>
                <w:sz w:val="20"/>
                <w:szCs w:val="20"/>
                <w:color w:val="auto"/>
              </w:rPr>
            </w:pPr>
            <w:r>
              <w:rPr>
                <w:rFonts w:ascii="Arial" w:cs="Arial" w:eastAsia="Arial" w:hAnsi="Arial"/>
                <w:sz w:val="12"/>
                <w:szCs w:val="12"/>
                <w:color w:val="auto"/>
              </w:rPr>
              <w:t>Total assets at fair value</w:t>
            </w: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vMerge w:val="continue"/>
          </w:tcPr>
          <w:p>
            <w:pPr>
              <w:spacing w:after="0"/>
              <w:rPr>
                <w:sz w:val="12"/>
                <w:szCs w:val="12"/>
                <w:color w:val="auto"/>
              </w:rPr>
            </w:pPr>
          </w:p>
        </w:tc>
        <w:tc>
          <w:tcPr>
            <w:tcW w:w="740" w:type="dxa"/>
            <w:vAlign w:val="bottom"/>
          </w:tcPr>
          <w:p>
            <w:pPr>
              <w:jc w:val="right"/>
              <w:ind w:right="627"/>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w w:val="92"/>
              </w:rPr>
              <w:t>311,913</w:t>
            </w:r>
          </w:p>
        </w:tc>
        <w:tc>
          <w:tcPr>
            <w:tcW w:w="3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75,155</w:t>
            </w:r>
          </w:p>
        </w:tc>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236,758</w:t>
            </w:r>
          </w:p>
        </w:tc>
        <w:tc>
          <w:tcPr>
            <w:tcW w:w="220" w:type="dxa"/>
            <w:vAlign w:val="bottom"/>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There were no liabilities measured at fair value on a recurring basis at June 30, 2018 or December 31, 2017.</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2340" cy="1714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bookmarkStart w:id="22" w:name="page23"/>
    <w:bookmarkEnd w:id="22"/>
    <w:p>
      <w:pPr>
        <w:ind w:left="8"/>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NI Holdings, Inc.</w:t>
      </w:r>
    </w:p>
    <w:p>
      <w:pPr>
        <w:spacing w:after="0" w:line="5" w:lineRule="exact"/>
        <w:rPr>
          <w:sz w:val="20"/>
          <w:szCs w:val="20"/>
          <w:color w:val="auto"/>
        </w:rPr>
      </w:pPr>
    </w:p>
    <w:p>
      <w:pPr>
        <w:ind w:left="4348"/>
        <w:spacing w:after="0"/>
        <w:rPr>
          <w:sz w:val="20"/>
          <w:szCs w:val="20"/>
          <w:color w:val="auto"/>
        </w:rPr>
      </w:pPr>
      <w:r>
        <w:rPr>
          <w:rFonts w:ascii="Arial" w:cs="Arial" w:eastAsia="Arial" w:hAnsi="Arial"/>
          <w:sz w:val="12"/>
          <w:szCs w:val="12"/>
          <w:b w:val="1"/>
          <w:bCs w:val="1"/>
          <w:color w:val="auto"/>
        </w:rPr>
        <w:t>Notes to Unaudited Consolidated Financial Statements</w:t>
      </w:r>
    </w:p>
    <w:p>
      <w:pPr>
        <w:spacing w:after="0" w:line="6" w:lineRule="exact"/>
        <w:rPr>
          <w:sz w:val="20"/>
          <w:szCs w:val="20"/>
          <w:color w:val="auto"/>
        </w:rPr>
      </w:pPr>
    </w:p>
    <w:p>
      <w:pPr>
        <w:ind w:left="4268"/>
        <w:spacing w:after="0"/>
        <w:rPr>
          <w:sz w:val="20"/>
          <w:szCs w:val="20"/>
          <w:color w:val="auto"/>
        </w:rPr>
      </w:pPr>
      <w:r>
        <w:rPr>
          <w:rFonts w:ascii="Arial" w:cs="Arial" w:eastAsia="Arial" w:hAnsi="Arial"/>
          <w:sz w:val="12"/>
          <w:szCs w:val="12"/>
          <w:b w:val="1"/>
          <w:bCs w:val="1"/>
          <w:color w:val="auto"/>
        </w:rPr>
        <w:t>(dollar amounts in thousands, except per share amounts)</w:t>
      </w:r>
    </w:p>
    <w:p>
      <w:pPr>
        <w:spacing w:after="0" w:line="281" w:lineRule="exact"/>
        <w:rPr>
          <w:sz w:val="20"/>
          <w:szCs w:val="20"/>
          <w:color w:val="auto"/>
        </w:rPr>
      </w:pPr>
    </w:p>
    <w:p>
      <w:pPr>
        <w:ind w:left="428" w:hanging="428"/>
        <w:spacing w:after="0"/>
        <w:tabs>
          <w:tab w:leader="none" w:pos="428" w:val="left"/>
        </w:tabs>
        <w:numPr>
          <w:ilvl w:val="0"/>
          <w:numId w:val="14"/>
        </w:numPr>
        <w:rPr>
          <w:rFonts w:ascii="Arial" w:cs="Arial" w:eastAsia="Arial" w:hAnsi="Arial"/>
          <w:sz w:val="12"/>
          <w:szCs w:val="12"/>
          <w:b w:val="1"/>
          <w:bCs w:val="1"/>
          <w:color w:val="auto"/>
        </w:rPr>
      </w:pPr>
      <w:r>
        <w:rPr>
          <w:rFonts w:ascii="Arial" w:cs="Arial" w:eastAsia="Arial" w:hAnsi="Arial"/>
          <w:sz w:val="12"/>
          <w:szCs w:val="12"/>
          <w:b w:val="1"/>
          <w:bCs w:val="1"/>
          <w:color w:val="auto"/>
        </w:rPr>
        <w:t>Reinsurance</w:t>
      </w:r>
    </w:p>
    <w:p>
      <w:pPr>
        <w:spacing w:after="0" w:line="154" w:lineRule="exact"/>
        <w:rPr>
          <w:sz w:val="20"/>
          <w:szCs w:val="20"/>
          <w:color w:val="auto"/>
        </w:rPr>
      </w:pPr>
    </w:p>
    <w:p>
      <w:pPr>
        <w:ind w:left="8" w:right="40" w:firstLine="423"/>
        <w:spacing w:after="0" w:line="323" w:lineRule="auto"/>
        <w:rPr>
          <w:sz w:val="20"/>
          <w:szCs w:val="20"/>
          <w:color w:val="auto"/>
        </w:rPr>
      </w:pPr>
      <w:r>
        <w:rPr>
          <w:rFonts w:ascii="Arial" w:cs="Arial" w:eastAsia="Arial" w:hAnsi="Arial"/>
          <w:sz w:val="11"/>
          <w:szCs w:val="11"/>
          <w:color w:val="auto"/>
        </w:rPr>
        <w:t>The Company will assume and cede certain premiums and losses to and from various companies and associations under various reinsurance agreements. The Company seeks to limit the maximum net loss that can arise from large risks or risks in concentrated areas of exposure through use of these agreements, either on an automatic basis under general reinsurance contracts known as treaties or by negotiation on substantial individual risks.</w:t>
      </w:r>
    </w:p>
    <w:p>
      <w:pPr>
        <w:spacing w:after="0" w:line="20" w:lineRule="exact"/>
        <w:rPr>
          <w:sz w:val="20"/>
          <w:szCs w:val="20"/>
          <w:color w:val="auto"/>
        </w:rPr>
      </w:pPr>
    </w:p>
    <w:p>
      <w:pPr>
        <w:ind w:left="8" w:right="20" w:firstLine="423"/>
        <w:spacing w:after="0" w:line="375" w:lineRule="auto"/>
        <w:rPr>
          <w:sz w:val="20"/>
          <w:szCs w:val="20"/>
          <w:color w:val="auto"/>
        </w:rPr>
      </w:pPr>
      <w:r>
        <w:rPr>
          <w:rFonts w:ascii="Arial" w:cs="Arial" w:eastAsia="Arial" w:hAnsi="Arial"/>
          <w:sz w:val="10"/>
          <w:szCs w:val="10"/>
          <w:color w:val="auto"/>
        </w:rPr>
        <w:t>Reinsurance contracts do not relieve the Company from its obligation to policyholders. Additionally, failure of reinsurers to honor their obligations could result in significant losses to us. There can be no assurance that reinsurance will continue to be available to us at the same extent, and at the same cost, as it has in the past. The Company may choose in the future to reevaluate the use of reinsurance to increase or decrease the amounts of risk ceded to reinsurers.</w:t>
      </w:r>
    </w:p>
    <w:p>
      <w:pPr>
        <w:spacing w:after="0" w:line="1" w:lineRule="exact"/>
        <w:rPr>
          <w:sz w:val="20"/>
          <w:szCs w:val="20"/>
          <w:color w:val="auto"/>
        </w:rPr>
      </w:pPr>
    </w:p>
    <w:p>
      <w:pPr>
        <w:ind w:left="8" w:right="220" w:firstLine="423"/>
        <w:spacing w:after="0" w:line="276" w:lineRule="auto"/>
        <w:rPr>
          <w:sz w:val="20"/>
          <w:szCs w:val="20"/>
          <w:color w:val="auto"/>
        </w:rPr>
      </w:pPr>
      <w:r>
        <w:rPr>
          <w:rFonts w:ascii="Arial" w:cs="Arial" w:eastAsia="Arial" w:hAnsi="Arial"/>
          <w:sz w:val="12"/>
          <w:szCs w:val="12"/>
          <w:color w:val="auto"/>
        </w:rPr>
        <w:t>As a group at June 30, 2018, the Company retained the first $10,000 of weather-related losses from catastrophic events and had reinsurance under various reinsurance agreements up to $74,600 in excess of its $10,000 retained risk. These reinsurance risk limits are unchanged from 2017.</w:t>
      </w:r>
    </w:p>
    <w:p>
      <w:pPr>
        <w:spacing w:after="0" w:line="43" w:lineRule="exact"/>
        <w:rPr>
          <w:sz w:val="20"/>
          <w:szCs w:val="20"/>
          <w:color w:val="auto"/>
        </w:rPr>
      </w:pPr>
    </w:p>
    <w:p>
      <w:pPr>
        <w:ind w:left="8" w:right="80" w:firstLine="423"/>
        <w:spacing w:after="0" w:line="259" w:lineRule="auto"/>
        <w:rPr>
          <w:sz w:val="20"/>
          <w:szCs w:val="20"/>
          <w:color w:val="auto"/>
        </w:rPr>
      </w:pPr>
      <w:r>
        <w:rPr>
          <w:rFonts w:ascii="Arial" w:cs="Arial" w:eastAsia="Arial" w:hAnsi="Arial"/>
          <w:sz w:val="12"/>
          <w:szCs w:val="12"/>
          <w:color w:val="auto"/>
        </w:rPr>
        <w:t>The Company actively monitors and evaluates the financial condition of the reinsurers and develops estimates of the uncollectible amounts due from reinsurers. Such estimates are made based on periodic evaluation of balances due from reinsurers, judgments regarding reinsurers’ solvency, known disputes, reporting characteristics of the underlying reinsured business, historical experience, current economic conditions, and the state of reinsurer relations in general. Collection risk is mitigated from reinsurers by entering into reinsurance arrangements only with reinsurers that have strong credit ratings and statutory surplus above certain levels. The Company’s largest reinsurance recoverables on paid and unpaid losses were due from reinsurance companies with A.M. Best ratings of “A” or higher.</w:t>
      </w:r>
    </w:p>
    <w:p>
      <w:pPr>
        <w:sectPr>
          <w:pgSz w:w="11900" w:h="16838" w:orient="portrait"/>
          <w:cols w:equalWidth="0" w:num="1">
            <w:col w:w="11468"/>
          </w:cols>
          <w:pgMar w:left="212" w:top="197" w:right="219" w:bottom="1440" w:gutter="0" w:footer="0" w:header="0"/>
        </w:sectPr>
      </w:pPr>
    </w:p>
    <w:p>
      <w:pPr>
        <w:spacing w:after="0" w:line="53" w:lineRule="exact"/>
        <w:rPr>
          <w:sz w:val="20"/>
          <w:szCs w:val="20"/>
          <w:color w:val="auto"/>
        </w:rPr>
      </w:pPr>
    </w:p>
    <w:p>
      <w:pPr>
        <w:ind w:left="428"/>
        <w:spacing w:after="0"/>
        <w:rPr>
          <w:sz w:val="20"/>
          <w:szCs w:val="20"/>
          <w:color w:val="auto"/>
        </w:rPr>
      </w:pPr>
      <w:r>
        <w:rPr>
          <w:rFonts w:ascii="Arial" w:cs="Arial" w:eastAsia="Arial" w:hAnsi="Arial"/>
          <w:sz w:val="10"/>
          <w:szCs w:val="10"/>
          <w:color w:val="auto"/>
        </w:rPr>
        <w:t>A reconciliation of direct to net premiums on both a written and an earned basis is as follows:</w:t>
      </w:r>
    </w:p>
    <w:p>
      <w:pPr>
        <w:spacing w:after="0" w:line="200" w:lineRule="exact"/>
        <w:rPr>
          <w:sz w:val="20"/>
          <w:szCs w:val="20"/>
          <w:color w:val="auto"/>
        </w:rPr>
      </w:pPr>
    </w:p>
    <w:p>
      <w:pPr>
        <w:spacing w:after="0" w:line="225" w:lineRule="exact"/>
        <w:rPr>
          <w:sz w:val="20"/>
          <w:szCs w:val="20"/>
          <w:color w:val="auto"/>
        </w:rPr>
      </w:pPr>
    </w:p>
    <w:p>
      <w:pPr>
        <w:ind w:left="8"/>
        <w:spacing w:after="0"/>
        <w:rPr>
          <w:sz w:val="20"/>
          <w:szCs w:val="20"/>
          <w:color w:val="auto"/>
        </w:rPr>
      </w:pPr>
      <w:r>
        <w:rPr>
          <w:rFonts w:ascii="Arial" w:cs="Arial" w:eastAsia="Arial" w:hAnsi="Arial"/>
          <w:sz w:val="12"/>
          <w:szCs w:val="12"/>
          <w:color w:val="auto"/>
        </w:rPr>
        <w:t>Direct premium</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Assumed premium</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Ceded premium</w:t>
      </w:r>
    </w:p>
    <w:p>
      <w:pPr>
        <w:spacing w:after="0" w:line="6" w:lineRule="exact"/>
        <w:rPr>
          <w:sz w:val="20"/>
          <w:szCs w:val="20"/>
          <w:color w:val="auto"/>
        </w:rPr>
      </w:pPr>
    </w:p>
    <w:p>
      <w:pPr>
        <w:ind w:left="168"/>
        <w:spacing w:after="0"/>
        <w:rPr>
          <w:sz w:val="20"/>
          <w:szCs w:val="20"/>
          <w:color w:val="auto"/>
        </w:rPr>
      </w:pPr>
      <w:r>
        <w:rPr>
          <w:rFonts w:ascii="Arial" w:cs="Arial" w:eastAsia="Arial" w:hAnsi="Arial"/>
          <w:sz w:val="12"/>
          <w:szCs w:val="12"/>
          <w:color w:val="auto"/>
        </w:rPr>
        <w:t>Net premiums</w:t>
      </w:r>
    </w:p>
    <w:p>
      <w:pPr>
        <w:spacing w:after="0" w:line="195" w:lineRule="exact"/>
        <w:rPr>
          <w:sz w:val="20"/>
          <w:szCs w:val="20"/>
          <w:color w:val="auto"/>
        </w:rPr>
      </w:pPr>
    </w:p>
    <w:p>
      <w:pPr>
        <w:ind w:left="8"/>
        <w:spacing w:after="0"/>
        <w:rPr>
          <w:sz w:val="20"/>
          <w:szCs w:val="20"/>
          <w:color w:val="auto"/>
        </w:rPr>
      </w:pPr>
      <w:r>
        <w:rPr>
          <w:rFonts w:ascii="Arial" w:cs="Arial" w:eastAsia="Arial" w:hAnsi="Arial"/>
          <w:sz w:val="12"/>
          <w:szCs w:val="12"/>
          <w:color w:val="auto"/>
        </w:rPr>
        <w:t>Percentage of assumed earned premium to net earned premium</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
        <w:spacing w:after="0"/>
        <w:rPr>
          <w:sz w:val="20"/>
          <w:szCs w:val="20"/>
          <w:color w:val="auto"/>
        </w:rPr>
      </w:pPr>
      <w:r>
        <w:rPr>
          <w:rFonts w:ascii="Arial" w:cs="Arial" w:eastAsia="Arial" w:hAnsi="Arial"/>
          <w:sz w:val="12"/>
          <w:szCs w:val="12"/>
          <w:color w:val="auto"/>
        </w:rPr>
        <w:t>Direct premium</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Assumed premium</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Ceded premium</w:t>
      </w:r>
    </w:p>
    <w:p>
      <w:pPr>
        <w:spacing w:after="0" w:line="6" w:lineRule="exact"/>
        <w:rPr>
          <w:sz w:val="20"/>
          <w:szCs w:val="20"/>
          <w:color w:val="auto"/>
        </w:rPr>
      </w:pPr>
    </w:p>
    <w:p>
      <w:pPr>
        <w:ind w:left="168"/>
        <w:spacing w:after="0"/>
        <w:rPr>
          <w:sz w:val="20"/>
          <w:szCs w:val="20"/>
          <w:color w:val="auto"/>
        </w:rPr>
      </w:pPr>
      <w:r>
        <w:rPr>
          <w:rFonts w:ascii="Arial" w:cs="Arial" w:eastAsia="Arial" w:hAnsi="Arial"/>
          <w:sz w:val="12"/>
          <w:szCs w:val="12"/>
          <w:color w:val="auto"/>
        </w:rPr>
        <w:t>Net premiums</w:t>
      </w:r>
    </w:p>
    <w:p>
      <w:pPr>
        <w:spacing w:after="0" w:line="195" w:lineRule="exact"/>
        <w:rPr>
          <w:sz w:val="20"/>
          <w:szCs w:val="20"/>
          <w:color w:val="auto"/>
        </w:rPr>
      </w:pPr>
    </w:p>
    <w:p>
      <w:pPr>
        <w:ind w:left="8"/>
        <w:spacing w:after="0"/>
        <w:rPr>
          <w:sz w:val="20"/>
          <w:szCs w:val="20"/>
          <w:color w:val="auto"/>
        </w:rPr>
      </w:pPr>
      <w:r>
        <w:rPr>
          <w:rFonts w:ascii="Arial" w:cs="Arial" w:eastAsia="Arial" w:hAnsi="Arial"/>
          <w:sz w:val="12"/>
          <w:szCs w:val="12"/>
          <w:color w:val="auto"/>
        </w:rPr>
        <w:t>Percentage of assumed earned premium to net earned premium</w:t>
      </w:r>
    </w:p>
    <w:p>
      <w:pPr>
        <w:spacing w:after="0" w:line="267"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 reconciliation of direct to net losses and loss adjustment expenses is as follows:</w:t>
      </w:r>
    </w:p>
    <w:p>
      <w:pPr>
        <w:spacing w:after="0" w:line="200" w:lineRule="exact"/>
        <w:rPr>
          <w:sz w:val="20"/>
          <w:szCs w:val="20"/>
          <w:color w:val="auto"/>
        </w:rPr>
      </w:pPr>
    </w:p>
    <w:p>
      <w:pPr>
        <w:spacing w:after="0" w:line="202" w:lineRule="exact"/>
        <w:rPr>
          <w:sz w:val="20"/>
          <w:szCs w:val="20"/>
          <w:color w:val="auto"/>
        </w:rPr>
      </w:pPr>
    </w:p>
    <w:p>
      <w:pPr>
        <w:ind w:left="8"/>
        <w:spacing w:after="0"/>
        <w:rPr>
          <w:sz w:val="20"/>
          <w:szCs w:val="20"/>
          <w:color w:val="auto"/>
        </w:rPr>
      </w:pPr>
      <w:r>
        <w:rPr>
          <w:rFonts w:ascii="Arial" w:cs="Arial" w:eastAsia="Arial" w:hAnsi="Arial"/>
          <w:sz w:val="12"/>
          <w:szCs w:val="12"/>
          <w:color w:val="auto"/>
        </w:rPr>
        <w:t>Direct losses and loss adjustment expenses</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Assumed losses and loss adjustment expenses</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Ceded losses and loss adjustment expenses</w:t>
      </w:r>
    </w:p>
    <w:p>
      <w:pPr>
        <w:spacing w:after="0" w:line="6" w:lineRule="exact"/>
        <w:rPr>
          <w:sz w:val="20"/>
          <w:szCs w:val="20"/>
          <w:color w:val="auto"/>
        </w:rPr>
      </w:pPr>
    </w:p>
    <w:p>
      <w:pPr>
        <w:ind w:left="168"/>
        <w:spacing w:after="0"/>
        <w:rPr>
          <w:sz w:val="20"/>
          <w:szCs w:val="20"/>
          <w:color w:val="auto"/>
        </w:rPr>
      </w:pPr>
      <w:r>
        <w:rPr>
          <w:rFonts w:ascii="Arial" w:cs="Arial" w:eastAsia="Arial" w:hAnsi="Arial"/>
          <w:sz w:val="12"/>
          <w:szCs w:val="12"/>
          <w:color w:val="auto"/>
        </w:rPr>
        <w:t>Net losses and loss adjustment expenses</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80" w:type="dxa"/>
            <w:vAlign w:val="bottom"/>
          </w:tcPr>
          <w:p>
            <w:pPr>
              <w:spacing w:after="0"/>
              <w:rPr>
                <w:sz w:val="13"/>
                <w:szCs w:val="13"/>
                <w:color w:val="auto"/>
              </w:rPr>
            </w:pPr>
          </w:p>
        </w:tc>
        <w:tc>
          <w:tcPr>
            <w:tcW w:w="2700" w:type="dxa"/>
            <w:vAlign w:val="bottom"/>
            <w:gridSpan w:val="6"/>
          </w:tcPr>
          <w:p>
            <w:pPr>
              <w:jc w:val="right"/>
              <w:ind w:right="600"/>
              <w:spacing w:after="0"/>
              <w:rPr>
                <w:sz w:val="20"/>
                <w:szCs w:val="20"/>
                <w:color w:val="auto"/>
              </w:rPr>
            </w:pPr>
            <w:r>
              <w:rPr>
                <w:rFonts w:ascii="Arial" w:cs="Arial" w:eastAsia="Arial" w:hAnsi="Arial"/>
                <w:sz w:val="12"/>
                <w:szCs w:val="12"/>
                <w:b w:val="1"/>
                <w:bCs w:val="1"/>
                <w:color w:val="auto"/>
              </w:rPr>
              <w:t>Three Months Ended June 30, 2018</w:t>
            </w:r>
          </w:p>
        </w:tc>
        <w:tc>
          <w:tcPr>
            <w:tcW w:w="80" w:type="dxa"/>
            <w:vAlign w:val="bottom"/>
          </w:tcPr>
          <w:p>
            <w:pPr>
              <w:spacing w:after="0"/>
              <w:rPr>
                <w:sz w:val="13"/>
                <w:szCs w:val="13"/>
                <w:color w:val="auto"/>
              </w:rPr>
            </w:pPr>
          </w:p>
        </w:tc>
        <w:tc>
          <w:tcPr>
            <w:tcW w:w="2520" w:type="dxa"/>
            <w:vAlign w:val="bottom"/>
            <w:gridSpan w:val="6"/>
          </w:tcPr>
          <w:p>
            <w:pPr>
              <w:jc w:val="right"/>
              <w:ind w:right="500"/>
              <w:spacing w:after="0"/>
              <w:rPr>
                <w:sz w:val="20"/>
                <w:szCs w:val="20"/>
                <w:color w:val="auto"/>
              </w:rPr>
            </w:pPr>
            <w:r>
              <w:rPr>
                <w:rFonts w:ascii="Arial" w:cs="Arial" w:eastAsia="Arial" w:hAnsi="Arial"/>
                <w:sz w:val="12"/>
                <w:szCs w:val="12"/>
                <w:b w:val="1"/>
                <w:bCs w:val="1"/>
                <w:color w:val="auto"/>
              </w:rPr>
              <w:t>Six Months Ended June 30, 2018</w:t>
            </w:r>
          </w:p>
        </w:tc>
      </w:tr>
      <w:tr>
        <w:trPr>
          <w:trHeight w:val="142"/>
        </w:trPr>
        <w:tc>
          <w:tcPr>
            <w:tcW w:w="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2"/>
                <w:szCs w:val="12"/>
                <w:b w:val="1"/>
                <w:bCs w:val="1"/>
                <w:color w:val="auto"/>
                <w:w w:val="93"/>
              </w:rPr>
              <w:t>Premiums Written</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b w:val="1"/>
                <w:bCs w:val="1"/>
                <w:color w:val="auto"/>
                <w:w w:val="92"/>
              </w:rPr>
              <w:t>Premiums Earned</w:t>
            </w: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2"/>
                <w:szCs w:val="12"/>
                <w:b w:val="1"/>
                <w:bCs w:val="1"/>
                <w:color w:val="auto"/>
                <w:w w:val="93"/>
              </w:rPr>
              <w:t>Premiums Written</w:t>
            </w: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b w:val="1"/>
                <w:bCs w:val="1"/>
                <w:color w:val="auto"/>
                <w:w w:val="90"/>
              </w:rPr>
              <w:t>Premiums Earned</w:t>
            </w:r>
          </w:p>
        </w:tc>
        <w:tc>
          <w:tcPr>
            <w:tcW w:w="100" w:type="dxa"/>
            <w:vAlign w:val="bottom"/>
            <w:gridSpan w:val="2"/>
          </w:tcPr>
          <w:p>
            <w:pPr>
              <w:spacing w:after="0"/>
              <w:rPr>
                <w:sz w:val="12"/>
                <w:szCs w:val="12"/>
                <w:color w:val="auto"/>
              </w:rPr>
            </w:pPr>
          </w:p>
        </w:tc>
      </w:tr>
      <w:tr>
        <w:trPr>
          <w:trHeight w:val="124"/>
        </w:trPr>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2"/>
                <w:szCs w:val="12"/>
                <w:color w:val="auto"/>
              </w:rPr>
              <w:t>88,580</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2"/>
                <w:szCs w:val="12"/>
                <w:color w:val="auto"/>
              </w:rPr>
              <w:t>53,987</w:t>
            </w:r>
          </w:p>
        </w:tc>
        <w:tc>
          <w:tcPr>
            <w:tcW w:w="240" w:type="dxa"/>
            <w:vAlign w:val="bottom"/>
          </w:tcPr>
          <w:p>
            <w:pPr>
              <w:spacing w:after="0"/>
              <w:rPr>
                <w:sz w:val="10"/>
                <w:szCs w:val="1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2"/>
                <w:szCs w:val="12"/>
                <w:color w:val="auto"/>
              </w:rPr>
              <w:t>127,854</w:t>
            </w:r>
          </w:p>
        </w:tc>
        <w:tc>
          <w:tcPr>
            <w:tcW w:w="220" w:type="dxa"/>
            <w:vAlign w:val="bottom"/>
          </w:tcPr>
          <w:p>
            <w:pPr>
              <w:spacing w:after="0"/>
              <w:rPr>
                <w:sz w:val="10"/>
                <w:szCs w:val="1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2"/>
                <w:szCs w:val="12"/>
                <w:color w:val="auto"/>
              </w:rPr>
              <w:t>91,179</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4"/>
        </w:trPr>
        <w:tc>
          <w:tcPr>
            <w:tcW w:w="80" w:type="dxa"/>
            <w:vAlign w:val="bottom"/>
          </w:tcPr>
          <w:p>
            <w:pPr>
              <w:spacing w:after="0"/>
              <w:rPr>
                <w:sz w:val="12"/>
                <w:szCs w:val="12"/>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2"/>
                <w:szCs w:val="12"/>
                <w:color w:val="auto"/>
              </w:rPr>
              <w:t>3,249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3,249</w:t>
            </w: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4,532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2"/>
                <w:szCs w:val="12"/>
                <w:color w:val="auto"/>
              </w:rPr>
              <w:t>4,488</w:t>
            </w:r>
          </w:p>
        </w:tc>
        <w:tc>
          <w:tcPr>
            <w:tcW w:w="80" w:type="dxa"/>
            <w:vAlign w:val="bottom"/>
          </w:tcPr>
          <w:p>
            <w:pPr>
              <w:spacing w:after="0"/>
              <w:rPr>
                <w:sz w:val="12"/>
                <w:szCs w:val="12"/>
                <w:color w:val="auto"/>
              </w:rPr>
            </w:pPr>
          </w:p>
        </w:tc>
      </w:tr>
      <w:tr>
        <w:trPr>
          <w:trHeight w:val="162"/>
        </w:trPr>
        <w:tc>
          <w:tcPr>
            <w:tcW w:w="8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2"/>
                <w:szCs w:val="12"/>
                <w:color w:val="auto"/>
              </w:rPr>
              <w:t>(6,559)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2"/>
                <w:szCs w:val="12"/>
                <w:color w:val="auto"/>
              </w:rPr>
              <w:t>(6,559)</w:t>
            </w:r>
          </w:p>
        </w:tc>
        <w:tc>
          <w:tcPr>
            <w:tcW w:w="80" w:type="dxa"/>
            <w:vAlign w:val="bottom"/>
          </w:tcPr>
          <w:p>
            <w:pPr>
              <w:spacing w:after="0"/>
              <w:rPr>
                <w:sz w:val="14"/>
                <w:szCs w:val="1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2"/>
                <w:szCs w:val="12"/>
                <w:color w:val="auto"/>
              </w:rPr>
              <w:t>(8,878)</w:t>
            </w:r>
          </w:p>
        </w:tc>
        <w:tc>
          <w:tcPr>
            <w:tcW w:w="80" w:type="dxa"/>
            <w:vAlign w:val="bottom"/>
          </w:tcPr>
          <w:p>
            <w:pPr>
              <w:spacing w:after="0"/>
              <w:rPr>
                <w:sz w:val="14"/>
                <w:szCs w:val="14"/>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2"/>
                <w:szCs w:val="12"/>
                <w:color w:val="auto"/>
              </w:rPr>
              <w:t>(8,878)</w:t>
            </w:r>
          </w:p>
        </w:tc>
      </w:tr>
      <w:tr>
        <w:trPr>
          <w:trHeight w:val="20"/>
        </w:trPr>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2"/>
                <w:szCs w:val="12"/>
                <w:color w:val="auto"/>
              </w:rPr>
              <w:t>85,270</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50,677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123,508</w:t>
            </w:r>
          </w:p>
        </w:tc>
        <w:tc>
          <w:tcPr>
            <w:tcW w:w="2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2"/>
                <w:szCs w:val="12"/>
                <w:color w:val="auto"/>
              </w:rPr>
              <w:t>86,789</w:t>
            </w:r>
          </w:p>
        </w:tc>
        <w:tc>
          <w:tcPr>
            <w:tcW w:w="80" w:type="dxa"/>
            <w:vAlign w:val="bottom"/>
          </w:tcPr>
          <w:p>
            <w:pPr>
              <w:spacing w:after="0"/>
              <w:rPr>
                <w:sz w:val="12"/>
                <w:szCs w:val="12"/>
                <w:color w:val="auto"/>
              </w:rPr>
            </w:pPr>
          </w:p>
        </w:tc>
      </w:tr>
      <w:tr>
        <w:trPr>
          <w:trHeight w:val="27"/>
        </w:trPr>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gridSpan w:val="2"/>
            <w:shd w:val="clear" w:color="auto" w:fill="000000"/>
          </w:tcPr>
          <w:p>
            <w:pPr>
              <w:spacing w:after="0"/>
              <w:rPr>
                <w:sz w:val="2"/>
                <w:szCs w:val="2"/>
                <w:color w:val="auto"/>
              </w:rPr>
            </w:pPr>
          </w:p>
        </w:tc>
      </w:tr>
      <w:tr>
        <w:trPr>
          <w:trHeight w:val="306"/>
        </w:trPr>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2"/>
                <w:szCs w:val="12"/>
                <w:color w:val="auto"/>
              </w:rPr>
              <w:t>6.4%</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Arial" w:cs="Arial" w:eastAsia="Arial" w:hAnsi="Arial"/>
                <w:sz w:val="12"/>
                <w:szCs w:val="12"/>
                <w:color w:val="auto"/>
              </w:rPr>
              <w:t>5.2%</w:t>
            </w:r>
          </w:p>
        </w:tc>
      </w:tr>
      <w:tr>
        <w:trPr>
          <w:trHeight w:val="27"/>
        </w:trPr>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-617220</wp:posOffset>
            </wp:positionV>
            <wp:extent cx="7292340" cy="971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2340" cy="97155"/>
                    </a:xfrm>
                    <a:prstGeom prst="rect">
                      <a:avLst/>
                    </a:prstGeom>
                    <a:noFill/>
                  </pic:spPr>
                </pic:pic>
              </a:graphicData>
            </a:graphic>
          </wp:anchor>
        </w:drawing>
        <w:drawing>
          <wp:anchor simplePos="0" relativeHeight="251657728" behindDoc="1" locked="0" layoutInCell="0" allowOverlap="1">
            <wp:simplePos x="0" y="0"/>
            <wp:positionH relativeFrom="column">
              <wp:posOffset>-3865245</wp:posOffset>
            </wp:positionH>
            <wp:positionV relativeFrom="paragraph">
              <wp:posOffset>-428625</wp:posOffset>
            </wp:positionV>
            <wp:extent cx="7292340" cy="971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2340" cy="97155"/>
                    </a:xfrm>
                    <a:prstGeom prst="rect">
                      <a:avLst/>
                    </a:prstGeom>
                    <a:noFill/>
                  </pic:spPr>
                </pic:pic>
              </a:graphicData>
            </a:graphic>
          </wp:anchor>
        </w:drawing>
        <w:drawing>
          <wp:anchor simplePos="0" relativeHeight="251657728" behindDoc="1" locked="0" layoutInCell="0" allowOverlap="1">
            <wp:simplePos x="0" y="0"/>
            <wp:positionH relativeFrom="column">
              <wp:posOffset>-3865245</wp:posOffset>
            </wp:positionH>
            <wp:positionV relativeFrom="paragraph">
              <wp:posOffset>-222250</wp:posOffset>
            </wp:positionV>
            <wp:extent cx="7292340" cy="1028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2340" cy="102870"/>
                    </a:xfrm>
                    <a:prstGeom prst="rect">
                      <a:avLst/>
                    </a:prstGeom>
                    <a:noFill/>
                  </pic:spPr>
                </pic:pic>
              </a:graphicData>
            </a:graphic>
          </wp:anchor>
        </w:drawing>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0" w:type="dxa"/>
            <w:vAlign w:val="bottom"/>
          </w:tcPr>
          <w:p>
            <w:pPr>
              <w:spacing w:after="0"/>
              <w:rPr>
                <w:sz w:val="13"/>
                <w:szCs w:val="13"/>
                <w:color w:val="auto"/>
              </w:rPr>
            </w:pPr>
          </w:p>
        </w:tc>
        <w:tc>
          <w:tcPr>
            <w:tcW w:w="2700" w:type="dxa"/>
            <w:vAlign w:val="bottom"/>
            <w:gridSpan w:val="6"/>
          </w:tcPr>
          <w:p>
            <w:pPr>
              <w:jc w:val="right"/>
              <w:ind w:right="600"/>
              <w:spacing w:after="0"/>
              <w:rPr>
                <w:sz w:val="20"/>
                <w:szCs w:val="20"/>
                <w:color w:val="auto"/>
              </w:rPr>
            </w:pPr>
            <w:r>
              <w:rPr>
                <w:rFonts w:ascii="Arial" w:cs="Arial" w:eastAsia="Arial" w:hAnsi="Arial"/>
                <w:sz w:val="12"/>
                <w:szCs w:val="12"/>
                <w:b w:val="1"/>
                <w:bCs w:val="1"/>
                <w:color w:val="auto"/>
              </w:rPr>
              <w:t>Three Months Ended June 30, 2017</w:t>
            </w:r>
          </w:p>
        </w:tc>
        <w:tc>
          <w:tcPr>
            <w:tcW w:w="80" w:type="dxa"/>
            <w:vAlign w:val="bottom"/>
          </w:tcPr>
          <w:p>
            <w:pPr>
              <w:spacing w:after="0"/>
              <w:rPr>
                <w:sz w:val="13"/>
                <w:szCs w:val="13"/>
                <w:color w:val="auto"/>
              </w:rPr>
            </w:pPr>
          </w:p>
        </w:tc>
        <w:tc>
          <w:tcPr>
            <w:tcW w:w="2520" w:type="dxa"/>
            <w:vAlign w:val="bottom"/>
            <w:gridSpan w:val="6"/>
          </w:tcPr>
          <w:p>
            <w:pPr>
              <w:jc w:val="right"/>
              <w:ind w:right="500"/>
              <w:spacing w:after="0"/>
              <w:rPr>
                <w:sz w:val="20"/>
                <w:szCs w:val="20"/>
                <w:color w:val="auto"/>
              </w:rPr>
            </w:pPr>
            <w:r>
              <w:rPr>
                <w:rFonts w:ascii="Arial" w:cs="Arial" w:eastAsia="Arial" w:hAnsi="Arial"/>
                <w:sz w:val="12"/>
                <w:szCs w:val="12"/>
                <w:b w:val="1"/>
                <w:bCs w:val="1"/>
                <w:color w:val="auto"/>
              </w:rPr>
              <w:t>Six Months Ended June 30, 2017</w:t>
            </w:r>
          </w:p>
        </w:tc>
      </w:tr>
      <w:tr>
        <w:trPr>
          <w:trHeight w:val="142"/>
        </w:trPr>
        <w:tc>
          <w:tcPr>
            <w:tcW w:w="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2"/>
                <w:szCs w:val="12"/>
                <w:b w:val="1"/>
                <w:bCs w:val="1"/>
                <w:color w:val="auto"/>
                <w:w w:val="93"/>
              </w:rPr>
              <w:t>Premiums Written</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b w:val="1"/>
                <w:bCs w:val="1"/>
                <w:color w:val="auto"/>
                <w:w w:val="92"/>
              </w:rPr>
              <w:t>Premiums Earned</w:t>
            </w: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2"/>
                <w:szCs w:val="12"/>
                <w:b w:val="1"/>
                <w:bCs w:val="1"/>
                <w:color w:val="auto"/>
                <w:w w:val="93"/>
              </w:rPr>
              <w:t>Premiums Written</w:t>
            </w: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b w:val="1"/>
                <w:bCs w:val="1"/>
                <w:color w:val="auto"/>
                <w:w w:val="90"/>
              </w:rPr>
              <w:t>Premiums Earned</w:t>
            </w:r>
          </w:p>
        </w:tc>
        <w:tc>
          <w:tcPr>
            <w:tcW w:w="100" w:type="dxa"/>
            <w:vAlign w:val="bottom"/>
            <w:gridSpan w:val="2"/>
          </w:tcPr>
          <w:p>
            <w:pPr>
              <w:spacing w:after="0"/>
              <w:rPr>
                <w:sz w:val="12"/>
                <w:szCs w:val="12"/>
                <w:color w:val="auto"/>
              </w:rPr>
            </w:pPr>
          </w:p>
        </w:tc>
      </w:tr>
      <w:tr>
        <w:trPr>
          <w:trHeight w:val="124"/>
        </w:trPr>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2"/>
                <w:szCs w:val="12"/>
                <w:color w:val="auto"/>
              </w:rPr>
              <w:t>83,671</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2"/>
                <w:szCs w:val="12"/>
                <w:color w:val="auto"/>
              </w:rPr>
              <w:t>48,564</w:t>
            </w:r>
          </w:p>
        </w:tc>
        <w:tc>
          <w:tcPr>
            <w:tcW w:w="240" w:type="dxa"/>
            <w:vAlign w:val="bottom"/>
          </w:tcPr>
          <w:p>
            <w:pPr>
              <w:spacing w:after="0"/>
              <w:rPr>
                <w:sz w:val="10"/>
                <w:szCs w:val="1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2"/>
                <w:szCs w:val="12"/>
                <w:color w:val="auto"/>
              </w:rPr>
              <w:t>120,051</w:t>
            </w:r>
          </w:p>
        </w:tc>
        <w:tc>
          <w:tcPr>
            <w:tcW w:w="220" w:type="dxa"/>
            <w:vAlign w:val="bottom"/>
          </w:tcPr>
          <w:p>
            <w:pPr>
              <w:spacing w:after="0"/>
              <w:rPr>
                <w:sz w:val="10"/>
                <w:szCs w:val="1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2"/>
                <w:szCs w:val="12"/>
                <w:color w:val="auto"/>
              </w:rPr>
              <w:t>82,680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4"/>
        </w:trPr>
        <w:tc>
          <w:tcPr>
            <w:tcW w:w="80" w:type="dxa"/>
            <w:vAlign w:val="bottom"/>
          </w:tcPr>
          <w:p>
            <w:pPr>
              <w:spacing w:after="0"/>
              <w:rPr>
                <w:sz w:val="12"/>
                <w:szCs w:val="12"/>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2"/>
                <w:szCs w:val="12"/>
                <w:color w:val="auto"/>
              </w:rPr>
              <w:t>3,396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3,368</w:t>
            </w: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4,591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2"/>
                <w:szCs w:val="12"/>
                <w:color w:val="auto"/>
              </w:rPr>
              <w:t>4,539</w:t>
            </w:r>
          </w:p>
        </w:tc>
        <w:tc>
          <w:tcPr>
            <w:tcW w:w="80" w:type="dxa"/>
            <w:vAlign w:val="bottom"/>
          </w:tcPr>
          <w:p>
            <w:pPr>
              <w:spacing w:after="0"/>
              <w:rPr>
                <w:sz w:val="12"/>
                <w:szCs w:val="12"/>
                <w:color w:val="auto"/>
              </w:rPr>
            </w:pPr>
          </w:p>
        </w:tc>
      </w:tr>
      <w:tr>
        <w:trPr>
          <w:trHeight w:val="162"/>
        </w:trPr>
        <w:tc>
          <w:tcPr>
            <w:tcW w:w="8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2"/>
                <w:szCs w:val="12"/>
                <w:color w:val="auto"/>
              </w:rPr>
              <w:t>(8,953)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2"/>
                <w:szCs w:val="12"/>
                <w:color w:val="auto"/>
              </w:rPr>
              <w:t>(6,279)</w:t>
            </w:r>
          </w:p>
        </w:tc>
        <w:tc>
          <w:tcPr>
            <w:tcW w:w="80" w:type="dxa"/>
            <w:vAlign w:val="bottom"/>
          </w:tcPr>
          <w:p>
            <w:pPr>
              <w:spacing w:after="0"/>
              <w:rPr>
                <w:sz w:val="14"/>
                <w:szCs w:val="1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2"/>
                <w:szCs w:val="12"/>
                <w:color w:val="auto"/>
              </w:rPr>
              <w:t>(11,431)</w:t>
            </w:r>
          </w:p>
        </w:tc>
        <w:tc>
          <w:tcPr>
            <w:tcW w:w="80" w:type="dxa"/>
            <w:vAlign w:val="bottom"/>
          </w:tcPr>
          <w:p>
            <w:pPr>
              <w:spacing w:after="0"/>
              <w:rPr>
                <w:sz w:val="14"/>
                <w:szCs w:val="14"/>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2"/>
                <w:szCs w:val="12"/>
                <w:color w:val="auto"/>
              </w:rPr>
              <w:t>(8,757)</w:t>
            </w:r>
          </w:p>
        </w:tc>
      </w:tr>
      <w:tr>
        <w:trPr>
          <w:trHeight w:val="20"/>
        </w:trPr>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78,114</w:t>
            </w:r>
          </w:p>
        </w:tc>
        <w:tc>
          <w:tcPr>
            <w:tcW w:w="140" w:type="dxa"/>
            <w:vAlign w:val="bottom"/>
          </w:tcPr>
          <w:p>
            <w:pPr>
              <w:spacing w:after="0"/>
              <w:rPr>
                <w:sz w:val="12"/>
                <w:szCs w:val="12"/>
                <w:color w:val="auto"/>
              </w:rPr>
            </w:pP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45,653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113,211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2"/>
                <w:szCs w:val="12"/>
                <w:color w:val="auto"/>
              </w:rPr>
              <w:t>78,462</w:t>
            </w:r>
          </w:p>
        </w:tc>
        <w:tc>
          <w:tcPr>
            <w:tcW w:w="80" w:type="dxa"/>
            <w:vAlign w:val="bottom"/>
          </w:tcPr>
          <w:p>
            <w:pPr>
              <w:spacing w:after="0"/>
              <w:rPr>
                <w:sz w:val="12"/>
                <w:szCs w:val="12"/>
                <w:color w:val="auto"/>
              </w:rPr>
            </w:pPr>
          </w:p>
        </w:tc>
      </w:tr>
      <w:tr>
        <w:trPr>
          <w:trHeight w:val="27"/>
        </w:trPr>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gridSpan w:val="2"/>
            <w:shd w:val="clear" w:color="auto" w:fill="000000"/>
          </w:tcPr>
          <w:p>
            <w:pPr>
              <w:spacing w:after="0"/>
              <w:rPr>
                <w:sz w:val="2"/>
                <w:szCs w:val="2"/>
                <w:color w:val="auto"/>
              </w:rPr>
            </w:pPr>
          </w:p>
        </w:tc>
      </w:tr>
      <w:tr>
        <w:trPr>
          <w:trHeight w:val="306"/>
        </w:trPr>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2"/>
                <w:szCs w:val="12"/>
                <w:color w:val="auto"/>
              </w:rPr>
              <w:t>7.4%</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Arial" w:cs="Arial" w:eastAsia="Arial" w:hAnsi="Arial"/>
                <w:sz w:val="12"/>
                <w:szCs w:val="12"/>
                <w:color w:val="auto"/>
              </w:rPr>
              <w:t>5.8%</w:t>
            </w:r>
          </w:p>
        </w:tc>
      </w:tr>
      <w:tr>
        <w:trPr>
          <w:trHeight w:val="27"/>
        </w:trPr>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-617220</wp:posOffset>
            </wp:positionV>
            <wp:extent cx="7292340" cy="971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2340" cy="97155"/>
                    </a:xfrm>
                    <a:prstGeom prst="rect">
                      <a:avLst/>
                    </a:prstGeom>
                    <a:noFill/>
                  </pic:spPr>
                </pic:pic>
              </a:graphicData>
            </a:graphic>
          </wp:anchor>
        </w:drawing>
        <w:drawing>
          <wp:anchor simplePos="0" relativeHeight="251657728" behindDoc="1" locked="0" layoutInCell="0" allowOverlap="1">
            <wp:simplePos x="0" y="0"/>
            <wp:positionH relativeFrom="column">
              <wp:posOffset>-3865245</wp:posOffset>
            </wp:positionH>
            <wp:positionV relativeFrom="paragraph">
              <wp:posOffset>-428625</wp:posOffset>
            </wp:positionV>
            <wp:extent cx="7292340" cy="971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2340" cy="97155"/>
                    </a:xfrm>
                    <a:prstGeom prst="rect">
                      <a:avLst/>
                    </a:prstGeom>
                    <a:noFill/>
                  </pic:spPr>
                </pic:pic>
              </a:graphicData>
            </a:graphic>
          </wp:anchor>
        </w:drawing>
        <w:drawing>
          <wp:anchor simplePos="0" relativeHeight="251657728" behindDoc="1" locked="0" layoutInCell="0" allowOverlap="1">
            <wp:simplePos x="0" y="0"/>
            <wp:positionH relativeFrom="column">
              <wp:posOffset>-3865245</wp:posOffset>
            </wp:positionH>
            <wp:positionV relativeFrom="paragraph">
              <wp:posOffset>-222250</wp:posOffset>
            </wp:positionV>
            <wp:extent cx="7292340" cy="1028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2340" cy="10287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16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2"/>
                <w:szCs w:val="12"/>
                <w:b w:val="1"/>
                <w:bCs w:val="1"/>
                <w:color w:val="auto"/>
              </w:rPr>
              <w:t>Three Months Ended June 30,</w:t>
            </w:r>
          </w:p>
        </w:tc>
        <w:tc>
          <w:tcPr>
            <w:tcW w:w="3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120" w:type="dxa"/>
            <w:vAlign w:val="bottom"/>
            <w:tcBorders>
              <w:bottom w:val="single" w:sz="8" w:color="auto"/>
            </w:tcBorders>
            <w:gridSpan w:val="4"/>
          </w:tcPr>
          <w:p>
            <w:pPr>
              <w:jc w:val="right"/>
              <w:ind w:right="107"/>
              <w:spacing w:after="0"/>
              <w:rPr>
                <w:sz w:val="20"/>
                <w:szCs w:val="20"/>
                <w:color w:val="auto"/>
              </w:rPr>
            </w:pPr>
            <w:r>
              <w:rPr>
                <w:rFonts w:ascii="Arial" w:cs="Arial" w:eastAsia="Arial" w:hAnsi="Arial"/>
                <w:sz w:val="12"/>
                <w:szCs w:val="12"/>
                <w:b w:val="1"/>
                <w:bCs w:val="1"/>
                <w:color w:val="auto"/>
              </w:rPr>
              <w:t>Six Months Ended June 30,</w:t>
            </w:r>
          </w:p>
        </w:tc>
        <w:tc>
          <w:tcPr>
            <w:tcW w:w="4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760" w:type="dxa"/>
            <w:vAlign w:val="bottom"/>
          </w:tcPr>
          <w:p>
            <w:pPr>
              <w:jc w:val="right"/>
              <w:ind w:right="5"/>
              <w:spacing w:after="0"/>
              <w:rPr>
                <w:sz w:val="20"/>
                <w:szCs w:val="20"/>
                <w:color w:val="auto"/>
              </w:rPr>
            </w:pPr>
            <w:r>
              <w:rPr>
                <w:rFonts w:ascii="Arial" w:cs="Arial" w:eastAsia="Arial" w:hAnsi="Arial"/>
                <w:sz w:val="12"/>
                <w:szCs w:val="12"/>
                <w:b w:val="1"/>
                <w:bCs w:val="1"/>
                <w:color w:val="auto"/>
              </w:rPr>
              <w:t>2018</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2"/>
                <w:szCs w:val="12"/>
                <w:b w:val="1"/>
                <w:bCs w:val="1"/>
                <w:color w:val="auto"/>
              </w:rPr>
              <w:t>2017</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5"/>
              <w:spacing w:after="0"/>
              <w:rPr>
                <w:sz w:val="20"/>
                <w:szCs w:val="20"/>
                <w:color w:val="auto"/>
              </w:rPr>
            </w:pPr>
            <w:r>
              <w:rPr>
                <w:rFonts w:ascii="Arial" w:cs="Arial" w:eastAsia="Arial" w:hAnsi="Arial"/>
                <w:sz w:val="12"/>
                <w:szCs w:val="12"/>
                <w:b w:val="1"/>
                <w:bCs w:val="1"/>
                <w:color w:val="auto"/>
              </w:rPr>
              <w:t>2018</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7"/>
              <w:spacing w:after="0"/>
              <w:rPr>
                <w:sz w:val="20"/>
                <w:szCs w:val="20"/>
                <w:color w:val="auto"/>
              </w:rPr>
            </w:pPr>
            <w:r>
              <w:rPr>
                <w:rFonts w:ascii="Arial" w:cs="Arial" w:eastAsia="Arial" w:hAnsi="Arial"/>
                <w:sz w:val="12"/>
                <w:szCs w:val="12"/>
                <w:b w:val="1"/>
                <w:bCs w:val="1"/>
                <w:color w:val="auto"/>
              </w:rPr>
              <w:t>2017</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24"/>
        </w:trPr>
        <w:tc>
          <w:tcPr>
            <w:tcW w:w="760" w:type="dxa"/>
            <w:vAlign w:val="bottom"/>
            <w:tcBorders>
              <w:top w:val="single" w:sz="8" w:color="auto"/>
            </w:tcBorders>
          </w:tcPr>
          <w:p>
            <w:pPr>
              <w:jc w:val="right"/>
              <w:ind w:right="645"/>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2"/>
                <w:szCs w:val="12"/>
                <w:color w:val="auto"/>
              </w:rPr>
              <w:t>41,121</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top w:val="single" w:sz="8" w:color="auto"/>
            </w:tcBorders>
          </w:tcPr>
          <w:p>
            <w:pPr>
              <w:jc w:val="right"/>
              <w:ind w:right="650"/>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2"/>
                <w:szCs w:val="12"/>
                <w:color w:val="auto"/>
                <w:w w:val="97"/>
              </w:rPr>
              <w:t>36,093</w:t>
            </w:r>
          </w:p>
        </w:tc>
        <w:tc>
          <w:tcPr>
            <w:tcW w:w="240" w:type="dxa"/>
            <w:vAlign w:val="bottom"/>
          </w:tcPr>
          <w:p>
            <w:pPr>
              <w:spacing w:after="0"/>
              <w:rPr>
                <w:sz w:val="10"/>
                <w:szCs w:val="10"/>
                <w:color w:val="auto"/>
              </w:rPr>
            </w:pPr>
          </w:p>
        </w:tc>
        <w:tc>
          <w:tcPr>
            <w:tcW w:w="760" w:type="dxa"/>
            <w:vAlign w:val="bottom"/>
            <w:tcBorders>
              <w:top w:val="single" w:sz="8" w:color="auto"/>
            </w:tcBorders>
          </w:tcPr>
          <w:p>
            <w:pPr>
              <w:jc w:val="right"/>
              <w:ind w:right="645"/>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2"/>
                <w:szCs w:val="12"/>
                <w:color w:val="auto"/>
              </w:rPr>
              <w:t>59,758</w:t>
            </w:r>
          </w:p>
        </w:tc>
        <w:tc>
          <w:tcPr>
            <w:tcW w:w="220" w:type="dxa"/>
            <w:vAlign w:val="bottom"/>
          </w:tcPr>
          <w:p>
            <w:pPr>
              <w:spacing w:after="0"/>
              <w:rPr>
                <w:sz w:val="10"/>
                <w:szCs w:val="10"/>
                <w:color w:val="auto"/>
              </w:rPr>
            </w:pPr>
          </w:p>
        </w:tc>
        <w:tc>
          <w:tcPr>
            <w:tcW w:w="740" w:type="dxa"/>
            <w:vAlign w:val="bottom"/>
            <w:tcBorders>
              <w:top w:val="single" w:sz="8" w:color="auto"/>
            </w:tcBorders>
          </w:tcPr>
          <w:p>
            <w:pPr>
              <w:jc w:val="right"/>
              <w:ind w:right="627"/>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2"/>
                <w:szCs w:val="12"/>
                <w:color w:val="auto"/>
                <w:w w:val="97"/>
              </w:rPr>
              <w:t>55,735</w:t>
            </w:r>
          </w:p>
        </w:tc>
        <w:tc>
          <w:tcPr>
            <w:tcW w:w="20" w:type="dxa"/>
            <w:vAlign w:val="bottom"/>
          </w:tcPr>
          <w:p>
            <w:pPr>
              <w:spacing w:after="0"/>
              <w:rPr>
                <w:sz w:val="10"/>
                <w:szCs w:val="10"/>
                <w:color w:val="auto"/>
              </w:rPr>
            </w:pPr>
          </w:p>
        </w:tc>
      </w:tr>
      <w:tr>
        <w:trPr>
          <w:trHeight w:val="144"/>
        </w:trPr>
        <w:tc>
          <w:tcPr>
            <w:tcW w:w="76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487</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2"/>
                <w:szCs w:val="12"/>
                <w:color w:val="auto"/>
              </w:rPr>
              <w:t>2,024</w:t>
            </w:r>
          </w:p>
        </w:tc>
        <w:tc>
          <w:tcPr>
            <w:tcW w:w="7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1,076</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2,613</w:t>
            </w:r>
          </w:p>
        </w:tc>
        <w:tc>
          <w:tcPr>
            <w:tcW w:w="20" w:type="dxa"/>
            <w:vAlign w:val="bottom"/>
          </w:tcPr>
          <w:p>
            <w:pPr>
              <w:spacing w:after="0"/>
              <w:rPr>
                <w:sz w:val="12"/>
                <w:szCs w:val="12"/>
                <w:color w:val="auto"/>
              </w:rPr>
            </w:pPr>
          </w:p>
        </w:tc>
      </w:tr>
      <w:tr>
        <w:trPr>
          <w:trHeight w:val="162"/>
        </w:trPr>
        <w:tc>
          <w:tcPr>
            <w:tcW w:w="76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(887)</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(1,887)</w:t>
            </w:r>
          </w:p>
        </w:tc>
        <w:tc>
          <w:tcPr>
            <w:tcW w:w="76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2"/>
                <w:szCs w:val="12"/>
                <w:color w:val="auto"/>
              </w:rPr>
              <w:t>(1,264)</w:t>
            </w:r>
          </w:p>
        </w:tc>
        <w:tc>
          <w:tcPr>
            <w:tcW w:w="74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2"/>
                <w:szCs w:val="12"/>
                <w:color w:val="auto"/>
              </w:rPr>
              <w:t>(4,397)</w:t>
            </w:r>
          </w:p>
        </w:tc>
      </w:tr>
      <w:tr>
        <w:trPr>
          <w:trHeight w:val="20"/>
        </w:trPr>
        <w:tc>
          <w:tcPr>
            <w:tcW w:w="7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760" w:type="dxa"/>
            <w:vAlign w:val="bottom"/>
          </w:tcPr>
          <w:p>
            <w:pPr>
              <w:jc w:val="right"/>
              <w:ind w:right="645"/>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40,721</w:t>
            </w:r>
          </w:p>
        </w:tc>
        <w:tc>
          <w:tcPr>
            <w:tcW w:w="860" w:type="dxa"/>
            <w:vAlign w:val="bottom"/>
            <w:gridSpan w:val="2"/>
          </w:tcPr>
          <w:p>
            <w:pPr>
              <w:jc w:val="right"/>
              <w:ind w:right="65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2"/>
                <w:szCs w:val="12"/>
                <w:color w:val="auto"/>
                <w:w w:val="97"/>
              </w:rPr>
              <w:t>36,230</w:t>
            </w:r>
          </w:p>
        </w:tc>
        <w:tc>
          <w:tcPr>
            <w:tcW w:w="760" w:type="dxa"/>
            <w:vAlign w:val="bottom"/>
          </w:tcPr>
          <w:p>
            <w:pPr>
              <w:jc w:val="right"/>
              <w:ind w:right="645"/>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59,570</w:t>
            </w:r>
          </w:p>
        </w:tc>
        <w:tc>
          <w:tcPr>
            <w:tcW w:w="740" w:type="dxa"/>
            <w:vAlign w:val="bottom"/>
          </w:tcPr>
          <w:p>
            <w:pPr>
              <w:jc w:val="right"/>
              <w:ind w:right="627"/>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2"/>
                <w:szCs w:val="12"/>
                <w:color w:val="auto"/>
                <w:w w:val="97"/>
              </w:rPr>
              <w:t>53,951</w:t>
            </w:r>
          </w:p>
        </w:tc>
        <w:tc>
          <w:tcPr>
            <w:tcW w:w="20" w:type="dxa"/>
            <w:vAlign w:val="bottom"/>
          </w:tcPr>
          <w:p>
            <w:pPr>
              <w:spacing w:after="0"/>
              <w:rPr>
                <w:sz w:val="12"/>
                <w:szCs w:val="12"/>
                <w:color w:val="auto"/>
              </w:rPr>
            </w:pPr>
          </w:p>
        </w:tc>
      </w:tr>
      <w:tr>
        <w:trPr>
          <w:trHeight w:val="27"/>
        </w:trPr>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-3865245</wp:posOffset>
            </wp:positionH>
            <wp:positionV relativeFrom="paragraph">
              <wp:posOffset>-405130</wp:posOffset>
            </wp:positionV>
            <wp:extent cx="7292340" cy="971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2340" cy="97155"/>
                    </a:xfrm>
                    <a:prstGeom prst="rect">
                      <a:avLst/>
                    </a:prstGeom>
                    <a:noFill/>
                  </pic:spPr>
                </pic:pic>
              </a:graphicData>
            </a:graphic>
          </wp:anchor>
        </w:drawing>
        <w:drawing>
          <wp:anchor simplePos="0" relativeHeight="251657728" behindDoc="1" locked="0" layoutInCell="0" allowOverlap="1">
            <wp:simplePos x="0" y="0"/>
            <wp:positionH relativeFrom="column">
              <wp:posOffset>-3865245</wp:posOffset>
            </wp:positionH>
            <wp:positionV relativeFrom="paragraph">
              <wp:posOffset>-216535</wp:posOffset>
            </wp:positionV>
            <wp:extent cx="7292340" cy="971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2340" cy="97155"/>
                    </a:xfrm>
                    <a:prstGeom prst="rect">
                      <a:avLst/>
                    </a:prstGeom>
                    <a:noFill/>
                  </pic:spPr>
                </pic:pic>
              </a:graphicData>
            </a:graphic>
          </wp:anchor>
        </w:drawing>
      </w:r>
    </w:p>
    <w:p>
      <w:pPr>
        <w:spacing w:after="0" w:line="63" w:lineRule="exact"/>
        <w:rPr>
          <w:sz w:val="20"/>
          <w:szCs w:val="20"/>
          <w:color w:val="auto"/>
        </w:rPr>
      </w:pPr>
    </w:p>
    <w:p>
      <w:pPr>
        <w:sectPr>
          <w:pgSz w:w="11900" w:h="16838" w:orient="portrait"/>
          <w:cols w:equalWidth="0" w:num="2">
            <w:col w:w="5368" w:space="720"/>
            <w:col w:w="5380"/>
          </w:cols>
          <w:pgMar w:left="212" w:top="197" w:right="219" w:bottom="1440" w:gutter="0" w:footer="0" w:header="0"/>
          <w:type w:val="continuous"/>
        </w:sectPr>
      </w:pPr>
    </w:p>
    <w:p>
      <w:pPr>
        <w:ind w:left="8" w:right="80" w:firstLine="423"/>
        <w:spacing w:after="0" w:line="276" w:lineRule="auto"/>
        <w:rPr>
          <w:sz w:val="20"/>
          <w:szCs w:val="20"/>
          <w:color w:val="auto"/>
        </w:rPr>
      </w:pPr>
      <w:r>
        <w:rPr>
          <w:rFonts w:ascii="Arial" w:cs="Arial" w:eastAsia="Arial" w:hAnsi="Arial"/>
          <w:sz w:val="12"/>
          <w:szCs w:val="12"/>
          <w:color w:val="auto"/>
        </w:rPr>
        <w:t>If 100% of our ceded reinsurance was cancelled as of June 30, 2018 or December 31, 2017, no ceded commissions would need to be returned to the reinsurers. Reinsurance contracts are typically effective from January 1 through December 31 each year.</w:t>
      </w:r>
    </w:p>
    <w:p>
      <w:pPr>
        <w:spacing w:after="0" w:line="115" w:lineRule="exact"/>
        <w:rPr>
          <w:sz w:val="20"/>
          <w:szCs w:val="20"/>
          <w:color w:val="auto"/>
        </w:rPr>
      </w:pPr>
    </w:p>
    <w:p>
      <w:pPr>
        <w:jc w:val="center"/>
        <w:ind w:right="-47"/>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9234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2340" cy="17145"/>
                    </a:xfrm>
                    <a:prstGeom prst="rect">
                      <a:avLst/>
                    </a:prstGeom>
                    <a:noFill/>
                  </pic:spPr>
                </pic:pic>
              </a:graphicData>
            </a:graphic>
          </wp:anchor>
        </w:drawing>
      </w:r>
    </w:p>
    <w:p>
      <w:pPr>
        <w:sectPr>
          <w:pgSz w:w="11900" w:h="16838" w:orient="portrait"/>
          <w:cols w:equalWidth="0" w:num="1">
            <w:col w:w="11468"/>
          </w:cols>
          <w:pgMar w:left="212" w:top="197" w:right="219" w:bottom="1440" w:gutter="0" w:footer="0" w:header="0"/>
          <w:type w:val="continuous"/>
        </w:sectPr>
      </w:pPr>
    </w:p>
    <w:bookmarkStart w:id="23" w:name="page24"/>
    <w:bookmarkEnd w:id="23"/>
    <w:p>
      <w:pPr>
        <w:ind w:left="8"/>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NI Holdings, Inc.</w:t>
      </w:r>
    </w:p>
    <w:p>
      <w:pPr>
        <w:spacing w:after="0" w:line="5" w:lineRule="exact"/>
        <w:rPr>
          <w:sz w:val="20"/>
          <w:szCs w:val="20"/>
          <w:color w:val="auto"/>
        </w:rPr>
      </w:pPr>
    </w:p>
    <w:p>
      <w:pPr>
        <w:ind w:left="4348"/>
        <w:spacing w:after="0"/>
        <w:rPr>
          <w:sz w:val="20"/>
          <w:szCs w:val="20"/>
          <w:color w:val="auto"/>
        </w:rPr>
      </w:pPr>
      <w:r>
        <w:rPr>
          <w:rFonts w:ascii="Arial" w:cs="Arial" w:eastAsia="Arial" w:hAnsi="Arial"/>
          <w:sz w:val="12"/>
          <w:szCs w:val="12"/>
          <w:b w:val="1"/>
          <w:bCs w:val="1"/>
          <w:color w:val="auto"/>
        </w:rPr>
        <w:t>Notes to Unaudited Consolidated Financial Statements</w:t>
      </w:r>
    </w:p>
    <w:p>
      <w:pPr>
        <w:spacing w:after="0" w:line="6" w:lineRule="exact"/>
        <w:rPr>
          <w:sz w:val="20"/>
          <w:szCs w:val="20"/>
          <w:color w:val="auto"/>
        </w:rPr>
      </w:pPr>
    </w:p>
    <w:p>
      <w:pPr>
        <w:ind w:left="4268"/>
        <w:spacing w:after="0"/>
        <w:rPr>
          <w:sz w:val="20"/>
          <w:szCs w:val="20"/>
          <w:color w:val="auto"/>
        </w:rPr>
      </w:pPr>
      <w:r>
        <w:rPr>
          <w:rFonts w:ascii="Arial" w:cs="Arial" w:eastAsia="Arial" w:hAnsi="Arial"/>
          <w:sz w:val="12"/>
          <w:szCs w:val="12"/>
          <w:b w:val="1"/>
          <w:bCs w:val="1"/>
          <w:color w:val="auto"/>
        </w:rPr>
        <w:t>(dollar amounts in thousands, except per share amounts)</w:t>
      </w:r>
    </w:p>
    <w:p>
      <w:pPr>
        <w:spacing w:after="0" w:line="137" w:lineRule="exact"/>
        <w:rPr>
          <w:sz w:val="20"/>
          <w:szCs w:val="20"/>
          <w:color w:val="auto"/>
        </w:rPr>
      </w:pPr>
    </w:p>
    <w:p>
      <w:pPr>
        <w:ind w:left="428" w:hanging="428"/>
        <w:spacing w:after="0"/>
        <w:tabs>
          <w:tab w:leader="none" w:pos="428" w:val="left"/>
        </w:tabs>
        <w:numPr>
          <w:ilvl w:val="0"/>
          <w:numId w:val="15"/>
        </w:numPr>
        <w:rPr>
          <w:rFonts w:ascii="Arial" w:cs="Arial" w:eastAsia="Arial" w:hAnsi="Arial"/>
          <w:sz w:val="12"/>
          <w:szCs w:val="12"/>
          <w:b w:val="1"/>
          <w:bCs w:val="1"/>
          <w:color w:val="auto"/>
        </w:rPr>
      </w:pPr>
      <w:r>
        <w:rPr>
          <w:rFonts w:ascii="Arial" w:cs="Arial" w:eastAsia="Arial" w:hAnsi="Arial"/>
          <w:sz w:val="12"/>
          <w:szCs w:val="12"/>
          <w:b w:val="1"/>
          <w:bCs w:val="1"/>
          <w:color w:val="auto"/>
        </w:rPr>
        <w:t>Deferred Policy Acquisition Costs</w:t>
      </w:r>
    </w:p>
    <w:p>
      <w:pPr>
        <w:spacing w:after="0" w:line="154" w:lineRule="exact"/>
        <w:rPr>
          <w:rFonts w:ascii="Arial" w:cs="Arial" w:eastAsia="Arial" w:hAnsi="Arial"/>
          <w:sz w:val="12"/>
          <w:szCs w:val="12"/>
          <w:b w:val="1"/>
          <w:bCs w:val="1"/>
          <w:color w:val="auto"/>
        </w:rPr>
      </w:pPr>
    </w:p>
    <w:p>
      <w:pPr>
        <w:ind w:left="428"/>
        <w:spacing w:after="0"/>
        <w:rPr>
          <w:rFonts w:ascii="Arial" w:cs="Arial" w:eastAsia="Arial" w:hAnsi="Arial"/>
          <w:sz w:val="12"/>
          <w:szCs w:val="12"/>
          <w:b w:val="1"/>
          <w:bCs w:val="1"/>
          <w:color w:val="auto"/>
        </w:rPr>
      </w:pPr>
      <w:r>
        <w:rPr>
          <w:rFonts w:ascii="Arial" w:cs="Arial" w:eastAsia="Arial" w:hAnsi="Arial"/>
          <w:sz w:val="12"/>
          <w:szCs w:val="12"/>
          <w:color w:val="auto"/>
        </w:rPr>
        <w:t>Activity with regards to our deferred policy acquisition costs was as follows:</w:t>
      </w:r>
    </w:p>
    <w:p>
      <w:pPr>
        <w:spacing w:after="0" w:line="83"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6080" w:type="dxa"/>
            <w:vAlign w:val="bottom"/>
          </w:tcPr>
          <w:p>
            <w:pPr>
              <w:spacing w:after="0"/>
              <w:rPr>
                <w:sz w:val="13"/>
                <w:szCs w:val="13"/>
                <w:color w:val="auto"/>
              </w:rPr>
            </w:pPr>
          </w:p>
        </w:tc>
        <w:tc>
          <w:tcPr>
            <w:tcW w:w="216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2"/>
                <w:szCs w:val="12"/>
                <w:b w:val="1"/>
                <w:bCs w:val="1"/>
                <w:color w:val="auto"/>
              </w:rPr>
              <w:t>Three Months Ended June 30,</w:t>
            </w:r>
          </w:p>
        </w:tc>
        <w:tc>
          <w:tcPr>
            <w:tcW w:w="3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100" w:type="dxa"/>
            <w:vAlign w:val="bottom"/>
            <w:tcBorders>
              <w:bottom w:val="single" w:sz="8" w:color="auto"/>
            </w:tcBorders>
            <w:gridSpan w:val="4"/>
          </w:tcPr>
          <w:p>
            <w:pPr>
              <w:jc w:val="right"/>
              <w:ind w:right="87"/>
              <w:spacing w:after="0"/>
              <w:rPr>
                <w:sz w:val="20"/>
                <w:szCs w:val="20"/>
                <w:color w:val="auto"/>
              </w:rPr>
            </w:pPr>
            <w:r>
              <w:rPr>
                <w:rFonts w:ascii="Arial" w:cs="Arial" w:eastAsia="Arial" w:hAnsi="Arial"/>
                <w:sz w:val="12"/>
                <w:szCs w:val="12"/>
                <w:b w:val="1"/>
                <w:bCs w:val="1"/>
                <w:color w:val="auto"/>
              </w:rPr>
              <w:t>Six Months Ended June 30,</w:t>
            </w:r>
          </w:p>
        </w:tc>
        <w:tc>
          <w:tcPr>
            <w:tcW w:w="4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080" w:type="dxa"/>
            <w:vAlign w:val="bottom"/>
          </w:tcPr>
          <w:p>
            <w:pPr>
              <w:spacing w:after="0"/>
              <w:rPr>
                <w:sz w:val="12"/>
                <w:szCs w:val="12"/>
                <w:color w:val="auto"/>
              </w:rPr>
            </w:pPr>
          </w:p>
        </w:tc>
        <w:tc>
          <w:tcPr>
            <w:tcW w:w="760" w:type="dxa"/>
            <w:vAlign w:val="bottom"/>
          </w:tcPr>
          <w:p>
            <w:pPr>
              <w:jc w:val="right"/>
              <w:ind w:right="5"/>
              <w:spacing w:after="0"/>
              <w:rPr>
                <w:sz w:val="20"/>
                <w:szCs w:val="20"/>
                <w:color w:val="auto"/>
              </w:rPr>
            </w:pPr>
            <w:r>
              <w:rPr>
                <w:rFonts w:ascii="Arial" w:cs="Arial" w:eastAsia="Arial" w:hAnsi="Arial"/>
                <w:sz w:val="12"/>
                <w:szCs w:val="12"/>
                <w:b w:val="1"/>
                <w:bCs w:val="1"/>
                <w:color w:val="auto"/>
              </w:rPr>
              <w:t>2018</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2"/>
                <w:szCs w:val="12"/>
                <w:b w:val="1"/>
                <w:bCs w:val="1"/>
                <w:color w:val="auto"/>
              </w:rPr>
              <w:t>2017</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2018</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2017</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60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Balance, beginning of period</w:t>
            </w:r>
          </w:p>
        </w:tc>
        <w:tc>
          <w:tcPr>
            <w:tcW w:w="760" w:type="dxa"/>
            <w:vAlign w:val="bottom"/>
            <w:tcBorders>
              <w:top w:val="single" w:sz="8" w:color="auto"/>
            </w:tcBorders>
            <w:shd w:val="clear" w:color="auto" w:fill="CCEEFF"/>
          </w:tcPr>
          <w:p>
            <w:pPr>
              <w:jc w:val="right"/>
              <w:ind w:right="645"/>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8,980</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9,681</w:t>
            </w:r>
          </w:p>
        </w:tc>
        <w:tc>
          <w:tcPr>
            <w:tcW w:w="2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ind w:right="625"/>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8,859</w:t>
            </w:r>
          </w:p>
        </w:tc>
        <w:tc>
          <w:tcPr>
            <w:tcW w:w="2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ind w:right="607"/>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8,942</w:t>
            </w:r>
          </w:p>
        </w:tc>
        <w:tc>
          <w:tcPr>
            <w:tcW w:w="120" w:type="dxa"/>
            <w:vAlign w:val="bottom"/>
            <w:tcBorders>
              <w:top w:val="single" w:sz="8" w:color="CCEEFF"/>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080" w:type="dxa"/>
            <w:vAlign w:val="bottom"/>
          </w:tcPr>
          <w:p>
            <w:pPr>
              <w:spacing w:after="0"/>
              <w:rPr>
                <w:sz w:val="20"/>
                <w:szCs w:val="20"/>
                <w:color w:val="auto"/>
              </w:rPr>
            </w:pPr>
            <w:r>
              <w:rPr>
                <w:rFonts w:ascii="Arial" w:cs="Arial" w:eastAsia="Arial" w:hAnsi="Arial"/>
                <w:sz w:val="12"/>
                <w:szCs w:val="12"/>
                <w:color w:val="auto"/>
              </w:rPr>
              <w:t>Deferral of policy acquisition costs</w:t>
            </w:r>
          </w:p>
        </w:tc>
        <w:tc>
          <w:tcPr>
            <w:tcW w:w="7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11,828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2"/>
                <w:szCs w:val="12"/>
                <w:color w:val="auto"/>
                <w:w w:val="97"/>
              </w:rPr>
              <w:t>10,746</w:t>
            </w:r>
          </w:p>
        </w:tc>
        <w:tc>
          <w:tcPr>
            <w:tcW w:w="74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18,988</w:t>
            </w:r>
          </w:p>
        </w:tc>
        <w:tc>
          <w:tcPr>
            <w:tcW w:w="7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16,494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080" w:type="dxa"/>
            <w:vAlign w:val="bottom"/>
            <w:shd w:val="clear" w:color="auto" w:fill="CCEEFF"/>
          </w:tcPr>
          <w:p>
            <w:pPr>
              <w:spacing w:after="0"/>
              <w:rPr>
                <w:sz w:val="20"/>
                <w:szCs w:val="20"/>
                <w:color w:val="auto"/>
              </w:rPr>
            </w:pPr>
            <w:r>
              <w:rPr>
                <w:rFonts w:ascii="Arial" w:cs="Arial" w:eastAsia="Arial" w:hAnsi="Arial"/>
                <w:sz w:val="12"/>
                <w:szCs w:val="12"/>
                <w:color w:val="auto"/>
              </w:rPr>
              <w:t>Amortization of deferred policy acquisition costs</w:t>
            </w:r>
          </w:p>
        </w:tc>
        <w:tc>
          <w:tcPr>
            <w:tcW w:w="7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(8,618)</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(6,301)</w:t>
            </w:r>
          </w:p>
        </w:tc>
        <w:tc>
          <w:tcPr>
            <w:tcW w:w="7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w w:val="98"/>
              </w:rPr>
              <w:t>(15,657)</w:t>
            </w:r>
          </w:p>
        </w:tc>
        <w:tc>
          <w:tcPr>
            <w:tcW w:w="7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3"/>
              </w:rPr>
              <w:t>(11,310)</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160"/>
              <w:spacing w:after="0"/>
              <w:rPr>
                <w:sz w:val="20"/>
                <w:szCs w:val="20"/>
                <w:color w:val="auto"/>
              </w:rPr>
            </w:pPr>
            <w:r>
              <w:rPr>
                <w:rFonts w:ascii="Arial" w:cs="Arial" w:eastAsia="Arial" w:hAnsi="Arial"/>
                <w:sz w:val="12"/>
                <w:szCs w:val="12"/>
                <w:color w:val="auto"/>
              </w:rPr>
              <w:t>Balance, end of period</w:t>
            </w:r>
          </w:p>
        </w:tc>
        <w:tc>
          <w:tcPr>
            <w:tcW w:w="7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80" w:type="dxa"/>
            <w:vAlign w:val="bottom"/>
            <w:vMerge w:val="continue"/>
          </w:tcPr>
          <w:p>
            <w:pPr>
              <w:spacing w:after="0"/>
              <w:rPr>
                <w:sz w:val="12"/>
                <w:szCs w:val="12"/>
                <w:color w:val="auto"/>
              </w:rPr>
            </w:pPr>
          </w:p>
        </w:tc>
        <w:tc>
          <w:tcPr>
            <w:tcW w:w="760" w:type="dxa"/>
            <w:vAlign w:val="bottom"/>
          </w:tcPr>
          <w:p>
            <w:pPr>
              <w:jc w:val="right"/>
              <w:ind w:right="645"/>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12,190</w:t>
            </w:r>
          </w:p>
        </w:tc>
        <w:tc>
          <w:tcPr>
            <w:tcW w:w="860" w:type="dxa"/>
            <w:vAlign w:val="bottom"/>
            <w:gridSpan w:val="2"/>
          </w:tcPr>
          <w:p>
            <w:pPr>
              <w:jc w:val="right"/>
              <w:ind w:right="65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2"/>
                <w:szCs w:val="12"/>
                <w:color w:val="auto"/>
                <w:w w:val="97"/>
              </w:rPr>
              <w:t>14,126</w:t>
            </w:r>
          </w:p>
        </w:tc>
        <w:tc>
          <w:tcPr>
            <w:tcW w:w="740" w:type="dxa"/>
            <w:vAlign w:val="bottom"/>
          </w:tcPr>
          <w:p>
            <w:pPr>
              <w:jc w:val="right"/>
              <w:ind w:right="625"/>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12,190</w:t>
            </w:r>
          </w:p>
        </w:tc>
        <w:tc>
          <w:tcPr>
            <w:tcW w:w="720" w:type="dxa"/>
            <w:vAlign w:val="bottom"/>
          </w:tcPr>
          <w:p>
            <w:pPr>
              <w:jc w:val="right"/>
              <w:ind w:right="607"/>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14,126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10.</w:t>
      </w:r>
      <w:r>
        <w:rPr>
          <w:sz w:val="20"/>
          <w:szCs w:val="20"/>
          <w:color w:val="auto"/>
        </w:rPr>
        <w:tab/>
      </w:r>
      <w:r>
        <w:rPr>
          <w:rFonts w:ascii="Arial" w:cs="Arial" w:eastAsia="Arial" w:hAnsi="Arial"/>
          <w:sz w:val="12"/>
          <w:szCs w:val="12"/>
          <w:b w:val="1"/>
          <w:bCs w:val="1"/>
          <w:color w:val="auto"/>
        </w:rPr>
        <w:t>Unpaid Losses and Loss Adjustment Expenses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Activity in the liability for unpaid losses and loss adjustment expenses is summarized as follows:</w:t>
      </w:r>
    </w:p>
    <w:p>
      <w:pPr>
        <w:spacing w:after="0" w:line="83" w:lineRule="exact"/>
        <w:rPr>
          <w:sz w:val="20"/>
          <w:szCs w:val="20"/>
          <w:color w:val="auto"/>
        </w:rPr>
      </w:pPr>
    </w:p>
    <w:p>
      <w:pPr>
        <w:jc w:val="center"/>
        <w:ind w:left="8760"/>
        <w:spacing w:after="0"/>
        <w:rPr>
          <w:sz w:val="20"/>
          <w:szCs w:val="20"/>
          <w:color w:val="auto"/>
        </w:rPr>
      </w:pPr>
      <w:r>
        <w:rPr>
          <w:rFonts w:ascii="Arial" w:cs="Arial" w:eastAsia="Arial" w:hAnsi="Arial"/>
          <w:sz w:val="12"/>
          <w:szCs w:val="12"/>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5622290</wp:posOffset>
            </wp:positionH>
            <wp:positionV relativeFrom="paragraph">
              <wp:posOffset>12065</wp:posOffset>
            </wp:positionV>
            <wp:extent cx="160147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01470" cy="5715"/>
                    </a:xfrm>
                    <a:prstGeom prst="rect">
                      <a:avLst/>
                    </a:prstGeom>
                    <a:noFill/>
                  </pic:spPr>
                </pic:pic>
              </a:graphicData>
            </a:graphic>
          </wp:anchor>
        </w:drawing>
      </w:r>
    </w:p>
    <w:p>
      <w:pPr>
        <w:spacing w:after="0" w:line="4" w:lineRule="exact"/>
        <w:rPr>
          <w:sz w:val="20"/>
          <w:szCs w:val="20"/>
          <w:color w:val="auto"/>
        </w:rPr>
      </w:pPr>
    </w:p>
    <w:p>
      <w:pPr>
        <w:ind w:left="9308"/>
        <w:spacing w:after="0"/>
        <w:tabs>
          <w:tab w:leader="none" w:pos="10668"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5622290</wp:posOffset>
            </wp:positionH>
            <wp:positionV relativeFrom="paragraph">
              <wp:posOffset>12065</wp:posOffset>
            </wp:positionV>
            <wp:extent cx="160147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01470" cy="5715"/>
                    </a:xfrm>
                    <a:prstGeom prst="rect">
                      <a:avLst/>
                    </a:prstGeom>
                    <a:noFill/>
                  </pic:spPr>
                </pic:pic>
              </a:graphicData>
            </a:graphic>
          </wp:anchor>
        </w:drawing>
      </w:r>
    </w:p>
    <w:p>
      <w:pPr>
        <w:sectPr>
          <w:pgSz w:w="11900" w:h="16838" w:orient="portrait"/>
          <w:cols w:equalWidth="0" w:num="1">
            <w:col w:w="11488"/>
          </w:cols>
          <w:pgMar w:left="212" w:top="197" w:right="199" w:bottom="1440" w:gutter="0" w:footer="0" w:header="0"/>
        </w:sectPr>
      </w:pP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color w:val="auto"/>
        </w:rPr>
        <w:t>Balance at beginning of period:</w:t>
      </w:r>
    </w:p>
    <w:p>
      <w:pPr>
        <w:spacing w:after="0" w:line="15" w:lineRule="exact"/>
        <w:rPr>
          <w:sz w:val="20"/>
          <w:szCs w:val="20"/>
          <w:color w:val="auto"/>
        </w:rPr>
      </w:pPr>
    </w:p>
    <w:p>
      <w:pPr>
        <w:ind w:left="108"/>
        <w:spacing w:after="0"/>
        <w:rPr>
          <w:sz w:val="20"/>
          <w:szCs w:val="20"/>
          <w:color w:val="auto"/>
        </w:rPr>
      </w:pPr>
      <w:r>
        <w:rPr>
          <w:rFonts w:ascii="Arial" w:cs="Arial" w:eastAsia="Arial" w:hAnsi="Arial"/>
          <w:sz w:val="10"/>
          <w:szCs w:val="10"/>
          <w:color w:val="auto"/>
        </w:rPr>
        <w:t>Liability for unpaid losses and loss adjustment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-72390</wp:posOffset>
            </wp:positionV>
            <wp:extent cx="7292340" cy="914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spacing w:after="0" w:line="9" w:lineRule="exact"/>
        <w:rPr>
          <w:sz w:val="20"/>
          <w:szCs w:val="20"/>
          <w:color w:val="auto"/>
        </w:rPr>
      </w:pPr>
    </w:p>
    <w:p>
      <w:pPr>
        <w:ind w:left="108"/>
        <w:spacing w:after="0"/>
        <w:rPr>
          <w:sz w:val="20"/>
          <w:szCs w:val="20"/>
          <w:color w:val="auto"/>
        </w:rPr>
      </w:pPr>
      <w:r>
        <w:rPr>
          <w:rFonts w:ascii="Arial" w:cs="Arial" w:eastAsia="Arial" w:hAnsi="Arial"/>
          <w:sz w:val="12"/>
          <w:szCs w:val="12"/>
          <w:color w:val="auto"/>
        </w:rPr>
        <w:t>Reinsurance recoverables on losses</w:t>
      </w:r>
    </w:p>
    <w:p>
      <w:pPr>
        <w:spacing w:after="0" w:line="6" w:lineRule="exact"/>
        <w:rPr>
          <w:sz w:val="20"/>
          <w:szCs w:val="20"/>
          <w:color w:val="auto"/>
        </w:rPr>
      </w:pPr>
    </w:p>
    <w:p>
      <w:pPr>
        <w:ind w:left="208"/>
        <w:spacing w:after="0"/>
        <w:rPr>
          <w:sz w:val="20"/>
          <w:szCs w:val="20"/>
          <w:color w:val="auto"/>
        </w:rPr>
      </w:pPr>
      <w:r>
        <w:rPr>
          <w:rFonts w:ascii="Arial" w:cs="Arial" w:eastAsia="Arial" w:hAnsi="Arial"/>
          <w:sz w:val="12"/>
          <w:szCs w:val="12"/>
          <w:color w:val="auto"/>
        </w:rPr>
        <w:t>Net balance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7292340" cy="971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2340" cy="971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440" w:type="dxa"/>
            <w:vAlign w:val="bottom"/>
          </w:tcPr>
          <w:p>
            <w:pPr>
              <w:jc w:val="right"/>
              <w:ind w:right="33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45,890</w:t>
            </w:r>
          </w:p>
        </w:tc>
        <w:tc>
          <w:tcPr>
            <w:tcW w:w="420" w:type="dxa"/>
            <w:vAlign w:val="bottom"/>
          </w:tcPr>
          <w:p>
            <w:pPr>
              <w:jc w:val="right"/>
              <w:ind w:right="31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59,632</w:t>
            </w:r>
          </w:p>
        </w:tc>
      </w:tr>
      <w:tr>
        <w:trPr>
          <w:trHeight w:val="153"/>
        </w:trPr>
        <w:tc>
          <w:tcPr>
            <w:tcW w:w="4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4,128</w:t>
            </w:r>
          </w:p>
        </w:tc>
        <w:tc>
          <w:tcPr>
            <w:tcW w:w="24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7,192</w:t>
            </w:r>
          </w:p>
        </w:tc>
      </w:tr>
      <w:tr>
        <w:trPr>
          <w:trHeight w:val="133"/>
        </w:trPr>
        <w:tc>
          <w:tcPr>
            <w:tcW w:w="4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41,762</w:t>
            </w:r>
          </w:p>
        </w:tc>
        <w:tc>
          <w:tcPr>
            <w:tcW w:w="24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52,440</w:t>
            </w:r>
          </w:p>
        </w:tc>
      </w:tr>
    </w:tbl>
    <w:p>
      <w:pPr>
        <w:spacing w:after="0" w:line="144" w:lineRule="exact"/>
        <w:rPr>
          <w:sz w:val="20"/>
          <w:szCs w:val="20"/>
          <w:color w:val="auto"/>
        </w:rPr>
      </w:pPr>
    </w:p>
    <w:p>
      <w:pPr>
        <w:sectPr>
          <w:pgSz w:w="11900" w:h="16838" w:orient="portrait"/>
          <w:cols w:equalWidth="0" w:num="2">
            <w:col w:w="8128" w:space="720"/>
            <w:col w:w="2640"/>
          </w:cols>
          <w:pgMar w:left="212" w:top="197" w:right="199" w:bottom="1440" w:gutter="0" w:footer="0" w:header="0"/>
          <w:type w:val="continuous"/>
        </w:sectPr>
      </w:pPr>
    </w:p>
    <w:tbl>
      <w:tblPr>
        <w:tblLayout w:type="fixed"/>
        <w:tblInd w:w="8"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Incurred related to:</w:t>
            </w: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80"/>
              <w:spacing w:after="0"/>
              <w:rPr>
                <w:sz w:val="20"/>
                <w:szCs w:val="20"/>
                <w:color w:val="auto"/>
              </w:rPr>
            </w:pPr>
            <w:r>
              <w:rPr>
                <w:rFonts w:ascii="Arial" w:cs="Arial" w:eastAsia="Arial" w:hAnsi="Arial"/>
                <w:sz w:val="12"/>
                <w:szCs w:val="12"/>
                <w:color w:val="auto"/>
              </w:rPr>
              <w:t>Current year</w:t>
            </w:r>
          </w:p>
        </w:tc>
        <w:tc>
          <w:tcPr>
            <w:tcW w:w="1400" w:type="dxa"/>
            <w:vAlign w:val="bottom"/>
            <w:gridSpan w:val="2"/>
          </w:tcPr>
          <w:p>
            <w:pPr>
              <w:jc w:val="right"/>
              <w:ind w:right="240"/>
              <w:spacing w:after="0"/>
              <w:rPr>
                <w:sz w:val="20"/>
                <w:szCs w:val="20"/>
                <w:color w:val="auto"/>
              </w:rPr>
            </w:pPr>
            <w:r>
              <w:rPr>
                <w:rFonts w:ascii="Arial" w:cs="Arial" w:eastAsia="Arial" w:hAnsi="Arial"/>
                <w:sz w:val="12"/>
                <w:szCs w:val="12"/>
                <w:color w:val="auto"/>
              </w:rPr>
              <w:t>60,152</w:t>
            </w:r>
          </w:p>
        </w:tc>
        <w:tc>
          <w:tcPr>
            <w:tcW w:w="1240" w:type="dxa"/>
            <w:vAlign w:val="bottom"/>
            <w:gridSpan w:val="2"/>
          </w:tcPr>
          <w:p>
            <w:pPr>
              <w:ind w:left="800"/>
              <w:spacing w:after="0"/>
              <w:rPr>
                <w:sz w:val="20"/>
                <w:szCs w:val="20"/>
                <w:color w:val="auto"/>
              </w:rPr>
            </w:pPr>
            <w:r>
              <w:rPr>
                <w:rFonts w:ascii="Arial" w:cs="Arial" w:eastAsia="Arial" w:hAnsi="Arial"/>
                <w:sz w:val="12"/>
                <w:szCs w:val="12"/>
                <w:color w:val="auto"/>
              </w:rPr>
              <w:t>58,917</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20" w:type="dxa"/>
            <w:vAlign w:val="bottom"/>
            <w:shd w:val="clear" w:color="auto" w:fill="CCEEFF"/>
          </w:tcPr>
          <w:p>
            <w:pPr>
              <w:ind w:left="80"/>
              <w:spacing w:after="0"/>
              <w:rPr>
                <w:sz w:val="20"/>
                <w:szCs w:val="20"/>
                <w:color w:val="auto"/>
              </w:rPr>
            </w:pPr>
            <w:r>
              <w:rPr>
                <w:rFonts w:ascii="Arial" w:cs="Arial" w:eastAsia="Arial" w:hAnsi="Arial"/>
                <w:sz w:val="12"/>
                <w:szCs w:val="12"/>
                <w:color w:val="auto"/>
              </w:rPr>
              <w:t>Prior years</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(582)</w:t>
            </w:r>
          </w:p>
        </w:tc>
        <w:tc>
          <w:tcPr>
            <w:tcW w:w="1240" w:type="dxa"/>
            <w:vAlign w:val="bottom"/>
            <w:gridSpan w:val="2"/>
            <w:shd w:val="clear" w:color="auto" w:fill="CCEEFF"/>
          </w:tcPr>
          <w:p>
            <w:pPr>
              <w:ind w:left="820"/>
              <w:spacing w:after="0"/>
              <w:rPr>
                <w:sz w:val="20"/>
                <w:szCs w:val="20"/>
                <w:color w:val="auto"/>
              </w:rPr>
            </w:pPr>
            <w:r>
              <w:rPr>
                <w:rFonts w:ascii="Arial" w:cs="Arial" w:eastAsia="Arial" w:hAnsi="Arial"/>
                <w:sz w:val="12"/>
                <w:szCs w:val="12"/>
                <w:color w:val="auto"/>
              </w:rPr>
              <w:t>(4,966)</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820" w:type="dxa"/>
            <w:vAlign w:val="bottom"/>
            <w:tcBorders>
              <w:bottom w:val="single" w:sz="8" w:color="CCEEFF"/>
            </w:tcBorders>
          </w:tcPr>
          <w:p>
            <w:pPr>
              <w:ind w:left="180"/>
              <w:spacing w:after="0" w:line="133" w:lineRule="exact"/>
              <w:rPr>
                <w:sz w:val="20"/>
                <w:szCs w:val="20"/>
                <w:color w:val="auto"/>
              </w:rPr>
            </w:pPr>
            <w:r>
              <w:rPr>
                <w:rFonts w:ascii="Arial" w:cs="Arial" w:eastAsia="Arial" w:hAnsi="Arial"/>
                <w:sz w:val="12"/>
                <w:szCs w:val="12"/>
                <w:color w:val="auto"/>
              </w:rPr>
              <w:t>Total incurred</w:t>
            </w:r>
          </w:p>
        </w:tc>
        <w:tc>
          <w:tcPr>
            <w:tcW w:w="11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59,570</w:t>
            </w:r>
          </w:p>
        </w:tc>
        <w:tc>
          <w:tcPr>
            <w:tcW w:w="240" w:type="dxa"/>
            <w:vAlign w:val="bottom"/>
            <w:tcBorders>
              <w:bottom w:val="single" w:sz="8" w:color="CCEEFF"/>
            </w:tcBorders>
          </w:tcPr>
          <w:p>
            <w:pPr>
              <w:spacing w:after="0"/>
              <w:rPr>
                <w:sz w:val="11"/>
                <w:szCs w:val="11"/>
                <w:color w:val="auto"/>
              </w:rPr>
            </w:pPr>
          </w:p>
        </w:tc>
        <w:tc>
          <w:tcPr>
            <w:tcW w:w="1120" w:type="dxa"/>
            <w:vAlign w:val="bottom"/>
            <w:tcBorders>
              <w:top w:val="single" w:sz="8" w:color="auto"/>
              <w:bottom w:val="single" w:sz="8" w:color="auto"/>
            </w:tcBorders>
          </w:tcPr>
          <w:p>
            <w:pPr>
              <w:ind w:left="800"/>
              <w:spacing w:after="0" w:line="133" w:lineRule="exact"/>
              <w:rPr>
                <w:sz w:val="20"/>
                <w:szCs w:val="20"/>
                <w:color w:val="auto"/>
              </w:rPr>
            </w:pPr>
            <w:r>
              <w:rPr>
                <w:rFonts w:ascii="Arial" w:cs="Arial" w:eastAsia="Arial" w:hAnsi="Arial"/>
                <w:sz w:val="12"/>
                <w:szCs w:val="12"/>
                <w:color w:val="auto"/>
                <w:w w:val="81"/>
              </w:rPr>
              <w:t>53,951</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88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Paid related to:</w:t>
            </w: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80"/>
              <w:spacing w:after="0"/>
              <w:rPr>
                <w:sz w:val="20"/>
                <w:szCs w:val="20"/>
                <w:color w:val="auto"/>
              </w:rPr>
            </w:pPr>
            <w:r>
              <w:rPr>
                <w:rFonts w:ascii="Arial" w:cs="Arial" w:eastAsia="Arial" w:hAnsi="Arial"/>
                <w:sz w:val="12"/>
                <w:szCs w:val="12"/>
                <w:color w:val="auto"/>
              </w:rPr>
              <w:t>Current year</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25,220</w:t>
            </w:r>
          </w:p>
        </w:tc>
        <w:tc>
          <w:tcPr>
            <w:tcW w:w="1240" w:type="dxa"/>
            <w:vAlign w:val="bottom"/>
            <w:gridSpan w:val="2"/>
            <w:shd w:val="clear" w:color="auto" w:fill="CCEEFF"/>
          </w:tcPr>
          <w:p>
            <w:pPr>
              <w:ind w:left="800"/>
              <w:spacing w:after="0"/>
              <w:rPr>
                <w:sz w:val="20"/>
                <w:szCs w:val="20"/>
                <w:color w:val="auto"/>
              </w:rPr>
            </w:pPr>
            <w:r>
              <w:rPr>
                <w:rFonts w:ascii="Arial" w:cs="Arial" w:eastAsia="Arial" w:hAnsi="Arial"/>
                <w:sz w:val="12"/>
                <w:szCs w:val="12"/>
                <w:color w:val="auto"/>
              </w:rPr>
              <w:t>23,782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20" w:type="dxa"/>
            <w:vAlign w:val="bottom"/>
          </w:tcPr>
          <w:p>
            <w:pPr>
              <w:ind w:left="80"/>
              <w:spacing w:after="0"/>
              <w:rPr>
                <w:sz w:val="20"/>
                <w:szCs w:val="20"/>
                <w:color w:val="auto"/>
              </w:rPr>
            </w:pPr>
            <w:r>
              <w:rPr>
                <w:rFonts w:ascii="Arial" w:cs="Arial" w:eastAsia="Arial" w:hAnsi="Arial"/>
                <w:sz w:val="12"/>
                <w:szCs w:val="12"/>
                <w:color w:val="auto"/>
              </w:rPr>
              <w:t>Prior years</w:t>
            </w:r>
          </w:p>
        </w:tc>
        <w:tc>
          <w:tcPr>
            <w:tcW w:w="1400" w:type="dxa"/>
            <w:vAlign w:val="bottom"/>
            <w:gridSpan w:val="2"/>
          </w:tcPr>
          <w:p>
            <w:pPr>
              <w:jc w:val="right"/>
              <w:ind w:right="240"/>
              <w:spacing w:after="0"/>
              <w:rPr>
                <w:sz w:val="20"/>
                <w:szCs w:val="20"/>
                <w:color w:val="auto"/>
              </w:rPr>
            </w:pPr>
            <w:r>
              <w:rPr>
                <w:rFonts w:ascii="Arial" w:cs="Arial" w:eastAsia="Arial" w:hAnsi="Arial"/>
                <w:sz w:val="12"/>
                <w:szCs w:val="12"/>
                <w:color w:val="auto"/>
              </w:rPr>
              <w:t>16,337</w:t>
            </w:r>
          </w:p>
        </w:tc>
        <w:tc>
          <w:tcPr>
            <w:tcW w:w="1240" w:type="dxa"/>
            <w:vAlign w:val="bottom"/>
            <w:gridSpan w:val="2"/>
          </w:tcPr>
          <w:p>
            <w:pPr>
              <w:ind w:left="800"/>
              <w:spacing w:after="0"/>
              <w:rPr>
                <w:sz w:val="20"/>
                <w:szCs w:val="20"/>
                <w:color w:val="auto"/>
              </w:rPr>
            </w:pPr>
            <w:r>
              <w:rPr>
                <w:rFonts w:ascii="Arial" w:cs="Arial" w:eastAsia="Arial" w:hAnsi="Arial"/>
                <w:sz w:val="12"/>
                <w:szCs w:val="12"/>
                <w:color w:val="auto"/>
              </w:rPr>
              <w:t>20,382</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820" w:type="dxa"/>
            <w:vAlign w:val="bottom"/>
            <w:tcBorders>
              <w:top w:val="single" w:sz="8" w:color="CCEEFF"/>
            </w:tcBorders>
            <w:shd w:val="clear" w:color="auto" w:fill="CCEEFF"/>
          </w:tcPr>
          <w:p>
            <w:pPr>
              <w:ind w:left="180"/>
              <w:spacing w:after="0" w:line="133" w:lineRule="exact"/>
              <w:rPr>
                <w:sz w:val="20"/>
                <w:szCs w:val="20"/>
                <w:color w:val="auto"/>
              </w:rPr>
            </w:pPr>
            <w:r>
              <w:rPr>
                <w:rFonts w:ascii="Arial" w:cs="Arial" w:eastAsia="Arial" w:hAnsi="Arial"/>
                <w:sz w:val="12"/>
                <w:szCs w:val="12"/>
                <w:color w:val="auto"/>
              </w:rPr>
              <w:t>Total paid</w:t>
            </w:r>
          </w:p>
        </w:tc>
        <w:tc>
          <w:tcPr>
            <w:tcW w:w="11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41,557</w:t>
            </w:r>
          </w:p>
        </w:tc>
        <w:tc>
          <w:tcPr>
            <w:tcW w:w="24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bottom w:val="single" w:sz="8" w:color="auto"/>
            </w:tcBorders>
            <w:shd w:val="clear" w:color="auto" w:fill="CCEEFF"/>
          </w:tcPr>
          <w:p>
            <w:pPr>
              <w:ind w:left="800"/>
              <w:spacing w:after="0" w:line="133" w:lineRule="exact"/>
              <w:rPr>
                <w:sz w:val="20"/>
                <w:szCs w:val="20"/>
                <w:color w:val="auto"/>
              </w:rPr>
            </w:pPr>
            <w:r>
              <w:rPr>
                <w:rFonts w:ascii="Arial" w:cs="Arial" w:eastAsia="Arial" w:hAnsi="Arial"/>
                <w:sz w:val="12"/>
                <w:szCs w:val="12"/>
                <w:color w:val="auto"/>
                <w:w w:val="81"/>
              </w:rPr>
              <w:t>44,164</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sectPr>
          <w:pgSz w:w="11900" w:h="16838" w:orient="portrait"/>
          <w:cols w:equalWidth="0" w:num="1">
            <w:col w:w="11488"/>
          </w:cols>
          <w:pgMar w:left="212" w:top="197" w:right="199" w:bottom="1440" w:gutter="0" w:footer="0" w:header="0"/>
          <w:type w:val="continuous"/>
        </w:sectPr>
      </w:pPr>
    </w:p>
    <w:p>
      <w:pPr>
        <w:ind w:left="8"/>
        <w:spacing w:after="0"/>
        <w:rPr>
          <w:sz w:val="20"/>
          <w:szCs w:val="20"/>
          <w:color w:val="auto"/>
        </w:rPr>
      </w:pPr>
      <w:r>
        <w:rPr>
          <w:rFonts w:ascii="Arial" w:cs="Arial" w:eastAsia="Arial" w:hAnsi="Arial"/>
          <w:sz w:val="12"/>
          <w:szCs w:val="12"/>
          <w:color w:val="auto"/>
        </w:rPr>
        <w:t>Balance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7292340" cy="914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ind w:left="108"/>
        <w:spacing w:after="0"/>
        <w:rPr>
          <w:sz w:val="20"/>
          <w:szCs w:val="20"/>
          <w:color w:val="auto"/>
        </w:rPr>
      </w:pPr>
      <w:r>
        <w:rPr>
          <w:rFonts w:ascii="Arial" w:cs="Arial" w:eastAsia="Arial" w:hAnsi="Arial"/>
          <w:sz w:val="10"/>
          <w:szCs w:val="10"/>
          <w:color w:val="auto"/>
        </w:rPr>
        <w:t>Liability for unpaid losses and loss adjustment expense</w:t>
      </w:r>
    </w:p>
    <w:p>
      <w:pPr>
        <w:spacing w:after="0" w:line="29" w:lineRule="exact"/>
        <w:rPr>
          <w:sz w:val="20"/>
          <w:szCs w:val="20"/>
          <w:color w:val="auto"/>
        </w:rPr>
      </w:pPr>
    </w:p>
    <w:p>
      <w:pPr>
        <w:ind w:left="108"/>
        <w:spacing w:after="0"/>
        <w:rPr>
          <w:sz w:val="20"/>
          <w:szCs w:val="20"/>
          <w:color w:val="auto"/>
        </w:rPr>
      </w:pPr>
      <w:r>
        <w:rPr>
          <w:rFonts w:ascii="Arial" w:cs="Arial" w:eastAsia="Arial" w:hAnsi="Arial"/>
          <w:sz w:val="12"/>
          <w:szCs w:val="12"/>
          <w:color w:val="auto"/>
        </w:rPr>
        <w:t>Reinsurance recoverables on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7292340" cy="971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2340" cy="97155"/>
                    </a:xfrm>
                    <a:prstGeom prst="rect">
                      <a:avLst/>
                    </a:prstGeom>
                    <a:noFill/>
                  </pic:spPr>
                </pic:pic>
              </a:graphicData>
            </a:graphic>
          </wp:anchor>
        </w:drawing>
      </w:r>
    </w:p>
    <w:p>
      <w:pPr>
        <w:ind w:left="208"/>
        <w:spacing w:after="0"/>
        <w:rPr>
          <w:sz w:val="20"/>
          <w:szCs w:val="20"/>
          <w:color w:val="auto"/>
        </w:rPr>
      </w:pPr>
      <w:r>
        <w:rPr>
          <w:rFonts w:ascii="Arial" w:cs="Arial" w:eastAsia="Arial" w:hAnsi="Arial"/>
          <w:sz w:val="12"/>
          <w:szCs w:val="12"/>
          <w:color w:val="auto"/>
        </w:rPr>
        <w:t>Net balance at end of period</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44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63,376</w:t>
            </w:r>
          </w:p>
        </w:tc>
        <w:tc>
          <w:tcPr>
            <w:tcW w:w="4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72,619</w:t>
            </w:r>
          </w:p>
        </w:tc>
      </w:tr>
      <w:tr>
        <w:trPr>
          <w:trHeight w:val="153"/>
        </w:trPr>
        <w:tc>
          <w:tcPr>
            <w:tcW w:w="4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3,601</w:t>
            </w:r>
          </w:p>
        </w:tc>
        <w:tc>
          <w:tcPr>
            <w:tcW w:w="24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10,392</w:t>
            </w:r>
          </w:p>
        </w:tc>
      </w:tr>
      <w:tr>
        <w:trPr>
          <w:trHeight w:val="149"/>
        </w:trPr>
        <w:tc>
          <w:tcPr>
            <w:tcW w:w="440" w:type="dxa"/>
            <w:vAlign w:val="bottom"/>
            <w:tcBorders>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59,775</w:t>
            </w:r>
          </w:p>
        </w:tc>
        <w:tc>
          <w:tcPr>
            <w:tcW w:w="240" w:type="dxa"/>
            <w:vAlign w:val="bottom"/>
          </w:tcPr>
          <w:p>
            <w:pPr>
              <w:spacing w:after="0"/>
              <w:rPr>
                <w:sz w:val="12"/>
                <w:szCs w:val="12"/>
                <w:color w:val="auto"/>
              </w:rPr>
            </w:pPr>
          </w:p>
        </w:tc>
        <w:tc>
          <w:tcPr>
            <w:tcW w:w="420" w:type="dxa"/>
            <w:vAlign w:val="bottom"/>
            <w:tcBorders>
              <w:bottom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62,227</w:t>
            </w:r>
          </w:p>
        </w:tc>
      </w:tr>
    </w:tbl>
    <w:p>
      <w:pPr>
        <w:spacing w:after="0" w:line="200" w:lineRule="exact"/>
        <w:rPr>
          <w:sz w:val="20"/>
          <w:szCs w:val="20"/>
          <w:color w:val="auto"/>
        </w:rPr>
      </w:pPr>
    </w:p>
    <w:p>
      <w:pPr>
        <w:sectPr>
          <w:pgSz w:w="11900" w:h="16838" w:orient="portrait"/>
          <w:cols w:equalWidth="0" w:num="2">
            <w:col w:w="8128" w:space="720"/>
            <w:col w:w="2640"/>
          </w:cols>
          <w:pgMar w:left="212" w:top="197" w:right="199" w:bottom="1440" w:gutter="0" w:footer="0" w:header="0"/>
          <w:type w:val="continuous"/>
        </w:sectPr>
      </w:pPr>
    </w:p>
    <w:p>
      <w:pPr>
        <w:spacing w:after="0" w:line="7" w:lineRule="exact"/>
        <w:rPr>
          <w:sz w:val="20"/>
          <w:szCs w:val="20"/>
          <w:color w:val="auto"/>
        </w:rPr>
      </w:pPr>
    </w:p>
    <w:p>
      <w:pPr>
        <w:ind w:left="8" w:right="20" w:firstLine="423"/>
        <w:spacing w:after="0" w:line="323" w:lineRule="auto"/>
        <w:rPr>
          <w:sz w:val="20"/>
          <w:szCs w:val="20"/>
          <w:color w:val="auto"/>
        </w:rPr>
      </w:pPr>
      <w:r>
        <w:rPr>
          <w:rFonts w:ascii="Arial" w:cs="Arial" w:eastAsia="Arial" w:hAnsi="Arial"/>
          <w:sz w:val="11"/>
          <w:szCs w:val="11"/>
          <w:color w:val="auto"/>
        </w:rPr>
        <w:t>The prior years’ provision for unpaid losses and loss adjustment expenses decreased by $582 during the six months ended June 30, 2018, compared to a decrease of $4,966 during the six months ended June 30, 2017. Increases and decreases are generally the result of ongoing analysis of loss development trends. As additional information becomes known regarding individual claims, original estimates are increased or decreased accordingly.</w:t>
      </w:r>
    </w:p>
    <w:p>
      <w:pPr>
        <w:spacing w:after="0" w:line="92"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9234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2340" cy="17145"/>
                    </a:xfrm>
                    <a:prstGeom prst="rect">
                      <a:avLst/>
                    </a:prstGeom>
                    <a:noFill/>
                  </pic:spPr>
                </pic:pic>
              </a:graphicData>
            </a:graphic>
          </wp:anchor>
        </w:drawing>
      </w:r>
    </w:p>
    <w:p>
      <w:pPr>
        <w:sectPr>
          <w:pgSz w:w="11900" w:h="16838" w:orient="portrait"/>
          <w:cols w:equalWidth="0" w:num="1">
            <w:col w:w="11488"/>
          </w:cols>
          <w:pgMar w:left="212" w:top="197" w:right="199" w:bottom="1440" w:gutter="0" w:footer="0" w:header="0"/>
          <w:type w:val="continuous"/>
        </w:sectPr>
      </w:pPr>
    </w:p>
    <w:bookmarkStart w:id="24" w:name="page25"/>
    <w:bookmarkEnd w:id="24"/>
    <w:p>
      <w:pPr>
        <w:ind w:left="8"/>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NI Holdings, Inc.</w:t>
      </w:r>
    </w:p>
    <w:p>
      <w:pPr>
        <w:spacing w:after="0" w:line="5" w:lineRule="exact"/>
        <w:rPr>
          <w:sz w:val="20"/>
          <w:szCs w:val="20"/>
          <w:color w:val="auto"/>
        </w:rPr>
      </w:pPr>
    </w:p>
    <w:p>
      <w:pPr>
        <w:ind w:left="4348"/>
        <w:spacing w:after="0"/>
        <w:rPr>
          <w:sz w:val="20"/>
          <w:szCs w:val="20"/>
          <w:color w:val="auto"/>
        </w:rPr>
      </w:pPr>
      <w:r>
        <w:rPr>
          <w:rFonts w:ascii="Arial" w:cs="Arial" w:eastAsia="Arial" w:hAnsi="Arial"/>
          <w:sz w:val="12"/>
          <w:szCs w:val="12"/>
          <w:b w:val="1"/>
          <w:bCs w:val="1"/>
          <w:color w:val="auto"/>
        </w:rPr>
        <w:t>Notes to Unaudited Consolidated Financial Statements</w:t>
      </w:r>
    </w:p>
    <w:p>
      <w:pPr>
        <w:spacing w:after="0" w:line="6" w:lineRule="exact"/>
        <w:rPr>
          <w:sz w:val="20"/>
          <w:szCs w:val="20"/>
          <w:color w:val="auto"/>
        </w:rPr>
      </w:pPr>
    </w:p>
    <w:p>
      <w:pPr>
        <w:ind w:left="4268"/>
        <w:spacing w:after="0"/>
        <w:rPr>
          <w:sz w:val="20"/>
          <w:szCs w:val="20"/>
          <w:color w:val="auto"/>
        </w:rPr>
      </w:pPr>
      <w:r>
        <w:rPr>
          <w:rFonts w:ascii="Arial" w:cs="Arial" w:eastAsia="Arial" w:hAnsi="Arial"/>
          <w:sz w:val="12"/>
          <w:szCs w:val="12"/>
          <w:b w:val="1"/>
          <w:bCs w:val="1"/>
          <w:color w:val="auto"/>
        </w:rPr>
        <w:t>(dollar amounts in thousands, except per share amounts)</w:t>
      </w:r>
    </w:p>
    <w:p>
      <w:pPr>
        <w:spacing w:after="0" w:line="281" w:lineRule="exact"/>
        <w:rPr>
          <w:sz w:val="20"/>
          <w:szCs w:val="20"/>
          <w:color w:val="auto"/>
        </w:rPr>
      </w:pPr>
    </w:p>
    <w:p>
      <w:pPr>
        <w:ind w:left="428" w:hanging="428"/>
        <w:spacing w:after="0"/>
        <w:tabs>
          <w:tab w:leader="none" w:pos="428" w:val="left"/>
        </w:tabs>
        <w:numPr>
          <w:ilvl w:val="0"/>
          <w:numId w:val="16"/>
        </w:numPr>
        <w:rPr>
          <w:rFonts w:ascii="Arial" w:cs="Arial" w:eastAsia="Arial" w:hAnsi="Arial"/>
          <w:sz w:val="12"/>
          <w:szCs w:val="12"/>
          <w:b w:val="1"/>
          <w:bCs w:val="1"/>
          <w:color w:val="auto"/>
        </w:rPr>
      </w:pPr>
      <w:r>
        <w:rPr>
          <w:rFonts w:ascii="Arial" w:cs="Arial" w:eastAsia="Arial" w:hAnsi="Arial"/>
          <w:sz w:val="12"/>
          <w:szCs w:val="12"/>
          <w:b w:val="1"/>
          <w:bCs w:val="1"/>
          <w:color w:val="auto"/>
        </w:rPr>
        <w:t>Property and Equipment</w:t>
      </w:r>
    </w:p>
    <w:p>
      <w:pPr>
        <w:spacing w:after="0" w:line="154" w:lineRule="exact"/>
        <w:rPr>
          <w:rFonts w:ascii="Arial" w:cs="Arial" w:eastAsia="Arial" w:hAnsi="Arial"/>
          <w:sz w:val="12"/>
          <w:szCs w:val="12"/>
          <w:b w:val="1"/>
          <w:bCs w:val="1"/>
          <w:color w:val="auto"/>
        </w:rPr>
      </w:pPr>
    </w:p>
    <w:p>
      <w:pPr>
        <w:ind w:left="428"/>
        <w:spacing w:after="0"/>
        <w:rPr>
          <w:rFonts w:ascii="Arial" w:cs="Arial" w:eastAsia="Arial" w:hAnsi="Arial"/>
          <w:sz w:val="12"/>
          <w:szCs w:val="12"/>
          <w:b w:val="1"/>
          <w:bCs w:val="1"/>
          <w:color w:val="auto"/>
        </w:rPr>
      </w:pPr>
      <w:r>
        <w:rPr>
          <w:rFonts w:ascii="Arial" w:cs="Arial" w:eastAsia="Arial" w:hAnsi="Arial"/>
          <w:sz w:val="12"/>
          <w:szCs w:val="12"/>
          <w:color w:val="auto"/>
        </w:rPr>
        <w:t>Property and equipment consisted of the following:</w:t>
      </w:r>
    </w:p>
    <w:p>
      <w:pPr>
        <w:spacing w:after="0" w:line="83"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June 30, 2018</w:t>
            </w:r>
          </w:p>
        </w:tc>
        <w:tc>
          <w:tcPr>
            <w:tcW w:w="100" w:type="dxa"/>
            <w:vAlign w:val="bottom"/>
          </w:tcPr>
          <w:p>
            <w:pPr>
              <w:spacing w:after="0"/>
              <w:rPr>
                <w:sz w:val="13"/>
                <w:szCs w:val="13"/>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w w:val="92"/>
              </w:rPr>
              <w:t>December 31, 2017</w:t>
            </w:r>
          </w:p>
        </w:tc>
        <w:tc>
          <w:tcPr>
            <w:tcW w:w="1380" w:type="dxa"/>
            <w:vAlign w:val="bottom"/>
          </w:tcPr>
          <w:p>
            <w:pPr>
              <w:jc w:val="right"/>
              <w:ind w:right="80"/>
              <w:spacing w:after="0"/>
              <w:rPr>
                <w:sz w:val="20"/>
                <w:szCs w:val="20"/>
                <w:color w:val="auto"/>
              </w:rPr>
            </w:pPr>
            <w:r>
              <w:rPr>
                <w:rFonts w:ascii="Arial" w:cs="Arial" w:eastAsia="Arial" w:hAnsi="Arial"/>
                <w:sz w:val="12"/>
                <w:szCs w:val="12"/>
                <w:b w:val="1"/>
                <w:bCs w:val="1"/>
                <w:color w:val="auto"/>
                <w:w w:val="99"/>
              </w:rPr>
              <w:t>Estimated Useful Life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1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Cost:</w:t>
            </w:r>
          </w:p>
        </w:tc>
        <w:tc>
          <w:tcPr>
            <w:tcW w:w="16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3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00" w:type="dxa"/>
            <w:vAlign w:val="bottom"/>
          </w:tcPr>
          <w:p>
            <w:pPr>
              <w:ind w:left="80"/>
              <w:spacing w:after="0"/>
              <w:rPr>
                <w:sz w:val="20"/>
                <w:szCs w:val="20"/>
                <w:color w:val="auto"/>
              </w:rPr>
            </w:pPr>
            <w:r>
              <w:rPr>
                <w:rFonts w:ascii="Arial" w:cs="Arial" w:eastAsia="Arial" w:hAnsi="Arial"/>
                <w:sz w:val="12"/>
                <w:szCs w:val="12"/>
                <w:color w:val="auto"/>
              </w:rPr>
              <w:t>Real estate</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240"/>
              <w:spacing w:after="0"/>
              <w:rPr>
                <w:sz w:val="20"/>
                <w:szCs w:val="20"/>
                <w:color w:val="auto"/>
              </w:rPr>
            </w:pPr>
            <w:r>
              <w:rPr>
                <w:rFonts w:ascii="Arial" w:cs="Arial" w:eastAsia="Arial" w:hAnsi="Arial"/>
                <w:sz w:val="12"/>
                <w:szCs w:val="12"/>
                <w:color w:val="auto"/>
              </w:rPr>
              <w:t>10,857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10,633</w:t>
            </w:r>
          </w:p>
        </w:tc>
        <w:tc>
          <w:tcPr>
            <w:tcW w:w="1380" w:type="dxa"/>
            <w:vAlign w:val="bottom"/>
          </w:tcPr>
          <w:p>
            <w:pPr>
              <w:jc w:val="right"/>
              <w:spacing w:after="0"/>
              <w:rPr>
                <w:sz w:val="20"/>
                <w:szCs w:val="20"/>
                <w:color w:val="auto"/>
              </w:rPr>
            </w:pPr>
            <w:r>
              <w:rPr>
                <w:rFonts w:ascii="Arial" w:cs="Arial" w:eastAsia="Arial" w:hAnsi="Arial"/>
                <w:sz w:val="12"/>
                <w:szCs w:val="12"/>
                <w:color w:val="auto"/>
              </w:rPr>
              <w:t>10 - 31 years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00" w:type="dxa"/>
            <w:vAlign w:val="bottom"/>
            <w:shd w:val="clear" w:color="auto" w:fill="CCEEFF"/>
          </w:tcPr>
          <w:p>
            <w:pPr>
              <w:ind w:left="80"/>
              <w:spacing w:after="0"/>
              <w:rPr>
                <w:sz w:val="20"/>
                <w:szCs w:val="20"/>
                <w:color w:val="auto"/>
              </w:rPr>
            </w:pPr>
            <w:r>
              <w:rPr>
                <w:rFonts w:ascii="Arial" w:cs="Arial" w:eastAsia="Arial" w:hAnsi="Arial"/>
                <w:sz w:val="12"/>
                <w:szCs w:val="12"/>
                <w:color w:val="auto"/>
              </w:rPr>
              <w:t>Electronic data processing equipment</w:t>
            </w:r>
          </w:p>
        </w:tc>
        <w:tc>
          <w:tcPr>
            <w:tcW w:w="1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1,423</w:t>
            </w: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1,288</w:t>
            </w: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 years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100" w:type="dxa"/>
            <w:vAlign w:val="bottom"/>
          </w:tcPr>
          <w:p>
            <w:pPr>
              <w:ind w:left="80"/>
              <w:spacing w:after="0"/>
              <w:rPr>
                <w:sz w:val="20"/>
                <w:szCs w:val="20"/>
                <w:color w:val="auto"/>
              </w:rPr>
            </w:pPr>
            <w:r>
              <w:rPr>
                <w:rFonts w:ascii="Arial" w:cs="Arial" w:eastAsia="Arial" w:hAnsi="Arial"/>
                <w:sz w:val="12"/>
                <w:szCs w:val="12"/>
                <w:color w:val="auto"/>
              </w:rPr>
              <w:t>Furniture and fixtures</w:t>
            </w:r>
          </w:p>
        </w:tc>
        <w:tc>
          <w:tcPr>
            <w:tcW w:w="160" w:type="dxa"/>
            <w:vAlign w:val="bottom"/>
          </w:tcPr>
          <w:p>
            <w:pPr>
              <w:spacing w:after="0"/>
              <w:rPr>
                <w:sz w:val="12"/>
                <w:szCs w:val="12"/>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2"/>
                <w:szCs w:val="12"/>
                <w:color w:val="auto"/>
              </w:rPr>
              <w:t>3,536</w:t>
            </w:r>
          </w:p>
        </w:tc>
        <w:tc>
          <w:tcPr>
            <w:tcW w:w="100" w:type="dxa"/>
            <w:vAlign w:val="bottom"/>
          </w:tcPr>
          <w:p>
            <w:pPr>
              <w:spacing w:after="0"/>
              <w:rPr>
                <w:sz w:val="12"/>
                <w:szCs w:val="1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3,511</w:t>
            </w:r>
          </w:p>
        </w:tc>
        <w:tc>
          <w:tcPr>
            <w:tcW w:w="1380" w:type="dxa"/>
            <w:vAlign w:val="bottom"/>
          </w:tcPr>
          <w:p>
            <w:pPr>
              <w:jc w:val="right"/>
              <w:spacing w:after="0"/>
              <w:rPr>
                <w:sz w:val="20"/>
                <w:szCs w:val="20"/>
                <w:color w:val="auto"/>
              </w:rPr>
            </w:pPr>
            <w:r>
              <w:rPr>
                <w:rFonts w:ascii="Arial" w:cs="Arial" w:eastAsia="Arial" w:hAnsi="Arial"/>
                <w:sz w:val="12"/>
                <w:szCs w:val="12"/>
                <w:color w:val="auto"/>
              </w:rPr>
              <w:t>5-7 years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100" w:type="dxa"/>
            <w:vAlign w:val="bottom"/>
            <w:shd w:val="clear" w:color="auto" w:fill="CCEEFF"/>
          </w:tcPr>
          <w:p>
            <w:pPr>
              <w:ind w:left="80"/>
              <w:spacing w:after="0"/>
              <w:rPr>
                <w:sz w:val="20"/>
                <w:szCs w:val="20"/>
                <w:color w:val="auto"/>
              </w:rPr>
            </w:pPr>
            <w:r>
              <w:rPr>
                <w:rFonts w:ascii="Arial" w:cs="Arial" w:eastAsia="Arial" w:hAnsi="Arial"/>
                <w:sz w:val="12"/>
                <w:szCs w:val="12"/>
                <w:color w:val="auto"/>
              </w:rPr>
              <w:t>Automobiles</w:t>
            </w:r>
          </w:p>
        </w:tc>
        <w:tc>
          <w:tcPr>
            <w:tcW w:w="16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1,589</w:t>
            </w:r>
          </w:p>
        </w:tc>
        <w:tc>
          <w:tcPr>
            <w:tcW w:w="10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1,595</w:t>
            </w: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 years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100" w:type="dxa"/>
            <w:vAlign w:val="bottom"/>
          </w:tcPr>
          <w:p>
            <w:pPr>
              <w:ind w:left="180"/>
              <w:spacing w:after="0" w:line="133" w:lineRule="exact"/>
              <w:rPr>
                <w:sz w:val="20"/>
                <w:szCs w:val="20"/>
                <w:color w:val="auto"/>
              </w:rPr>
            </w:pPr>
            <w:r>
              <w:rPr>
                <w:rFonts w:ascii="Arial" w:cs="Arial" w:eastAsia="Arial" w:hAnsi="Arial"/>
                <w:sz w:val="12"/>
                <w:szCs w:val="12"/>
                <w:color w:val="auto"/>
              </w:rPr>
              <w:t>Gross cost</w:t>
            </w:r>
          </w:p>
        </w:tc>
        <w:tc>
          <w:tcPr>
            <w:tcW w:w="1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17,405</w:t>
            </w: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17,027</w:t>
            </w:r>
          </w:p>
        </w:tc>
        <w:tc>
          <w:tcPr>
            <w:tcW w:w="2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7100" w:type="dxa"/>
            <w:vAlign w:val="bottom"/>
          </w:tcPr>
          <w:p>
            <w:pPr>
              <w:spacing w:after="0"/>
              <w:rPr>
                <w:sz w:val="20"/>
                <w:szCs w:val="20"/>
                <w:color w:val="auto"/>
              </w:rPr>
            </w:pPr>
            <w:r>
              <w:rPr>
                <w:rFonts w:ascii="Arial" w:cs="Arial" w:eastAsia="Arial" w:hAnsi="Arial"/>
                <w:sz w:val="12"/>
                <w:szCs w:val="12"/>
                <w:color w:val="auto"/>
              </w:rPr>
              <w:t>Accumulated depreciation</w:t>
            </w:r>
          </w:p>
        </w:tc>
        <w:tc>
          <w:tcPr>
            <w:tcW w:w="160" w:type="dxa"/>
            <w:vAlign w:val="bottom"/>
          </w:tcPr>
          <w:p>
            <w:pPr>
              <w:spacing w:after="0"/>
              <w:rPr>
                <w:sz w:val="13"/>
                <w:szCs w:val="1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2"/>
                <w:szCs w:val="12"/>
                <w:color w:val="auto"/>
              </w:rPr>
              <w:t>(11,386)</w:t>
            </w:r>
          </w:p>
        </w:tc>
        <w:tc>
          <w:tcPr>
            <w:tcW w:w="100" w:type="dxa"/>
            <w:vAlign w:val="bottom"/>
          </w:tcPr>
          <w:p>
            <w:pPr>
              <w:spacing w:after="0"/>
              <w:rPr>
                <w:sz w:val="13"/>
                <w:szCs w:val="13"/>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2"/>
                <w:szCs w:val="12"/>
                <w:color w:val="auto"/>
              </w:rPr>
              <w:t>(11,150)</w:t>
            </w: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vMerge w:val="restart"/>
            <w:shd w:val="clear" w:color="auto" w:fill="CCEEFF"/>
          </w:tcPr>
          <w:p>
            <w:pPr>
              <w:ind w:left="180"/>
              <w:spacing w:after="0"/>
              <w:rPr>
                <w:sz w:val="20"/>
                <w:szCs w:val="20"/>
                <w:color w:val="auto"/>
              </w:rPr>
            </w:pPr>
            <w:r>
              <w:rPr>
                <w:rFonts w:ascii="Arial" w:cs="Arial" w:eastAsia="Arial" w:hAnsi="Arial"/>
                <w:sz w:val="12"/>
                <w:szCs w:val="12"/>
                <w:color w:val="auto"/>
              </w:rPr>
              <w:t>Total property and equipment, net</w:t>
            </w: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10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6,019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5,877</w:t>
            </w:r>
          </w:p>
        </w:tc>
        <w:tc>
          <w:tcPr>
            <w:tcW w:w="1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428"/>
        <w:spacing w:after="0"/>
        <w:rPr>
          <w:sz w:val="20"/>
          <w:szCs w:val="20"/>
          <w:color w:val="auto"/>
        </w:rPr>
      </w:pPr>
      <w:r>
        <w:rPr>
          <w:rFonts w:ascii="Arial" w:cs="Arial" w:eastAsia="Arial" w:hAnsi="Arial"/>
          <w:sz w:val="12"/>
          <w:szCs w:val="12"/>
          <w:color w:val="auto"/>
        </w:rPr>
        <w:t>Depreciation expense was $104 and $125 for the three months ended June 30, 2018 and 2017, respectively, and $243 and $249 for the six months ended June 30, 2018 and 2017, respectively.</w:t>
      </w:r>
    </w:p>
    <w:p>
      <w:pPr>
        <w:spacing w:after="0" w:line="146" w:lineRule="exact"/>
        <w:rPr>
          <w:sz w:val="20"/>
          <w:szCs w:val="20"/>
          <w:color w:val="auto"/>
        </w:rPr>
      </w:pPr>
    </w:p>
    <w:p>
      <w:pPr>
        <w:ind w:left="428" w:hanging="428"/>
        <w:spacing w:after="0"/>
        <w:tabs>
          <w:tab w:leader="none" w:pos="428" w:val="left"/>
        </w:tabs>
        <w:numPr>
          <w:ilvl w:val="0"/>
          <w:numId w:val="17"/>
        </w:numPr>
        <w:rPr>
          <w:rFonts w:ascii="Arial" w:cs="Arial" w:eastAsia="Arial" w:hAnsi="Arial"/>
          <w:sz w:val="12"/>
          <w:szCs w:val="12"/>
          <w:b w:val="1"/>
          <w:bCs w:val="1"/>
          <w:color w:val="auto"/>
        </w:rPr>
      </w:pPr>
      <w:r>
        <w:rPr>
          <w:rFonts w:ascii="Arial" w:cs="Arial" w:eastAsia="Arial" w:hAnsi="Arial"/>
          <w:sz w:val="12"/>
          <w:szCs w:val="12"/>
          <w:b w:val="1"/>
          <w:bCs w:val="1"/>
          <w:color w:val="auto"/>
        </w:rPr>
        <w:t>Related Party Transactions</w:t>
      </w:r>
    </w:p>
    <w:p>
      <w:pPr>
        <w:spacing w:after="0" w:line="82" w:lineRule="exact"/>
        <w:rPr>
          <w:sz w:val="20"/>
          <w:szCs w:val="20"/>
          <w:color w:val="auto"/>
        </w:rPr>
      </w:pPr>
    </w:p>
    <w:p>
      <w:pPr>
        <w:ind w:left="8" w:right="20" w:firstLine="424"/>
        <w:spacing w:after="0" w:line="298" w:lineRule="auto"/>
        <w:rPr>
          <w:sz w:val="20"/>
          <w:szCs w:val="20"/>
          <w:color w:val="auto"/>
        </w:rPr>
      </w:pPr>
      <w:r>
        <w:rPr>
          <w:rFonts w:ascii="Arial" w:cs="Arial" w:eastAsia="Arial" w:hAnsi="Arial"/>
          <w:sz w:val="11"/>
          <w:szCs w:val="11"/>
          <w:color w:val="auto"/>
        </w:rPr>
        <w:t>We were organized by the NDFB to provide insurance protection for its members. We have a royalty agreement with the NDFB that recognizes the use of their trademark and provides royalties to the NDFB based on the premiums written on Nodak Insurance’s insurance policies. Royalties paid to the NDFB were $375 and $357 during the three months ended June 30, 2018 and 2017, respectively. Royalties paid to the NDFB were $682 and $651 during the six months ended June 30, 2018 and 2017, respectively. Royalty amounts payable of $166 and $99 were accrued as a liability to the NDFB at June 30, 2018 and December 31, 2017, respectively.</w:t>
      </w:r>
    </w:p>
    <w:p>
      <w:pPr>
        <w:spacing w:after="0" w:line="33" w:lineRule="exact"/>
        <w:rPr>
          <w:sz w:val="20"/>
          <w:szCs w:val="20"/>
          <w:color w:val="auto"/>
        </w:rPr>
      </w:pPr>
    </w:p>
    <w:p>
      <w:pPr>
        <w:ind w:left="8" w:right="40" w:firstLine="424"/>
        <w:spacing w:after="0" w:line="259" w:lineRule="auto"/>
        <w:rPr>
          <w:sz w:val="20"/>
          <w:szCs w:val="20"/>
          <w:color w:val="auto"/>
        </w:rPr>
      </w:pPr>
      <w:r>
        <w:rPr>
          <w:rFonts w:ascii="Arial" w:cs="Arial" w:eastAsia="Arial" w:hAnsi="Arial"/>
          <w:sz w:val="12"/>
          <w:szCs w:val="12"/>
          <w:color w:val="auto"/>
        </w:rPr>
        <w:t>State insurance laws require our insurance subsidiaries to maintain certain minimum capital and surplus amounts on a statutory basis. Our insurance subsidiaries are subject to regulations that restrict the payment of dividends from statutory surplus and may require prior approval from their domiciliary insurance regulatory authorities. Our insurance subsidiaries are also subject to risk-based capital (“RBC”) requirements that may further affect their ability to pay dividends. Our insurance subsidiaries statutory capital and surplus at December 31, 2017 exceeded the amount of statutory capital and surplus necessary to satisfy regulatory requirements, including the RBC requirements, by a significant margin.</w:t>
      </w:r>
    </w:p>
    <w:p>
      <w:pPr>
        <w:spacing w:after="0" w:line="53" w:lineRule="exact"/>
        <w:rPr>
          <w:sz w:val="20"/>
          <w:szCs w:val="20"/>
          <w:color w:val="auto"/>
        </w:rPr>
      </w:pPr>
    </w:p>
    <w:p>
      <w:pPr>
        <w:ind w:left="8" w:right="40" w:firstLine="424"/>
        <w:spacing w:after="0" w:line="257" w:lineRule="auto"/>
        <w:rPr>
          <w:sz w:val="20"/>
          <w:szCs w:val="20"/>
          <w:color w:val="auto"/>
        </w:rPr>
      </w:pPr>
      <w:r>
        <w:rPr>
          <w:rFonts w:ascii="Arial" w:cs="Arial" w:eastAsia="Arial" w:hAnsi="Arial"/>
          <w:sz w:val="12"/>
          <w:szCs w:val="12"/>
          <w:color w:val="auto"/>
        </w:rPr>
        <w:t>The amount available for payment of dividends from Nodak Insurance to NI Holdings after the conversion without the prior approval of the North Dakota Insurance Department is $15,654 based upon the policyholders’ surplus of Nodak Insurance at December 31, 2017. Prior to its payment of any extraordinary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Nodak Insurance is in violation of any law or regulation. These restrictions or any subsequently imposed restrictions may affect our future liquidity. No dividends were declared or paid by Nodak Insurance during the six months ended June 30, 2018 or the year ended December 31, 2017.</w:t>
      </w:r>
    </w:p>
    <w:p>
      <w:pPr>
        <w:spacing w:after="0" w:line="342"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9234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2340" cy="17145"/>
                    </a:xfrm>
                    <a:prstGeom prst="rect">
                      <a:avLst/>
                    </a:prstGeom>
                    <a:noFill/>
                  </pic:spPr>
                </pic:pic>
              </a:graphicData>
            </a:graphic>
          </wp:anchor>
        </w:drawing>
      </w:r>
    </w:p>
    <w:p>
      <w:pPr>
        <w:sectPr>
          <w:pgSz w:w="11900" w:h="16838" w:orient="portrait"/>
          <w:cols w:equalWidth="0" w:num="1">
            <w:col w:w="11488"/>
          </w:cols>
          <w:pgMar w:left="212" w:top="197" w:right="199" w:bottom="1440" w:gutter="0" w:footer="0" w:header="0"/>
        </w:sectPr>
      </w:pPr>
    </w:p>
    <w:bookmarkStart w:id="25" w:name="page26"/>
    <w:bookmarkEnd w:id="25"/>
    <w:p>
      <w:pPr>
        <w:ind w:left="8"/>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NI Holdings, Inc.</w:t>
      </w:r>
    </w:p>
    <w:p>
      <w:pPr>
        <w:spacing w:after="0" w:line="5" w:lineRule="exact"/>
        <w:rPr>
          <w:sz w:val="20"/>
          <w:szCs w:val="20"/>
          <w:color w:val="auto"/>
        </w:rPr>
      </w:pPr>
    </w:p>
    <w:p>
      <w:pPr>
        <w:ind w:left="4348"/>
        <w:spacing w:after="0"/>
        <w:rPr>
          <w:sz w:val="20"/>
          <w:szCs w:val="20"/>
          <w:color w:val="auto"/>
        </w:rPr>
      </w:pPr>
      <w:r>
        <w:rPr>
          <w:rFonts w:ascii="Arial" w:cs="Arial" w:eastAsia="Arial" w:hAnsi="Arial"/>
          <w:sz w:val="12"/>
          <w:szCs w:val="12"/>
          <w:b w:val="1"/>
          <w:bCs w:val="1"/>
          <w:color w:val="auto"/>
        </w:rPr>
        <w:t>Notes to Unaudited Consolidated Financial Statements</w:t>
      </w:r>
    </w:p>
    <w:p>
      <w:pPr>
        <w:spacing w:after="0" w:line="6" w:lineRule="exact"/>
        <w:rPr>
          <w:sz w:val="20"/>
          <w:szCs w:val="20"/>
          <w:color w:val="auto"/>
        </w:rPr>
      </w:pPr>
    </w:p>
    <w:p>
      <w:pPr>
        <w:ind w:left="4268"/>
        <w:spacing w:after="0"/>
        <w:rPr>
          <w:sz w:val="20"/>
          <w:szCs w:val="20"/>
          <w:color w:val="auto"/>
        </w:rPr>
      </w:pPr>
      <w:r>
        <w:rPr>
          <w:rFonts w:ascii="Arial" w:cs="Arial" w:eastAsia="Arial" w:hAnsi="Arial"/>
          <w:sz w:val="12"/>
          <w:szCs w:val="12"/>
          <w:b w:val="1"/>
          <w:bCs w:val="1"/>
          <w:color w:val="auto"/>
        </w:rPr>
        <w:t>(dollar amounts in thousands, except per share amounts)</w:t>
      </w:r>
    </w:p>
    <w:p>
      <w:pPr>
        <w:spacing w:after="0" w:line="358"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8600" w:type="dxa"/>
            <w:vAlign w:val="bottom"/>
          </w:tcPr>
          <w:p>
            <w:pPr>
              <w:ind w:left="400"/>
              <w:spacing w:after="0"/>
              <w:rPr>
                <w:sz w:val="20"/>
                <w:szCs w:val="20"/>
                <w:color w:val="auto"/>
              </w:rPr>
            </w:pPr>
            <w:r>
              <w:rPr>
                <w:rFonts w:ascii="Arial" w:cs="Arial" w:eastAsia="Arial" w:hAnsi="Arial"/>
                <w:sz w:val="12"/>
                <w:szCs w:val="12"/>
                <w:color w:val="auto"/>
              </w:rPr>
              <w:t>The following table illustrates the impact of including Battle Creek in our Consolidated Balance Sheets prior to intercompany eliminations:</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June 30, 2018</w:t>
            </w:r>
          </w:p>
        </w:tc>
        <w:tc>
          <w:tcPr>
            <w:tcW w:w="10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0"/>
              </w:rPr>
              <w:t>December 31, 2017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6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Assets:</w:t>
            </w:r>
          </w:p>
        </w:tc>
        <w:tc>
          <w:tcPr>
            <w:tcW w:w="16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600" w:type="dxa"/>
            <w:vAlign w:val="bottom"/>
          </w:tcPr>
          <w:p>
            <w:pPr>
              <w:ind w:left="60"/>
              <w:spacing w:after="0"/>
              <w:rPr>
                <w:sz w:val="20"/>
                <w:szCs w:val="20"/>
                <w:color w:val="auto"/>
              </w:rPr>
            </w:pPr>
            <w:r>
              <w:rPr>
                <w:rFonts w:ascii="Arial" w:cs="Arial" w:eastAsia="Arial" w:hAnsi="Arial"/>
                <w:sz w:val="12"/>
                <w:szCs w:val="12"/>
                <w:color w:val="auto"/>
              </w:rPr>
              <w:t>Cash and cash equivalents (overdraft)</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240"/>
              <w:spacing w:after="0"/>
              <w:rPr>
                <w:sz w:val="20"/>
                <w:szCs w:val="20"/>
                <w:color w:val="auto"/>
              </w:rPr>
            </w:pPr>
            <w:r>
              <w:rPr>
                <w:rFonts w:ascii="Arial" w:cs="Arial" w:eastAsia="Arial" w:hAnsi="Arial"/>
                <w:sz w:val="12"/>
                <w:szCs w:val="12"/>
                <w:color w:val="auto"/>
              </w:rPr>
              <w:t>606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80"/>
              <w:spacing w:after="0"/>
              <w:rPr>
                <w:sz w:val="20"/>
                <w:szCs w:val="20"/>
                <w:color w:val="auto"/>
              </w:rPr>
            </w:pPr>
            <w:r>
              <w:rPr>
                <w:rFonts w:ascii="Arial" w:cs="Arial" w:eastAsia="Arial" w:hAnsi="Arial"/>
                <w:sz w:val="12"/>
                <w:szCs w:val="12"/>
                <w:color w:val="auto"/>
              </w:rPr>
              <w:t>(726)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600" w:type="dxa"/>
            <w:vAlign w:val="bottom"/>
            <w:shd w:val="clear" w:color="auto" w:fill="CCEEFF"/>
          </w:tcPr>
          <w:p>
            <w:pPr>
              <w:ind w:left="60"/>
              <w:spacing w:after="0"/>
              <w:rPr>
                <w:sz w:val="20"/>
                <w:szCs w:val="20"/>
                <w:color w:val="auto"/>
              </w:rPr>
            </w:pPr>
            <w:r>
              <w:rPr>
                <w:rFonts w:ascii="Arial" w:cs="Arial" w:eastAsia="Arial" w:hAnsi="Arial"/>
                <w:sz w:val="12"/>
                <w:szCs w:val="12"/>
                <w:color w:val="auto"/>
              </w:rPr>
              <w:t>Investments</w:t>
            </w:r>
          </w:p>
        </w:tc>
        <w:tc>
          <w:tcPr>
            <w:tcW w:w="1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4,395</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4,364</w:t>
            </w:r>
          </w:p>
        </w:tc>
        <w:tc>
          <w:tcPr>
            <w:tcW w:w="12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600" w:type="dxa"/>
            <w:vAlign w:val="bottom"/>
          </w:tcPr>
          <w:p>
            <w:pPr>
              <w:ind w:left="60"/>
              <w:spacing w:after="0"/>
              <w:rPr>
                <w:sz w:val="20"/>
                <w:szCs w:val="20"/>
                <w:color w:val="auto"/>
              </w:rPr>
            </w:pPr>
            <w:r>
              <w:rPr>
                <w:rFonts w:ascii="Arial" w:cs="Arial" w:eastAsia="Arial" w:hAnsi="Arial"/>
                <w:sz w:val="12"/>
                <w:szCs w:val="12"/>
                <w:color w:val="auto"/>
              </w:rPr>
              <w:t>Premiums and agents’ balances receivable</w:t>
            </w:r>
          </w:p>
        </w:tc>
        <w:tc>
          <w:tcPr>
            <w:tcW w:w="160" w:type="dxa"/>
            <w:vAlign w:val="bottom"/>
          </w:tcPr>
          <w:p>
            <w:pPr>
              <w:spacing w:after="0"/>
              <w:rPr>
                <w:sz w:val="12"/>
                <w:szCs w:val="12"/>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2"/>
                <w:szCs w:val="12"/>
                <w:color w:val="auto"/>
              </w:rPr>
              <w:t>4,522</w:t>
            </w:r>
          </w:p>
        </w:tc>
        <w:tc>
          <w:tcPr>
            <w:tcW w:w="1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4,055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0" w:type="dxa"/>
            <w:vAlign w:val="bottom"/>
            <w:shd w:val="clear" w:color="auto" w:fill="CCEEFF"/>
          </w:tcPr>
          <w:p>
            <w:pPr>
              <w:ind w:left="60"/>
              <w:spacing w:after="0" w:line="171" w:lineRule="exact"/>
              <w:rPr>
                <w:sz w:val="20"/>
                <w:szCs w:val="20"/>
                <w:color w:val="auto"/>
              </w:rPr>
            </w:pPr>
            <w:r>
              <w:rPr>
                <w:rFonts w:ascii="Arial" w:cs="Arial" w:eastAsia="Arial" w:hAnsi="Arial"/>
                <w:sz w:val="12"/>
                <w:szCs w:val="12"/>
                <w:color w:val="auto"/>
              </w:rPr>
              <w:t xml:space="preserve">Reinsurance recoverables on losses </w:t>
            </w:r>
            <w:r>
              <w:rPr>
                <w:rFonts w:ascii="Arial" w:cs="Arial" w:eastAsia="Arial" w:hAnsi="Arial"/>
                <w:sz w:val="19"/>
                <w:szCs w:val="19"/>
                <w:color w:val="auto"/>
                <w:vertAlign w:val="superscript"/>
              </w:rPr>
              <w:t>(1)</w:t>
            </w:r>
          </w:p>
        </w:tc>
        <w:tc>
          <w:tcPr>
            <w:tcW w:w="1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24,279</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20,932</w:t>
            </w:r>
          </w:p>
        </w:tc>
        <w:tc>
          <w:tcPr>
            <w:tcW w:w="12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600" w:type="dxa"/>
            <w:vAlign w:val="bottom"/>
          </w:tcPr>
          <w:p>
            <w:pPr>
              <w:ind w:left="60"/>
              <w:spacing w:after="0"/>
              <w:rPr>
                <w:sz w:val="20"/>
                <w:szCs w:val="20"/>
                <w:color w:val="auto"/>
              </w:rPr>
            </w:pPr>
            <w:r>
              <w:rPr>
                <w:rFonts w:ascii="Arial" w:cs="Arial" w:eastAsia="Arial" w:hAnsi="Arial"/>
                <w:sz w:val="12"/>
                <w:szCs w:val="12"/>
                <w:color w:val="auto"/>
              </w:rPr>
              <w:t>Accrued investment income</w:t>
            </w:r>
          </w:p>
        </w:tc>
        <w:tc>
          <w:tcPr>
            <w:tcW w:w="160" w:type="dxa"/>
            <w:vAlign w:val="bottom"/>
          </w:tcPr>
          <w:p>
            <w:pPr>
              <w:spacing w:after="0"/>
              <w:rPr>
                <w:sz w:val="12"/>
                <w:szCs w:val="12"/>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2"/>
                <w:szCs w:val="12"/>
                <w:color w:val="auto"/>
              </w:rPr>
              <w:t>32</w:t>
            </w:r>
          </w:p>
        </w:tc>
        <w:tc>
          <w:tcPr>
            <w:tcW w:w="1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600" w:type="dxa"/>
            <w:vAlign w:val="bottom"/>
            <w:shd w:val="clear" w:color="auto" w:fill="CCEEFF"/>
          </w:tcPr>
          <w:p>
            <w:pPr>
              <w:ind w:left="60"/>
              <w:spacing w:after="0"/>
              <w:rPr>
                <w:sz w:val="20"/>
                <w:szCs w:val="20"/>
                <w:color w:val="auto"/>
              </w:rPr>
            </w:pPr>
            <w:r>
              <w:rPr>
                <w:rFonts w:ascii="Arial" w:cs="Arial" w:eastAsia="Arial" w:hAnsi="Arial"/>
                <w:sz w:val="12"/>
                <w:szCs w:val="12"/>
                <w:color w:val="auto"/>
              </w:rPr>
              <w:t>Deferred income tax asset, net</w:t>
            </w:r>
          </w:p>
        </w:tc>
        <w:tc>
          <w:tcPr>
            <w:tcW w:w="1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395</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389</w:t>
            </w:r>
          </w:p>
        </w:tc>
        <w:tc>
          <w:tcPr>
            <w:tcW w:w="12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600" w:type="dxa"/>
            <w:vAlign w:val="bottom"/>
          </w:tcPr>
          <w:p>
            <w:pPr>
              <w:ind w:left="60"/>
              <w:spacing w:after="0"/>
              <w:rPr>
                <w:sz w:val="20"/>
                <w:szCs w:val="20"/>
                <w:color w:val="auto"/>
              </w:rPr>
            </w:pPr>
            <w:r>
              <w:rPr>
                <w:rFonts w:ascii="Arial" w:cs="Arial" w:eastAsia="Arial" w:hAnsi="Arial"/>
                <w:sz w:val="12"/>
                <w:szCs w:val="12"/>
                <w:color w:val="auto"/>
              </w:rPr>
              <w:t>Property and equipment</w:t>
            </w:r>
          </w:p>
        </w:tc>
        <w:tc>
          <w:tcPr>
            <w:tcW w:w="160" w:type="dxa"/>
            <w:vAlign w:val="bottom"/>
          </w:tcPr>
          <w:p>
            <w:pPr>
              <w:spacing w:after="0"/>
              <w:rPr>
                <w:sz w:val="12"/>
                <w:szCs w:val="12"/>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2"/>
                <w:szCs w:val="12"/>
                <w:color w:val="auto"/>
              </w:rPr>
              <w:t>363</w:t>
            </w:r>
          </w:p>
        </w:tc>
        <w:tc>
          <w:tcPr>
            <w:tcW w:w="1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370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600" w:type="dxa"/>
            <w:vAlign w:val="bottom"/>
            <w:shd w:val="clear" w:color="auto" w:fill="CCEEFF"/>
          </w:tcPr>
          <w:p>
            <w:pPr>
              <w:ind w:left="60"/>
              <w:spacing w:after="0"/>
              <w:rPr>
                <w:sz w:val="20"/>
                <w:szCs w:val="20"/>
                <w:color w:val="auto"/>
              </w:rPr>
            </w:pPr>
            <w:r>
              <w:rPr>
                <w:rFonts w:ascii="Arial" w:cs="Arial" w:eastAsia="Arial" w:hAnsi="Arial"/>
                <w:sz w:val="12"/>
                <w:szCs w:val="12"/>
                <w:color w:val="auto"/>
              </w:rPr>
              <w:t>Other assets</w:t>
            </w:r>
          </w:p>
        </w:tc>
        <w:tc>
          <w:tcPr>
            <w:tcW w:w="16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41</w:t>
            </w: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w:t>
            </w:r>
          </w:p>
        </w:tc>
        <w:tc>
          <w:tcPr>
            <w:tcW w:w="12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vMerge w:val="restart"/>
          </w:tcPr>
          <w:p>
            <w:pPr>
              <w:ind w:left="140"/>
              <w:spacing w:after="0"/>
              <w:rPr>
                <w:sz w:val="20"/>
                <w:szCs w:val="20"/>
                <w:color w:val="auto"/>
              </w:rPr>
            </w:pPr>
            <w:r>
              <w:rPr>
                <w:rFonts w:ascii="Arial" w:cs="Arial" w:eastAsia="Arial" w:hAnsi="Arial"/>
                <w:sz w:val="12"/>
                <w:szCs w:val="12"/>
                <w:color w:val="auto"/>
              </w:rPr>
              <w:t>Total assets</w:t>
            </w: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8600" w:type="dxa"/>
            <w:vAlign w:val="bottom"/>
            <w:vMerge w:val="continue"/>
          </w:tcPr>
          <w:p>
            <w:pPr>
              <w:spacing w:after="0"/>
              <w:rPr>
                <w:sz w:val="12"/>
                <w:szCs w:val="12"/>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240"/>
              <w:spacing w:after="0"/>
              <w:rPr>
                <w:sz w:val="20"/>
                <w:szCs w:val="20"/>
                <w:color w:val="auto"/>
              </w:rPr>
            </w:pPr>
            <w:r>
              <w:rPr>
                <w:rFonts w:ascii="Arial" w:cs="Arial" w:eastAsia="Arial" w:hAnsi="Arial"/>
                <w:sz w:val="12"/>
                <w:szCs w:val="12"/>
                <w:color w:val="auto"/>
              </w:rPr>
              <w:t>34,633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29,467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6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600" w:type="dxa"/>
            <w:vAlign w:val="bottom"/>
          </w:tcPr>
          <w:p>
            <w:pPr>
              <w:spacing w:after="0"/>
              <w:rPr>
                <w:sz w:val="20"/>
                <w:szCs w:val="20"/>
                <w:color w:val="auto"/>
              </w:rPr>
            </w:pPr>
            <w:r>
              <w:rPr>
                <w:rFonts w:ascii="Arial" w:cs="Arial" w:eastAsia="Arial" w:hAnsi="Arial"/>
                <w:sz w:val="12"/>
                <w:szCs w:val="12"/>
                <w:color w:val="auto"/>
              </w:rPr>
              <w:t>Liabilities:</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600" w:type="dxa"/>
            <w:vAlign w:val="bottom"/>
            <w:shd w:val="clear" w:color="auto" w:fill="CCEEFF"/>
          </w:tcPr>
          <w:p>
            <w:pPr>
              <w:ind w:left="60"/>
              <w:spacing w:after="0"/>
              <w:rPr>
                <w:sz w:val="20"/>
                <w:szCs w:val="20"/>
                <w:color w:val="auto"/>
              </w:rPr>
            </w:pPr>
            <w:r>
              <w:rPr>
                <w:rFonts w:ascii="Arial" w:cs="Arial" w:eastAsia="Arial" w:hAnsi="Arial"/>
                <w:sz w:val="12"/>
                <w:szCs w:val="12"/>
                <w:color w:val="auto"/>
              </w:rPr>
              <w:t>Unpaid losses and loss adjustment expenses</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9,575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7,995</w:t>
            </w:r>
          </w:p>
        </w:tc>
        <w:tc>
          <w:tcPr>
            <w:tcW w:w="12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600" w:type="dxa"/>
            <w:vAlign w:val="bottom"/>
          </w:tcPr>
          <w:p>
            <w:pPr>
              <w:ind w:left="60"/>
              <w:spacing w:after="0"/>
              <w:rPr>
                <w:sz w:val="20"/>
                <w:szCs w:val="20"/>
                <w:color w:val="auto"/>
              </w:rPr>
            </w:pPr>
            <w:r>
              <w:rPr>
                <w:rFonts w:ascii="Arial" w:cs="Arial" w:eastAsia="Arial" w:hAnsi="Arial"/>
                <w:sz w:val="12"/>
                <w:szCs w:val="12"/>
                <w:color w:val="auto"/>
              </w:rPr>
              <w:t>Unearned premiums</w:t>
            </w:r>
          </w:p>
        </w:tc>
        <w:tc>
          <w:tcPr>
            <w:tcW w:w="160" w:type="dxa"/>
            <w:vAlign w:val="bottom"/>
          </w:tcPr>
          <w:p>
            <w:pPr>
              <w:spacing w:after="0"/>
              <w:rPr>
                <w:sz w:val="12"/>
                <w:szCs w:val="12"/>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2"/>
                <w:szCs w:val="12"/>
                <w:color w:val="auto"/>
              </w:rPr>
              <w:t>14,731</w:t>
            </w:r>
          </w:p>
        </w:tc>
        <w:tc>
          <w:tcPr>
            <w:tcW w:w="1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12,937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0" w:type="dxa"/>
            <w:vAlign w:val="bottom"/>
            <w:shd w:val="clear" w:color="auto" w:fill="CCEEFF"/>
          </w:tcPr>
          <w:p>
            <w:pPr>
              <w:ind w:left="60"/>
              <w:spacing w:after="0" w:line="171" w:lineRule="exact"/>
              <w:rPr>
                <w:sz w:val="20"/>
                <w:szCs w:val="20"/>
                <w:color w:val="auto"/>
              </w:rPr>
            </w:pPr>
            <w:r>
              <w:rPr>
                <w:rFonts w:ascii="Arial" w:cs="Arial" w:eastAsia="Arial" w:hAnsi="Arial"/>
                <w:sz w:val="12"/>
                <w:szCs w:val="12"/>
                <w:color w:val="auto"/>
              </w:rPr>
              <w:t xml:space="preserve">Notes payable </w:t>
            </w:r>
            <w:r>
              <w:rPr>
                <w:rFonts w:ascii="Arial" w:cs="Arial" w:eastAsia="Arial" w:hAnsi="Arial"/>
                <w:sz w:val="19"/>
                <w:szCs w:val="19"/>
                <w:color w:val="auto"/>
                <w:vertAlign w:val="superscript"/>
              </w:rPr>
              <w:t>(1)</w:t>
            </w:r>
          </w:p>
        </w:tc>
        <w:tc>
          <w:tcPr>
            <w:tcW w:w="1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3,000</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3,000</w:t>
            </w:r>
          </w:p>
        </w:tc>
        <w:tc>
          <w:tcPr>
            <w:tcW w:w="12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0" w:type="dxa"/>
            <w:vAlign w:val="bottom"/>
          </w:tcPr>
          <w:p>
            <w:pPr>
              <w:ind w:left="60"/>
              <w:spacing w:after="0" w:line="171" w:lineRule="exact"/>
              <w:rPr>
                <w:sz w:val="20"/>
                <w:szCs w:val="20"/>
                <w:color w:val="auto"/>
              </w:rPr>
            </w:pPr>
            <w:r>
              <w:rPr>
                <w:rFonts w:ascii="Arial" w:cs="Arial" w:eastAsia="Arial" w:hAnsi="Arial"/>
                <w:sz w:val="12"/>
                <w:szCs w:val="12"/>
                <w:color w:val="auto"/>
              </w:rPr>
              <w:t xml:space="preserve">Reinsurance payable </w:t>
            </w:r>
            <w:r>
              <w:rPr>
                <w:rFonts w:ascii="Arial" w:cs="Arial" w:eastAsia="Arial" w:hAnsi="Arial"/>
                <w:sz w:val="19"/>
                <w:szCs w:val="19"/>
                <w:color w:val="auto"/>
                <w:vertAlign w:val="superscript"/>
              </w:rPr>
              <w:t>(1)</w:t>
            </w:r>
          </w:p>
        </w:tc>
        <w:tc>
          <w:tcPr>
            <w:tcW w:w="160" w:type="dxa"/>
            <w:vAlign w:val="bottom"/>
          </w:tcPr>
          <w:p>
            <w:pPr>
              <w:spacing w:after="0"/>
              <w:rPr>
                <w:sz w:val="14"/>
                <w:szCs w:val="14"/>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2"/>
                <w:szCs w:val="12"/>
                <w:color w:val="auto"/>
              </w:rPr>
              <w:t>3,263</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965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600" w:type="dxa"/>
            <w:vAlign w:val="bottom"/>
            <w:shd w:val="clear" w:color="auto" w:fill="CCEEFF"/>
          </w:tcPr>
          <w:p>
            <w:pPr>
              <w:ind w:left="60"/>
              <w:spacing w:after="0"/>
              <w:rPr>
                <w:sz w:val="20"/>
                <w:szCs w:val="20"/>
                <w:color w:val="auto"/>
              </w:rPr>
            </w:pPr>
            <w:r>
              <w:rPr>
                <w:rFonts w:ascii="Arial" w:cs="Arial" w:eastAsia="Arial" w:hAnsi="Arial"/>
                <w:sz w:val="12"/>
                <w:szCs w:val="12"/>
                <w:color w:val="auto"/>
              </w:rPr>
              <w:t>Accrued expenses and other liabilities</w:t>
            </w:r>
          </w:p>
        </w:tc>
        <w:tc>
          <w:tcPr>
            <w:tcW w:w="16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910</w:t>
            </w: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1,392</w:t>
            </w:r>
          </w:p>
        </w:tc>
        <w:tc>
          <w:tcPr>
            <w:tcW w:w="12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600" w:type="dxa"/>
            <w:vAlign w:val="bottom"/>
            <w:tcBorders>
              <w:bottom w:val="single" w:sz="8" w:color="CCEEFF"/>
            </w:tcBorders>
          </w:tcPr>
          <w:p>
            <w:pPr>
              <w:ind w:left="140"/>
              <w:spacing w:after="0" w:line="133" w:lineRule="exact"/>
              <w:rPr>
                <w:sz w:val="20"/>
                <w:szCs w:val="20"/>
                <w:color w:val="auto"/>
              </w:rPr>
            </w:pPr>
            <w:r>
              <w:rPr>
                <w:rFonts w:ascii="Arial" w:cs="Arial" w:eastAsia="Arial" w:hAnsi="Arial"/>
                <w:sz w:val="12"/>
                <w:szCs w:val="12"/>
                <w:color w:val="auto"/>
              </w:rPr>
              <w:t>Total liabilities</w:t>
            </w:r>
          </w:p>
        </w:tc>
        <w:tc>
          <w:tcPr>
            <w:tcW w:w="160" w:type="dxa"/>
            <w:vAlign w:val="bottom"/>
            <w:tcBorders>
              <w:top w:val="single" w:sz="8" w:color="auto"/>
              <w:bottom w:val="single" w:sz="8" w:color="auto"/>
            </w:tcBorders>
          </w:tcPr>
          <w:p>
            <w:pPr>
              <w:spacing w:after="0"/>
              <w:rPr>
                <w:sz w:val="11"/>
                <w:szCs w:val="11"/>
                <w:color w:val="auto"/>
              </w:rPr>
            </w:pPr>
          </w:p>
        </w:tc>
        <w:tc>
          <w:tcPr>
            <w:tcW w:w="11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31,479</w:t>
            </w:r>
          </w:p>
        </w:tc>
        <w:tc>
          <w:tcPr>
            <w:tcW w:w="2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1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26,289</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8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600" w:type="dxa"/>
            <w:vAlign w:val="bottom"/>
          </w:tcPr>
          <w:p>
            <w:pPr>
              <w:spacing w:after="0"/>
              <w:rPr>
                <w:sz w:val="20"/>
                <w:szCs w:val="20"/>
                <w:color w:val="auto"/>
              </w:rPr>
            </w:pPr>
            <w:r>
              <w:rPr>
                <w:rFonts w:ascii="Arial" w:cs="Arial" w:eastAsia="Arial" w:hAnsi="Arial"/>
                <w:sz w:val="12"/>
                <w:szCs w:val="12"/>
                <w:color w:val="auto"/>
              </w:rPr>
              <w:t>Equity:</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600" w:type="dxa"/>
            <w:vAlign w:val="bottom"/>
            <w:shd w:val="clear" w:color="auto" w:fill="CCEEFF"/>
          </w:tcPr>
          <w:p>
            <w:pPr>
              <w:ind w:left="60"/>
              <w:spacing w:after="0"/>
              <w:rPr>
                <w:sz w:val="20"/>
                <w:szCs w:val="20"/>
                <w:color w:val="auto"/>
              </w:rPr>
            </w:pPr>
            <w:r>
              <w:rPr>
                <w:rFonts w:ascii="Arial" w:cs="Arial" w:eastAsia="Arial" w:hAnsi="Arial"/>
                <w:sz w:val="12"/>
                <w:szCs w:val="12"/>
                <w:color w:val="auto"/>
              </w:rPr>
              <w:t>Non-controlling interest</w:t>
            </w:r>
          </w:p>
        </w:tc>
        <w:tc>
          <w:tcPr>
            <w:tcW w:w="16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3,154</w:t>
            </w: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3,178</w:t>
            </w:r>
          </w:p>
        </w:tc>
        <w:tc>
          <w:tcPr>
            <w:tcW w:w="12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600" w:type="dxa"/>
            <w:vAlign w:val="bottom"/>
            <w:tcBorders>
              <w:bottom w:val="single" w:sz="8" w:color="CCEEFF"/>
            </w:tcBorders>
          </w:tcPr>
          <w:p>
            <w:pPr>
              <w:ind w:left="140"/>
              <w:spacing w:after="0" w:line="133" w:lineRule="exact"/>
              <w:rPr>
                <w:sz w:val="20"/>
                <w:szCs w:val="20"/>
                <w:color w:val="auto"/>
              </w:rPr>
            </w:pPr>
            <w:r>
              <w:rPr>
                <w:rFonts w:ascii="Arial" w:cs="Arial" w:eastAsia="Arial" w:hAnsi="Arial"/>
                <w:sz w:val="12"/>
                <w:szCs w:val="12"/>
                <w:color w:val="auto"/>
              </w:rPr>
              <w:t>Total equity</w:t>
            </w:r>
          </w:p>
        </w:tc>
        <w:tc>
          <w:tcPr>
            <w:tcW w:w="160" w:type="dxa"/>
            <w:vAlign w:val="bottom"/>
            <w:tcBorders>
              <w:top w:val="single" w:sz="8" w:color="auto"/>
              <w:bottom w:val="single" w:sz="8" w:color="auto"/>
            </w:tcBorders>
          </w:tcPr>
          <w:p>
            <w:pPr>
              <w:spacing w:after="0"/>
              <w:rPr>
                <w:sz w:val="11"/>
                <w:szCs w:val="11"/>
                <w:color w:val="auto"/>
              </w:rPr>
            </w:pPr>
          </w:p>
        </w:tc>
        <w:tc>
          <w:tcPr>
            <w:tcW w:w="11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3,154</w:t>
            </w:r>
          </w:p>
        </w:tc>
        <w:tc>
          <w:tcPr>
            <w:tcW w:w="2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1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3,178</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00" w:type="dxa"/>
            <w:vAlign w:val="bottom"/>
          </w:tcPr>
          <w:p>
            <w:pPr>
              <w:ind w:left="140"/>
              <w:spacing w:after="0"/>
              <w:rPr>
                <w:sz w:val="20"/>
                <w:szCs w:val="20"/>
                <w:color w:val="auto"/>
              </w:rPr>
            </w:pPr>
            <w:r>
              <w:rPr>
                <w:rFonts w:ascii="Arial" w:cs="Arial" w:eastAsia="Arial" w:hAnsi="Arial"/>
                <w:sz w:val="12"/>
                <w:szCs w:val="12"/>
                <w:color w:val="auto"/>
              </w:rPr>
              <w:t>Total liabilities and equity</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240"/>
              <w:spacing w:after="0"/>
              <w:rPr>
                <w:sz w:val="20"/>
                <w:szCs w:val="20"/>
                <w:color w:val="auto"/>
              </w:rPr>
            </w:pPr>
            <w:r>
              <w:rPr>
                <w:rFonts w:ascii="Arial" w:cs="Arial" w:eastAsia="Arial" w:hAnsi="Arial"/>
                <w:sz w:val="12"/>
                <w:szCs w:val="12"/>
                <w:color w:val="auto"/>
              </w:rPr>
              <w:t>34,633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29,467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208"/>
        <w:spacing w:after="0"/>
        <w:rPr>
          <w:sz w:val="20"/>
          <w:szCs w:val="20"/>
          <w:color w:val="auto"/>
        </w:rPr>
      </w:pPr>
      <w:r>
        <w:rPr>
          <w:rFonts w:ascii="Arial" w:cs="Arial" w:eastAsia="Arial" w:hAnsi="Arial"/>
          <w:sz w:val="12"/>
          <w:szCs w:val="12"/>
          <w:color w:val="auto"/>
        </w:rPr>
        <w:t>(1) Amount eliminated in consolidation.</w:t>
      </w:r>
    </w:p>
    <w:p>
      <w:pPr>
        <w:spacing w:after="0" w:line="78" w:lineRule="exact"/>
        <w:rPr>
          <w:sz w:val="20"/>
          <w:szCs w:val="20"/>
          <w:color w:val="auto"/>
        </w:rPr>
      </w:pPr>
    </w:p>
    <w:p>
      <w:pPr>
        <w:ind w:left="8" w:right="200" w:firstLine="423"/>
        <w:spacing w:after="0" w:line="276" w:lineRule="auto"/>
        <w:rPr>
          <w:sz w:val="20"/>
          <w:szCs w:val="20"/>
          <w:color w:val="auto"/>
        </w:rPr>
      </w:pPr>
      <w:r>
        <w:rPr>
          <w:rFonts w:ascii="Arial" w:cs="Arial" w:eastAsia="Arial" w:hAnsi="Arial"/>
          <w:sz w:val="12"/>
          <w:szCs w:val="12"/>
          <w:color w:val="auto"/>
        </w:rPr>
        <w:t>Total statutory revenues and expenses of Battle Creek after intercompany eliminations, which is limited to net investment income and certain miscellaneous other income and expenses, were $34 and $0, respectively, during the three months ended June 30, 2018, and $11 and $0, respectively, during the three months ended June 30, 2017.</w:t>
      </w:r>
    </w:p>
    <w:p>
      <w:pPr>
        <w:spacing w:after="0" w:line="43" w:lineRule="exact"/>
        <w:rPr>
          <w:sz w:val="20"/>
          <w:szCs w:val="20"/>
          <w:color w:val="auto"/>
        </w:rPr>
      </w:pPr>
    </w:p>
    <w:p>
      <w:pPr>
        <w:ind w:left="8" w:right="40" w:firstLine="423"/>
        <w:spacing w:after="0" w:line="276" w:lineRule="auto"/>
        <w:rPr>
          <w:sz w:val="20"/>
          <w:szCs w:val="20"/>
          <w:color w:val="auto"/>
        </w:rPr>
      </w:pPr>
      <w:r>
        <w:rPr>
          <w:rFonts w:ascii="Arial" w:cs="Arial" w:eastAsia="Arial" w:hAnsi="Arial"/>
          <w:sz w:val="12"/>
          <w:szCs w:val="12"/>
          <w:color w:val="auto"/>
        </w:rPr>
        <w:t>Total statutory revenues and expenses of Battle Creek after intercompany eliminations, which is limited to net investment income and certain miscellaneous other income and expenses, were $76 and $0, respectively, during the six months ended June 30, 2018, and $69 and $0, respectively, during the six months ended June 30, 2017.</w:t>
      </w:r>
    </w:p>
    <w:p>
      <w:pPr>
        <w:spacing w:after="0" w:line="111" w:lineRule="exact"/>
        <w:rPr>
          <w:sz w:val="20"/>
          <w:szCs w:val="20"/>
          <w:color w:val="auto"/>
        </w:rPr>
      </w:pPr>
    </w:p>
    <w:p>
      <w:pPr>
        <w:ind w:left="428" w:hanging="428"/>
        <w:spacing w:after="0"/>
        <w:tabs>
          <w:tab w:leader="none" w:pos="428" w:val="left"/>
        </w:tabs>
        <w:numPr>
          <w:ilvl w:val="0"/>
          <w:numId w:val="18"/>
        </w:numPr>
        <w:rPr>
          <w:rFonts w:ascii="Arial" w:cs="Arial" w:eastAsia="Arial" w:hAnsi="Arial"/>
          <w:sz w:val="12"/>
          <w:szCs w:val="12"/>
          <w:b w:val="1"/>
          <w:bCs w:val="1"/>
          <w:color w:val="auto"/>
        </w:rPr>
      </w:pPr>
      <w:r>
        <w:rPr>
          <w:rFonts w:ascii="Arial" w:cs="Arial" w:eastAsia="Arial" w:hAnsi="Arial"/>
          <w:sz w:val="12"/>
          <w:szCs w:val="12"/>
          <w:b w:val="1"/>
          <w:bCs w:val="1"/>
          <w:color w:val="auto"/>
        </w:rPr>
        <w:t>Benefit Plans</w:t>
      </w:r>
    </w:p>
    <w:p>
      <w:pPr>
        <w:spacing w:after="0" w:line="154" w:lineRule="exact"/>
        <w:rPr>
          <w:sz w:val="20"/>
          <w:szCs w:val="20"/>
          <w:color w:val="auto"/>
        </w:rPr>
      </w:pPr>
    </w:p>
    <w:p>
      <w:pPr>
        <w:ind w:left="8" w:right="100" w:firstLine="423"/>
        <w:spacing w:after="0" w:line="276" w:lineRule="auto"/>
        <w:rPr>
          <w:sz w:val="20"/>
          <w:szCs w:val="20"/>
          <w:color w:val="auto"/>
        </w:rPr>
      </w:pPr>
      <w:r>
        <w:rPr>
          <w:rFonts w:ascii="Arial" w:cs="Arial" w:eastAsia="Arial" w:hAnsi="Arial"/>
          <w:sz w:val="12"/>
          <w:szCs w:val="12"/>
          <w:color w:val="auto"/>
        </w:rPr>
        <w:t>The Company sponsors a profit-sharing plan that covers all eligible employees. Plan costs are funded annually as they are earned. The Company’s contribution expense for the profit-sharing plan totaled $138 and $157 during the three months ended June 30, 2018 and 2017, respectively, and totaled $592 and $526 during the six months ended June 30, 2018 and 2017, respectively.</w:t>
      </w:r>
    </w:p>
    <w:p>
      <w:pPr>
        <w:spacing w:after="0" w:line="43" w:lineRule="exact"/>
        <w:rPr>
          <w:sz w:val="20"/>
          <w:szCs w:val="20"/>
          <w:color w:val="auto"/>
        </w:rPr>
      </w:pPr>
    </w:p>
    <w:p>
      <w:pPr>
        <w:ind w:left="8" w:right="140" w:firstLine="423"/>
        <w:spacing w:after="0" w:line="263" w:lineRule="auto"/>
        <w:rPr>
          <w:sz w:val="20"/>
          <w:szCs w:val="20"/>
          <w:color w:val="auto"/>
        </w:rPr>
      </w:pPr>
      <w:r>
        <w:rPr>
          <w:rFonts w:ascii="Arial" w:cs="Arial" w:eastAsia="Arial" w:hAnsi="Arial"/>
          <w:sz w:val="12"/>
          <w:szCs w:val="12"/>
          <w:color w:val="auto"/>
        </w:rPr>
        <w:t>The Company also sponsors a 401(k) plan with an automatic contribution to all eligible employees and a matching contribution for eligible employees of 50% up to 3% of eligible compensation. The Company’s contributions expense to the 401(k) plan totaled $99 and $115 during the three months ended June 30, 2018 and 2017, respectively, and totaled $239 and $230 during the six months ended June 30, 2018 and 2017, respectively. All fees associated with both plans are deducted from the eligible employee accounts.</w:t>
      </w:r>
    </w:p>
    <w:p>
      <w:pPr>
        <w:spacing w:after="0" w:line="51" w:lineRule="exact"/>
        <w:rPr>
          <w:sz w:val="20"/>
          <w:szCs w:val="20"/>
          <w:color w:val="auto"/>
        </w:rPr>
      </w:pPr>
    </w:p>
    <w:p>
      <w:pPr>
        <w:ind w:left="428"/>
        <w:spacing w:after="0"/>
        <w:rPr>
          <w:sz w:val="20"/>
          <w:szCs w:val="20"/>
          <w:color w:val="auto"/>
        </w:rPr>
      </w:pPr>
      <w:r>
        <w:rPr>
          <w:rFonts w:ascii="Arial" w:cs="Arial" w:eastAsia="Arial" w:hAnsi="Arial"/>
          <w:sz w:val="12"/>
          <w:szCs w:val="12"/>
          <w:b w:val="1"/>
          <w:bCs w:val="1"/>
          <w:i w:val="1"/>
          <w:iCs w:val="1"/>
          <w:color w:val="auto"/>
        </w:rPr>
        <w:t>Deferred Compensation Plan</w:t>
      </w:r>
    </w:p>
    <w:p>
      <w:pPr>
        <w:spacing w:after="0" w:line="78" w:lineRule="exact"/>
        <w:rPr>
          <w:sz w:val="20"/>
          <w:szCs w:val="20"/>
          <w:color w:val="auto"/>
        </w:rPr>
      </w:pPr>
    </w:p>
    <w:p>
      <w:pPr>
        <w:jc w:val="both"/>
        <w:ind w:left="8" w:right="60" w:firstLine="423"/>
        <w:spacing w:after="0" w:line="263" w:lineRule="auto"/>
        <w:rPr>
          <w:sz w:val="20"/>
          <w:szCs w:val="20"/>
          <w:color w:val="auto"/>
        </w:rPr>
      </w:pPr>
      <w:r>
        <w:rPr>
          <w:rFonts w:ascii="Arial" w:cs="Arial" w:eastAsia="Arial" w:hAnsi="Arial"/>
          <w:sz w:val="12"/>
          <w:szCs w:val="12"/>
          <w:color w:val="auto"/>
        </w:rPr>
        <w:t>Effective April 28, 2016, the Board of Directors authorized a non-qualified deferred compensation plan covering key executives of the Company as designated by the Board of Directors. The Company’s policy is to fund the plan in a given calendar year by amounts that exceed the maximum contribution allowed by the Employee Retirement Income Security Act (“ERISA”), beginning in 2017. Funds deposited were $14 and $12 during the three months ended June 30, 2018 and 2017, respectively. Funds deposited were $158 and $117 during the six months ended June 30, 2018 and 2017, respectively.</w:t>
      </w:r>
    </w:p>
    <w:p>
      <w:pPr>
        <w:spacing w:after="0" w:line="123"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9234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2340" cy="17145"/>
                    </a:xfrm>
                    <a:prstGeom prst="rect">
                      <a:avLst/>
                    </a:prstGeom>
                    <a:noFill/>
                  </pic:spPr>
                </pic:pic>
              </a:graphicData>
            </a:graphic>
          </wp:anchor>
        </w:drawing>
      </w:r>
    </w:p>
    <w:p>
      <w:pPr>
        <w:sectPr>
          <w:pgSz w:w="11900" w:h="16838" w:orient="portrait"/>
          <w:cols w:equalWidth="0" w:num="1">
            <w:col w:w="11488"/>
          </w:cols>
          <w:pgMar w:left="212" w:top="197" w:right="19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NI Holdings, Inc.</w:t>
      </w:r>
    </w:p>
    <w:p>
      <w:pPr>
        <w:spacing w:after="0" w:line="5" w:lineRule="exact"/>
        <w:rPr>
          <w:sz w:val="20"/>
          <w:szCs w:val="20"/>
          <w:color w:val="auto"/>
        </w:rPr>
      </w:pPr>
    </w:p>
    <w:p>
      <w:pPr>
        <w:ind w:left="4340"/>
        <w:spacing w:after="0"/>
        <w:rPr>
          <w:sz w:val="20"/>
          <w:szCs w:val="20"/>
          <w:color w:val="auto"/>
        </w:rPr>
      </w:pPr>
      <w:r>
        <w:rPr>
          <w:rFonts w:ascii="Arial" w:cs="Arial" w:eastAsia="Arial" w:hAnsi="Arial"/>
          <w:sz w:val="12"/>
          <w:szCs w:val="12"/>
          <w:b w:val="1"/>
          <w:bCs w:val="1"/>
          <w:color w:val="auto"/>
        </w:rPr>
        <w:t>Notes to Unaudited Consolidated Financial Statements</w:t>
      </w:r>
    </w:p>
    <w:p>
      <w:pPr>
        <w:spacing w:after="0" w:line="6" w:lineRule="exact"/>
        <w:rPr>
          <w:sz w:val="20"/>
          <w:szCs w:val="20"/>
          <w:color w:val="auto"/>
        </w:rPr>
      </w:pPr>
    </w:p>
    <w:p>
      <w:pPr>
        <w:ind w:left="4260"/>
        <w:spacing w:after="0"/>
        <w:rPr>
          <w:sz w:val="20"/>
          <w:szCs w:val="20"/>
          <w:color w:val="auto"/>
        </w:rPr>
      </w:pPr>
      <w:r>
        <w:rPr>
          <w:rFonts w:ascii="Arial" w:cs="Arial" w:eastAsia="Arial" w:hAnsi="Arial"/>
          <w:sz w:val="12"/>
          <w:szCs w:val="12"/>
          <w:b w:val="1"/>
          <w:bCs w:val="1"/>
          <w:color w:val="auto"/>
        </w:rPr>
        <w:t>(dollar amounts in thousands, except per share amounts)</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Employee Stock Ownership Plan</w:t>
      </w:r>
    </w:p>
    <w:p>
      <w:pPr>
        <w:spacing w:after="0" w:line="123" w:lineRule="exact"/>
        <w:rPr>
          <w:sz w:val="20"/>
          <w:szCs w:val="20"/>
          <w:color w:val="auto"/>
        </w:rPr>
      </w:pPr>
    </w:p>
    <w:p>
      <w:pPr>
        <w:ind w:right="160" w:firstLine="432"/>
        <w:spacing w:after="0" w:line="276" w:lineRule="auto"/>
        <w:rPr>
          <w:sz w:val="20"/>
          <w:szCs w:val="20"/>
          <w:color w:val="auto"/>
        </w:rPr>
      </w:pPr>
      <w:r>
        <w:rPr>
          <w:rFonts w:ascii="Arial" w:cs="Arial" w:eastAsia="Arial" w:hAnsi="Arial"/>
          <w:sz w:val="12"/>
          <w:szCs w:val="12"/>
          <w:color w:val="auto"/>
        </w:rPr>
        <w:t>The Company has established an Employee Stock Ownership Plan (the “ESOP”). The ESOP is intended to be an employee stock ownership plan within the meaning of Internal Revenue Code Section 4975(e)(7) and will invest primarily in common stock of the Company.</w:t>
      </w:r>
    </w:p>
    <w:p>
      <w:pPr>
        <w:spacing w:after="0" w:line="97" w:lineRule="exact"/>
        <w:rPr>
          <w:sz w:val="20"/>
          <w:szCs w:val="20"/>
          <w:color w:val="auto"/>
        </w:rPr>
      </w:pPr>
    </w:p>
    <w:p>
      <w:pPr>
        <w:ind w:right="40" w:firstLine="432"/>
        <w:spacing w:after="0" w:line="263" w:lineRule="auto"/>
        <w:rPr>
          <w:sz w:val="20"/>
          <w:szCs w:val="20"/>
          <w:color w:val="auto"/>
        </w:rPr>
      </w:pPr>
      <w:r>
        <w:rPr>
          <w:rFonts w:ascii="Arial" w:cs="Arial" w:eastAsia="Arial" w:hAnsi="Arial"/>
          <w:sz w:val="12"/>
          <w:szCs w:val="12"/>
          <w:color w:val="auto"/>
        </w:rPr>
        <w:t>In connection with our initial public offering in March 2017, Nodak Insurance loaned $2,400 to the ESOP’s related trust (the “ESOP Trust”). The ESOP loan will be for a period of ten years and bears interest at the long-term Applicable Federal Rate effective on the closing date of the offering (2.79% annually). The ESOP Trust used the proceeds of the loan to purchase shares in our initial public offering, which results in the ESOP Trust owning approximately 1.0% of the Company’s authorized shares. The ESOP has purchased the shares for investment and not for resale.</w:t>
      </w:r>
    </w:p>
    <w:p>
      <w:pPr>
        <w:spacing w:after="0" w:line="96"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The shares purchased by the ESOP Trust in the offering are held in a suspense account as collateral for the ESOP loan. The shares held in the ESOP’s suspense account are not considered outstanding for earnings per share purposes. Nodak Insurance will make semi-annual cash contributions to the ESOP in amounts no smaller than the amounts required for the ESOP Trust to make its loan payments to Nodak Insurance. While the ESOP makes two loan payments per year, a pre-determined portion of the shares will be released from the suspense account and allocated to participant accounts at the end of the calendar year. This release and allocation will occur on an annual basis over the ten-year term of the ESOP loan. Nodak Insurance will have a lien on the shares of common stock of the Company held by the ESOP to secure repayment of the loan from the ESOP to Nodak Insurance. If the ESOP is terminated as a result of a change in control of the Company, the ESOP may be required to pay the costs of terminating the plan.</w:t>
      </w:r>
    </w:p>
    <w:p>
      <w:pPr>
        <w:spacing w:after="0" w:line="99" w:lineRule="exact"/>
        <w:rPr>
          <w:sz w:val="20"/>
          <w:szCs w:val="20"/>
          <w:color w:val="auto"/>
        </w:rPr>
      </w:pPr>
    </w:p>
    <w:p>
      <w:pPr>
        <w:ind w:right="100" w:firstLine="432"/>
        <w:spacing w:after="0" w:line="276" w:lineRule="auto"/>
        <w:rPr>
          <w:sz w:val="20"/>
          <w:szCs w:val="20"/>
          <w:color w:val="auto"/>
        </w:rPr>
      </w:pPr>
      <w:r>
        <w:rPr>
          <w:rFonts w:ascii="Arial" w:cs="Arial" w:eastAsia="Arial" w:hAnsi="Arial"/>
          <w:sz w:val="12"/>
          <w:szCs w:val="12"/>
          <w:color w:val="auto"/>
        </w:rPr>
        <w:t>It is anticipated that the only assets held by the ESOP will be shares of the Company’s common stock. Participants in the ESOP cannot direct the investment of any assets allocated to their accounts. The initial ESOP participants are employees of Nodak Insurance. The employees of Primero will not participate in the ESOP.</w:t>
      </w:r>
    </w:p>
    <w:p>
      <w:pPr>
        <w:spacing w:after="0" w:line="97" w:lineRule="exact"/>
        <w:rPr>
          <w:sz w:val="20"/>
          <w:szCs w:val="20"/>
          <w:color w:val="auto"/>
        </w:rPr>
      </w:pPr>
    </w:p>
    <w:p>
      <w:pPr>
        <w:ind w:firstLine="432"/>
        <w:spacing w:after="0" w:line="298" w:lineRule="auto"/>
        <w:rPr>
          <w:sz w:val="20"/>
          <w:szCs w:val="20"/>
          <w:color w:val="auto"/>
        </w:rPr>
      </w:pPr>
      <w:r>
        <w:rPr>
          <w:rFonts w:ascii="Arial" w:cs="Arial" w:eastAsia="Arial" w:hAnsi="Arial"/>
          <w:sz w:val="11"/>
          <w:szCs w:val="11"/>
          <w:color w:val="auto"/>
        </w:rPr>
        <w:t>Each employee of Nodak Insurance will automatically become a participant in the ESOP if such employee is at least 21 years old, has completed a minimum of one thousand hours of service with Nodak Insurance, and has completed an Eligibility Computation Period. Employees are not permitted to make any contributions to the ESOP. Participants in the ESOP will receive annual reports from the Company showing the number of shares of common stock of the Company allocated to the participant’s account and the market value of those shares. The shares are allocated to participants based on compensation as provided for in the ESOP.</w:t>
      </w:r>
    </w:p>
    <w:p>
      <w:pPr>
        <w:spacing w:after="0" w:line="78"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In connection with the initial public offering, the Company created a contra-equity account on the Company’s Consolidated Balance Sheet equal to the ESOP’s basis in the shares. The basis of those shares was set at $10.00 per share as part of the initial public offering. As shares are released from the ESOP suspense account, the contra-equity account will be credited, which shall reduce the impact of the contra-equity account on the Company’s Consolidated Balance Sheet. The Company shall record a compensation expense related to the shares released, which compensation expense is equal to the number of shares released from the suspense account multiplied by the average market value of the Company’s stock during the period.</w:t>
      </w:r>
    </w:p>
    <w:p>
      <w:pPr>
        <w:spacing w:after="0" w:line="9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Company recognized compensation expense of $100 and $203 during the three and six months ended June 30, 2018, respectively.</w:t>
      </w:r>
    </w:p>
    <w:p>
      <w:pPr>
        <w:spacing w:after="0" w:line="132" w:lineRule="exact"/>
        <w:rPr>
          <w:sz w:val="20"/>
          <w:szCs w:val="20"/>
          <w:color w:val="auto"/>
        </w:rPr>
      </w:pPr>
    </w:p>
    <w:p>
      <w:pPr>
        <w:ind w:right="240" w:firstLine="432"/>
        <w:spacing w:after="0" w:line="276" w:lineRule="auto"/>
        <w:rPr>
          <w:sz w:val="20"/>
          <w:szCs w:val="20"/>
          <w:color w:val="auto"/>
        </w:rPr>
      </w:pPr>
      <w:r>
        <w:rPr>
          <w:rFonts w:ascii="Arial" w:cs="Arial" w:eastAsia="Arial" w:hAnsi="Arial"/>
          <w:sz w:val="12"/>
          <w:szCs w:val="12"/>
          <w:color w:val="auto"/>
        </w:rPr>
        <w:t>At December 31, 2017, 24,315 ESOP shares were released and allocated to participants, with a remainder of 215,685 ESOP shares in suspense at both December 31, 2017 and June 30, 2018. Using the Company’s quarter-end market price of $16.95 per share, the fair value of the unearned ESOP shares was $3,656 at June 30, 2018.</w:t>
      </w: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2340" cy="17145"/>
                    </a:xfrm>
                    <a:prstGeom prst="rect">
                      <a:avLst/>
                    </a:prstGeom>
                    <a:noFill/>
                  </pic:spPr>
                </pic:pic>
              </a:graphicData>
            </a:graphic>
          </wp:anchor>
        </w:drawing>
      </w:r>
    </w:p>
    <w:p>
      <w:pPr>
        <w:sectPr>
          <w:pgSz w:w="11900" w:h="16838" w:orient="portrait"/>
          <w:cols w:equalWidth="0" w:num="1">
            <w:col w:w="11440"/>
          </w:cols>
          <w:pgMar w:left="220" w:top="197" w:right="239" w:bottom="1440" w:gutter="0" w:footer="0" w:header="0"/>
        </w:sectPr>
      </w:pPr>
    </w:p>
    <w:bookmarkStart w:id="27" w:name="page28"/>
    <w:bookmarkEnd w:id="27"/>
    <w:p>
      <w:pPr>
        <w:ind w:left="8"/>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NI Holdings, Inc.</w:t>
      </w:r>
    </w:p>
    <w:p>
      <w:pPr>
        <w:spacing w:after="0" w:line="5" w:lineRule="exact"/>
        <w:rPr>
          <w:sz w:val="20"/>
          <w:szCs w:val="20"/>
          <w:color w:val="auto"/>
        </w:rPr>
      </w:pPr>
    </w:p>
    <w:p>
      <w:pPr>
        <w:ind w:left="4348"/>
        <w:spacing w:after="0"/>
        <w:rPr>
          <w:sz w:val="20"/>
          <w:szCs w:val="20"/>
          <w:color w:val="auto"/>
        </w:rPr>
      </w:pPr>
      <w:r>
        <w:rPr>
          <w:rFonts w:ascii="Arial" w:cs="Arial" w:eastAsia="Arial" w:hAnsi="Arial"/>
          <w:sz w:val="12"/>
          <w:szCs w:val="12"/>
          <w:b w:val="1"/>
          <w:bCs w:val="1"/>
          <w:color w:val="auto"/>
        </w:rPr>
        <w:t>Notes to Unaudited Consolidated Financial Statements</w:t>
      </w:r>
    </w:p>
    <w:p>
      <w:pPr>
        <w:spacing w:after="0" w:line="6" w:lineRule="exact"/>
        <w:rPr>
          <w:sz w:val="20"/>
          <w:szCs w:val="20"/>
          <w:color w:val="auto"/>
        </w:rPr>
      </w:pPr>
    </w:p>
    <w:p>
      <w:pPr>
        <w:ind w:left="4268"/>
        <w:spacing w:after="0"/>
        <w:rPr>
          <w:sz w:val="20"/>
          <w:szCs w:val="20"/>
          <w:color w:val="auto"/>
        </w:rPr>
      </w:pPr>
      <w:r>
        <w:rPr>
          <w:rFonts w:ascii="Arial" w:cs="Arial" w:eastAsia="Arial" w:hAnsi="Arial"/>
          <w:sz w:val="12"/>
          <w:szCs w:val="12"/>
          <w:b w:val="1"/>
          <w:bCs w:val="1"/>
          <w:color w:val="auto"/>
        </w:rPr>
        <w:t>(dollar amounts in thousands, except per share amounts)</w:t>
      </w:r>
    </w:p>
    <w:p>
      <w:pPr>
        <w:spacing w:after="0" w:line="281" w:lineRule="exact"/>
        <w:rPr>
          <w:sz w:val="20"/>
          <w:szCs w:val="20"/>
          <w:color w:val="auto"/>
        </w:rPr>
      </w:pPr>
    </w:p>
    <w:p>
      <w:pPr>
        <w:ind w:left="428" w:hanging="428"/>
        <w:spacing w:after="0"/>
        <w:tabs>
          <w:tab w:leader="none" w:pos="428" w:val="left"/>
        </w:tabs>
        <w:numPr>
          <w:ilvl w:val="0"/>
          <w:numId w:val="19"/>
        </w:numPr>
        <w:rPr>
          <w:rFonts w:ascii="Arial" w:cs="Arial" w:eastAsia="Arial" w:hAnsi="Arial"/>
          <w:sz w:val="12"/>
          <w:szCs w:val="12"/>
          <w:b w:val="1"/>
          <w:bCs w:val="1"/>
          <w:color w:val="auto"/>
        </w:rPr>
      </w:pPr>
      <w:r>
        <w:rPr>
          <w:rFonts w:ascii="Arial" w:cs="Arial" w:eastAsia="Arial" w:hAnsi="Arial"/>
          <w:sz w:val="12"/>
          <w:szCs w:val="12"/>
          <w:b w:val="1"/>
          <w:bCs w:val="1"/>
          <w:color w:val="auto"/>
        </w:rPr>
        <w:t>Line of Credit</w:t>
      </w:r>
    </w:p>
    <w:p>
      <w:pPr>
        <w:spacing w:after="0" w:line="82" w:lineRule="exact"/>
        <w:rPr>
          <w:rFonts w:ascii="Arial" w:cs="Arial" w:eastAsia="Arial" w:hAnsi="Arial"/>
          <w:sz w:val="12"/>
          <w:szCs w:val="12"/>
          <w:b w:val="1"/>
          <w:bCs w:val="1"/>
          <w:color w:val="auto"/>
        </w:rPr>
      </w:pPr>
    </w:p>
    <w:p>
      <w:pPr>
        <w:ind w:left="428"/>
        <w:spacing w:after="0"/>
        <w:rPr>
          <w:rFonts w:ascii="Arial" w:cs="Arial" w:eastAsia="Arial" w:hAnsi="Arial"/>
          <w:sz w:val="12"/>
          <w:szCs w:val="12"/>
          <w:b w:val="1"/>
          <w:bCs w:val="1"/>
          <w:color w:val="auto"/>
        </w:rPr>
      </w:pPr>
      <w:r>
        <w:rPr>
          <w:rFonts w:ascii="Arial" w:cs="Arial" w:eastAsia="Arial" w:hAnsi="Arial"/>
          <w:sz w:val="11"/>
          <w:szCs w:val="11"/>
          <w:color w:val="auto"/>
        </w:rPr>
        <w:t>Nodak Insurance has a $3,000 line of credit with Wells Fargo Bank, N.A., of which there were no outstanding amounts as of June 30, 2018 or December 31, 2017. This line of credit is scheduled to expire on November 30, 2018.</w:t>
      </w:r>
    </w:p>
    <w:p>
      <w:pPr>
        <w:spacing w:after="0" w:line="85" w:lineRule="exact"/>
        <w:rPr>
          <w:rFonts w:ascii="Arial" w:cs="Arial" w:eastAsia="Arial" w:hAnsi="Arial"/>
          <w:sz w:val="12"/>
          <w:szCs w:val="12"/>
          <w:b w:val="1"/>
          <w:bCs w:val="1"/>
          <w:color w:val="auto"/>
        </w:rPr>
      </w:pPr>
    </w:p>
    <w:p>
      <w:pPr>
        <w:ind w:left="428" w:hanging="428"/>
        <w:spacing w:after="0"/>
        <w:tabs>
          <w:tab w:leader="none" w:pos="428" w:val="left"/>
        </w:tabs>
        <w:numPr>
          <w:ilvl w:val="0"/>
          <w:numId w:val="19"/>
        </w:numPr>
        <w:rPr>
          <w:rFonts w:ascii="Arial" w:cs="Arial" w:eastAsia="Arial" w:hAnsi="Arial"/>
          <w:sz w:val="12"/>
          <w:szCs w:val="12"/>
          <w:b w:val="1"/>
          <w:bCs w:val="1"/>
          <w:color w:val="auto"/>
        </w:rPr>
      </w:pPr>
      <w:r>
        <w:rPr>
          <w:rFonts w:ascii="Arial" w:cs="Arial" w:eastAsia="Arial" w:hAnsi="Arial"/>
          <w:sz w:val="12"/>
          <w:szCs w:val="12"/>
          <w:b w:val="1"/>
          <w:bCs w:val="1"/>
          <w:color w:val="auto"/>
        </w:rPr>
        <w:t>Income Taxes</w:t>
      </w:r>
    </w:p>
    <w:p>
      <w:pPr>
        <w:spacing w:after="0" w:line="82" w:lineRule="exact"/>
        <w:rPr>
          <w:sz w:val="20"/>
          <w:szCs w:val="20"/>
          <w:color w:val="auto"/>
        </w:rPr>
      </w:pPr>
    </w:p>
    <w:p>
      <w:pPr>
        <w:ind w:left="8" w:right="40" w:firstLine="423"/>
        <w:spacing w:after="0" w:line="276" w:lineRule="auto"/>
        <w:rPr>
          <w:sz w:val="20"/>
          <w:szCs w:val="20"/>
          <w:color w:val="auto"/>
        </w:rPr>
      </w:pPr>
      <w:r>
        <w:rPr>
          <w:rFonts w:ascii="Arial" w:cs="Arial" w:eastAsia="Arial" w:hAnsi="Arial"/>
          <w:sz w:val="12"/>
          <w:szCs w:val="12"/>
          <w:color w:val="auto"/>
        </w:rPr>
        <w:t>At June 30, 2018 and December 31, 2017, we had no unrecognized tax benefits, no accrued interest and penalties, and no significant uncertain tax positions. No interest and penalties were recognized during the three or six months ended June 30, 2018 or 2017.</w:t>
      </w:r>
    </w:p>
    <w:p>
      <w:pPr>
        <w:spacing w:after="0" w:line="43" w:lineRule="exact"/>
        <w:rPr>
          <w:sz w:val="20"/>
          <w:szCs w:val="20"/>
          <w:color w:val="auto"/>
        </w:rPr>
      </w:pPr>
    </w:p>
    <w:p>
      <w:pPr>
        <w:ind w:left="8" w:right="380" w:firstLine="424"/>
        <w:spacing w:after="0" w:line="276" w:lineRule="auto"/>
        <w:rPr>
          <w:sz w:val="20"/>
          <w:szCs w:val="20"/>
          <w:color w:val="auto"/>
        </w:rPr>
      </w:pPr>
      <w:r>
        <w:rPr>
          <w:rFonts w:ascii="Arial" w:cs="Arial" w:eastAsia="Arial" w:hAnsi="Arial"/>
          <w:sz w:val="12"/>
          <w:szCs w:val="12"/>
          <w:color w:val="auto"/>
        </w:rPr>
        <w:t>At June 30, 2018 and December 31, 2017, the Company, other than Battle Creek, had no income tax related carryovers for net operating losses, alternative minimum tax credits, or capital losses. Battle Creek, which files its income tax returns on a stand-alone basis, had $4,951 of net operating loss carryover at December 31, 2017. The net operating loss carryforward expires beginning in 2021 through 2030.</w:t>
      </w:r>
    </w:p>
    <w:p>
      <w:pPr>
        <w:spacing w:after="0" w:line="39" w:lineRule="exact"/>
        <w:rPr>
          <w:sz w:val="20"/>
          <w:szCs w:val="20"/>
          <w:color w:val="auto"/>
        </w:rPr>
      </w:pPr>
    </w:p>
    <w:p>
      <w:pPr>
        <w:ind w:left="428" w:hanging="428"/>
        <w:spacing w:after="0"/>
        <w:tabs>
          <w:tab w:leader="none" w:pos="428" w:val="left"/>
        </w:tabs>
        <w:numPr>
          <w:ilvl w:val="0"/>
          <w:numId w:val="20"/>
        </w:numPr>
        <w:rPr>
          <w:rFonts w:ascii="Arial" w:cs="Arial" w:eastAsia="Arial" w:hAnsi="Arial"/>
          <w:sz w:val="12"/>
          <w:szCs w:val="12"/>
          <w:b w:val="1"/>
          <w:bCs w:val="1"/>
          <w:color w:val="auto"/>
        </w:rPr>
      </w:pPr>
      <w:r>
        <w:rPr>
          <w:rFonts w:ascii="Arial" w:cs="Arial" w:eastAsia="Arial" w:hAnsi="Arial"/>
          <w:sz w:val="12"/>
          <w:szCs w:val="12"/>
          <w:b w:val="1"/>
          <w:bCs w:val="1"/>
          <w:color w:val="auto"/>
        </w:rPr>
        <w:t>Operating Leases</w:t>
      </w:r>
    </w:p>
    <w:p>
      <w:pPr>
        <w:spacing w:after="0" w:line="82" w:lineRule="exact"/>
        <w:rPr>
          <w:sz w:val="20"/>
          <w:szCs w:val="20"/>
          <w:color w:val="auto"/>
        </w:rPr>
      </w:pPr>
    </w:p>
    <w:p>
      <w:pPr>
        <w:ind w:left="8" w:right="220" w:firstLine="423"/>
        <w:spacing w:after="0" w:line="276" w:lineRule="auto"/>
        <w:rPr>
          <w:sz w:val="20"/>
          <w:szCs w:val="20"/>
          <w:color w:val="auto"/>
        </w:rPr>
      </w:pPr>
      <w:r>
        <w:rPr>
          <w:rFonts w:ascii="Arial" w:cs="Arial" w:eastAsia="Arial" w:hAnsi="Arial"/>
          <w:sz w:val="12"/>
          <w:szCs w:val="12"/>
          <w:color w:val="auto"/>
        </w:rPr>
        <w:t>We leased facilities, equipment, and software under non-cancellable operating leases expiring at various times through November 2017. Expenses related to these leases were $0 and $10 during the three months ended June 30, 2018 and 2017, respectively, and $0 and $20 during the six months ended June 30, 2018 and 2017, respectively.</w:t>
      </w:r>
    </w:p>
    <w:p>
      <w:pPr>
        <w:spacing w:after="0" w:line="4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As of June 30, 2018, we have no minimum future commitments under non-cancellable leases.</w:t>
      </w:r>
    </w:p>
    <w:p>
      <w:pPr>
        <w:spacing w:after="0" w:line="78"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We also sub-lease portions of our home office building under non-cancellable operating leases.</w:t>
      </w:r>
    </w:p>
    <w:p>
      <w:pPr>
        <w:spacing w:after="0" w:line="74" w:lineRule="exact"/>
        <w:rPr>
          <w:sz w:val="20"/>
          <w:szCs w:val="20"/>
          <w:color w:val="auto"/>
        </w:rPr>
      </w:pPr>
    </w:p>
    <w:p>
      <w:pPr>
        <w:ind w:left="428" w:hanging="428"/>
        <w:spacing w:after="0"/>
        <w:tabs>
          <w:tab w:leader="none" w:pos="428" w:val="left"/>
        </w:tabs>
        <w:numPr>
          <w:ilvl w:val="0"/>
          <w:numId w:val="21"/>
        </w:numPr>
        <w:rPr>
          <w:rFonts w:ascii="Arial" w:cs="Arial" w:eastAsia="Arial" w:hAnsi="Arial"/>
          <w:sz w:val="12"/>
          <w:szCs w:val="12"/>
          <w:b w:val="1"/>
          <w:bCs w:val="1"/>
          <w:color w:val="auto"/>
        </w:rPr>
      </w:pPr>
      <w:r>
        <w:rPr>
          <w:rFonts w:ascii="Arial" w:cs="Arial" w:eastAsia="Arial" w:hAnsi="Arial"/>
          <w:sz w:val="12"/>
          <w:szCs w:val="12"/>
          <w:b w:val="1"/>
          <w:bCs w:val="1"/>
          <w:color w:val="auto"/>
        </w:rPr>
        <w:t>Contingencies</w:t>
      </w:r>
    </w:p>
    <w:p>
      <w:pPr>
        <w:spacing w:after="0" w:line="82" w:lineRule="exact"/>
        <w:rPr>
          <w:rFonts w:ascii="Arial" w:cs="Arial" w:eastAsia="Arial" w:hAnsi="Arial"/>
          <w:sz w:val="12"/>
          <w:szCs w:val="12"/>
          <w:b w:val="1"/>
          <w:bCs w:val="1"/>
          <w:color w:val="auto"/>
        </w:rPr>
      </w:pPr>
    </w:p>
    <w:p>
      <w:pPr>
        <w:ind w:left="428" w:right="140"/>
        <w:spacing w:after="0" w:line="372" w:lineRule="auto"/>
        <w:rPr>
          <w:rFonts w:ascii="Arial" w:cs="Arial" w:eastAsia="Arial" w:hAnsi="Arial"/>
          <w:sz w:val="12"/>
          <w:szCs w:val="12"/>
          <w:b w:val="1"/>
          <w:bCs w:val="1"/>
          <w:color w:val="auto"/>
        </w:rPr>
      </w:pPr>
      <w:r>
        <w:rPr>
          <w:rFonts w:ascii="Arial" w:cs="Arial" w:eastAsia="Arial" w:hAnsi="Arial"/>
          <w:sz w:val="12"/>
          <w:szCs w:val="12"/>
          <w:color w:val="auto"/>
        </w:rPr>
        <w:t>We have been named as a defendant in various lawsuits relating to our insurance operations. Contingent liabilities arising from litigation, income taxes and other matters are not considered to be material to our financial position. The Company does not have any unrecorded or potential contingent liabilities or material commitments requiring the use of assets as of June 30, 2018 or December 31, 2017.</w:t>
      </w:r>
    </w:p>
    <w:p>
      <w:pPr>
        <w:ind w:left="428" w:hanging="428"/>
        <w:spacing w:after="0"/>
        <w:tabs>
          <w:tab w:leader="none" w:pos="428" w:val="left"/>
        </w:tabs>
        <w:numPr>
          <w:ilvl w:val="0"/>
          <w:numId w:val="21"/>
        </w:numPr>
        <w:rPr>
          <w:rFonts w:ascii="Arial" w:cs="Arial" w:eastAsia="Arial" w:hAnsi="Arial"/>
          <w:sz w:val="12"/>
          <w:szCs w:val="12"/>
          <w:b w:val="1"/>
          <w:bCs w:val="1"/>
          <w:color w:val="auto"/>
        </w:rPr>
      </w:pPr>
      <w:r>
        <w:rPr>
          <w:rFonts w:ascii="Arial" w:cs="Arial" w:eastAsia="Arial" w:hAnsi="Arial"/>
          <w:sz w:val="12"/>
          <w:szCs w:val="12"/>
          <w:b w:val="1"/>
          <w:bCs w:val="1"/>
          <w:color w:val="auto"/>
        </w:rPr>
        <w:t>Common Stock</w:t>
      </w:r>
    </w:p>
    <w:p>
      <w:pPr>
        <w:spacing w:after="0" w:line="82" w:lineRule="exact"/>
        <w:rPr>
          <w:rFonts w:ascii="Arial" w:cs="Arial" w:eastAsia="Arial" w:hAnsi="Arial"/>
          <w:sz w:val="12"/>
          <w:szCs w:val="12"/>
          <w:b w:val="1"/>
          <w:bCs w:val="1"/>
          <w:color w:val="auto"/>
        </w:rPr>
      </w:pPr>
    </w:p>
    <w:p>
      <w:pPr>
        <w:ind w:left="428"/>
        <w:spacing w:after="0"/>
        <w:rPr>
          <w:rFonts w:ascii="Arial" w:cs="Arial" w:eastAsia="Arial" w:hAnsi="Arial"/>
          <w:sz w:val="12"/>
          <w:szCs w:val="12"/>
          <w:b w:val="1"/>
          <w:bCs w:val="1"/>
          <w:color w:val="auto"/>
        </w:rPr>
      </w:pPr>
      <w:r>
        <w:rPr>
          <w:rFonts w:ascii="Arial" w:cs="Arial" w:eastAsia="Arial" w:hAnsi="Arial"/>
          <w:sz w:val="12"/>
          <w:szCs w:val="12"/>
          <w:color w:val="auto"/>
        </w:rPr>
        <w:t>Changes in the number of common stock shares outstanding are as follows:</w:t>
      </w:r>
    </w:p>
    <w:p>
      <w:pPr>
        <w:spacing w:after="0" w:line="128"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8620" w:type="dxa"/>
            <w:vAlign w:val="bottom"/>
          </w:tcPr>
          <w:p>
            <w:pPr>
              <w:spacing w:after="0"/>
              <w:rPr>
                <w:sz w:val="13"/>
                <w:szCs w:val="13"/>
                <w:color w:val="auto"/>
              </w:rPr>
            </w:pPr>
          </w:p>
        </w:tc>
        <w:tc>
          <w:tcPr>
            <w:tcW w:w="2860" w:type="dxa"/>
            <w:vAlign w:val="bottom"/>
            <w:gridSpan w:val="4"/>
          </w:tcPr>
          <w:p>
            <w:pPr>
              <w:jc w:val="right"/>
              <w:ind w:right="780"/>
              <w:spacing w:after="0"/>
              <w:rPr>
                <w:sz w:val="20"/>
                <w:szCs w:val="20"/>
                <w:color w:val="auto"/>
              </w:rPr>
            </w:pPr>
            <w:r>
              <w:rPr>
                <w:rFonts w:ascii="Arial" w:cs="Arial" w:eastAsia="Arial" w:hAnsi="Arial"/>
                <w:sz w:val="12"/>
                <w:szCs w:val="12"/>
                <w:b w:val="1"/>
                <w:bCs w:val="1"/>
                <w:color w:val="auto"/>
              </w:rPr>
              <w:t>Six Months Ended June 30,</w:t>
            </w:r>
          </w:p>
        </w:tc>
        <w:tc>
          <w:tcPr>
            <w:tcW w:w="0" w:type="dxa"/>
            <w:vAlign w:val="bottom"/>
          </w:tcPr>
          <w:p>
            <w:pPr>
              <w:spacing w:after="0"/>
              <w:rPr>
                <w:sz w:val="1"/>
                <w:szCs w:val="1"/>
                <w:color w:val="auto"/>
              </w:rPr>
            </w:pPr>
          </w:p>
        </w:tc>
      </w:tr>
      <w:tr>
        <w:trPr>
          <w:trHeight w:val="142"/>
        </w:trPr>
        <w:tc>
          <w:tcPr>
            <w:tcW w:w="8620" w:type="dxa"/>
            <w:vAlign w:val="bottom"/>
            <w:tcBorders>
              <w:bottom w:val="single" w:sz="8" w:color="CCEEFF"/>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86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Shares outstanding, beginning of period</w:t>
            </w:r>
          </w:p>
        </w:tc>
        <w:tc>
          <w:tcPr>
            <w:tcW w:w="12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22,337,644</w:t>
            </w: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620" w:type="dxa"/>
            <w:vAlign w:val="bottom"/>
          </w:tcPr>
          <w:p>
            <w:pPr>
              <w:ind w:left="80"/>
              <w:spacing w:after="0"/>
              <w:rPr>
                <w:sz w:val="20"/>
                <w:szCs w:val="20"/>
                <w:color w:val="auto"/>
              </w:rPr>
            </w:pPr>
            <w:r>
              <w:rPr>
                <w:rFonts w:ascii="Arial" w:cs="Arial" w:eastAsia="Arial" w:hAnsi="Arial"/>
                <w:sz w:val="12"/>
                <w:szCs w:val="12"/>
                <w:color w:val="auto"/>
              </w:rPr>
              <w:t>Initial public offering</w:t>
            </w:r>
          </w:p>
        </w:tc>
        <w:tc>
          <w:tcPr>
            <w:tcW w:w="15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23,000,000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620" w:type="dxa"/>
            <w:vAlign w:val="bottom"/>
            <w:shd w:val="clear" w:color="auto" w:fill="CCEEFF"/>
          </w:tcPr>
          <w:p>
            <w:pPr>
              <w:ind w:left="80"/>
              <w:spacing w:after="0"/>
              <w:rPr>
                <w:sz w:val="20"/>
                <w:szCs w:val="20"/>
                <w:color w:val="auto"/>
              </w:rPr>
            </w:pPr>
            <w:r>
              <w:rPr>
                <w:rFonts w:ascii="Arial" w:cs="Arial" w:eastAsia="Arial" w:hAnsi="Arial"/>
                <w:sz w:val="12"/>
                <w:szCs w:val="12"/>
                <w:color w:val="auto"/>
              </w:rPr>
              <w:t>Shares repurchased related to employee stock ownership plan</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(240,000)</w:t>
            </w:r>
          </w:p>
        </w:tc>
        <w:tc>
          <w:tcPr>
            <w:tcW w:w="0" w:type="dxa"/>
            <w:vAlign w:val="bottom"/>
          </w:tcPr>
          <w:p>
            <w:pPr>
              <w:spacing w:after="0"/>
              <w:rPr>
                <w:sz w:val="1"/>
                <w:szCs w:val="1"/>
                <w:color w:val="auto"/>
              </w:rPr>
            </w:pPr>
          </w:p>
        </w:tc>
      </w:tr>
      <w:tr>
        <w:trPr>
          <w:trHeight w:val="144"/>
        </w:trPr>
        <w:tc>
          <w:tcPr>
            <w:tcW w:w="8620" w:type="dxa"/>
            <w:vAlign w:val="bottom"/>
          </w:tcPr>
          <w:p>
            <w:pPr>
              <w:ind w:left="80"/>
              <w:spacing w:after="0"/>
              <w:rPr>
                <w:sz w:val="20"/>
                <w:szCs w:val="20"/>
                <w:color w:val="auto"/>
              </w:rPr>
            </w:pPr>
            <w:r>
              <w:rPr>
                <w:rFonts w:ascii="Arial" w:cs="Arial" w:eastAsia="Arial" w:hAnsi="Arial"/>
                <w:sz w:val="12"/>
                <w:szCs w:val="12"/>
                <w:color w:val="auto"/>
              </w:rPr>
              <w:t>Treasury shares repurchased through stock repurchase authorization</w:t>
            </w:r>
          </w:p>
        </w:tc>
        <w:tc>
          <w:tcPr>
            <w:tcW w:w="15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360" w:type="dxa"/>
            <w:vAlign w:val="bottom"/>
            <w:gridSpan w:val="2"/>
          </w:tcPr>
          <w:p>
            <w:pPr>
              <w:jc w:val="right"/>
              <w:ind w:right="80"/>
              <w:spacing w:after="0"/>
              <w:rPr>
                <w:sz w:val="20"/>
                <w:szCs w:val="20"/>
                <w:color w:val="auto"/>
              </w:rPr>
            </w:pPr>
            <w:r>
              <w:rPr>
                <w:rFonts w:ascii="Arial" w:cs="Arial" w:eastAsia="Arial" w:hAnsi="Arial"/>
                <w:sz w:val="12"/>
                <w:szCs w:val="12"/>
                <w:color w:val="auto"/>
              </w:rPr>
              <w:t>(446,671)</w:t>
            </w:r>
          </w:p>
        </w:tc>
        <w:tc>
          <w:tcPr>
            <w:tcW w:w="0" w:type="dxa"/>
            <w:vAlign w:val="bottom"/>
          </w:tcPr>
          <w:p>
            <w:pPr>
              <w:spacing w:after="0"/>
              <w:rPr>
                <w:sz w:val="1"/>
                <w:szCs w:val="1"/>
                <w:color w:val="auto"/>
              </w:rPr>
            </w:pPr>
          </w:p>
        </w:tc>
      </w:tr>
      <w:tr>
        <w:trPr>
          <w:trHeight w:val="153"/>
        </w:trPr>
        <w:tc>
          <w:tcPr>
            <w:tcW w:w="8620" w:type="dxa"/>
            <w:vAlign w:val="bottom"/>
            <w:shd w:val="clear" w:color="auto" w:fill="CCEEFF"/>
          </w:tcPr>
          <w:p>
            <w:pPr>
              <w:ind w:left="80"/>
              <w:spacing w:after="0"/>
              <w:rPr>
                <w:sz w:val="20"/>
                <w:szCs w:val="20"/>
                <w:color w:val="auto"/>
              </w:rPr>
            </w:pPr>
            <w:r>
              <w:rPr>
                <w:rFonts w:ascii="Arial" w:cs="Arial" w:eastAsia="Arial" w:hAnsi="Arial"/>
                <w:sz w:val="12"/>
                <w:szCs w:val="12"/>
                <w:color w:val="auto"/>
              </w:rPr>
              <w:t>Issuance of treasury shares for vesting of restricted stock units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22,200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8620" w:type="dxa"/>
            <w:vAlign w:val="bottom"/>
            <w:vMerge w:val="restart"/>
          </w:tcPr>
          <w:p>
            <w:pPr>
              <w:spacing w:after="0"/>
              <w:rPr>
                <w:sz w:val="20"/>
                <w:szCs w:val="20"/>
                <w:color w:val="auto"/>
              </w:rPr>
            </w:pPr>
            <w:r>
              <w:rPr>
                <w:rFonts w:ascii="Arial" w:cs="Arial" w:eastAsia="Arial" w:hAnsi="Arial"/>
                <w:sz w:val="12"/>
                <w:szCs w:val="12"/>
                <w:color w:val="auto"/>
              </w:rPr>
              <w:t>Shares outstanding, end of period</w:t>
            </w: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620" w:type="dxa"/>
            <w:vAlign w:val="bottom"/>
            <w:vMerge w:val="continue"/>
          </w:tcPr>
          <w:p>
            <w:pPr>
              <w:spacing w:after="0"/>
              <w:rPr>
                <w:sz w:val="12"/>
                <w:szCs w:val="12"/>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2"/>
                <w:szCs w:val="12"/>
                <w:color w:val="auto"/>
              </w:rPr>
              <w:t>22,359,844</w:t>
            </w:r>
          </w:p>
        </w:tc>
        <w:tc>
          <w:tcPr>
            <w:tcW w:w="1240" w:type="dxa"/>
            <w:vAlign w:val="bottom"/>
          </w:tcPr>
          <w:p>
            <w:pPr>
              <w:jc w:val="right"/>
              <w:spacing w:after="0"/>
              <w:rPr>
                <w:sz w:val="20"/>
                <w:szCs w:val="20"/>
                <w:color w:val="auto"/>
              </w:rPr>
            </w:pPr>
            <w:r>
              <w:rPr>
                <w:rFonts w:ascii="Arial" w:cs="Arial" w:eastAsia="Arial" w:hAnsi="Arial"/>
                <w:sz w:val="12"/>
                <w:szCs w:val="12"/>
                <w:color w:val="auto"/>
              </w:rPr>
              <w:t>22,313,329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8"/>
        <w:spacing w:after="0"/>
        <w:rPr>
          <w:sz w:val="20"/>
          <w:szCs w:val="20"/>
          <w:color w:val="auto"/>
        </w:rPr>
      </w:pPr>
      <w:r>
        <w:rPr>
          <w:rFonts w:ascii="Arial" w:cs="Arial" w:eastAsia="Arial" w:hAnsi="Arial"/>
          <w:sz w:val="12"/>
          <w:szCs w:val="12"/>
          <w:color w:val="auto"/>
        </w:rPr>
        <w:t>Note: Shares were not available prior to the Company’s initial public offering in March 2017.</w:t>
      </w:r>
    </w:p>
    <w:p>
      <w:pPr>
        <w:spacing w:after="0" w:line="150" w:lineRule="exact"/>
        <w:rPr>
          <w:sz w:val="20"/>
          <w:szCs w:val="20"/>
          <w:color w:val="auto"/>
        </w:rPr>
      </w:pPr>
    </w:p>
    <w:p>
      <w:pPr>
        <w:ind w:left="8" w:right="160" w:firstLine="432"/>
        <w:spacing w:after="0" w:line="276" w:lineRule="auto"/>
        <w:rPr>
          <w:sz w:val="20"/>
          <w:szCs w:val="20"/>
          <w:color w:val="auto"/>
        </w:rPr>
      </w:pPr>
      <w:r>
        <w:rPr>
          <w:rFonts w:ascii="Arial" w:cs="Arial" w:eastAsia="Arial" w:hAnsi="Arial"/>
          <w:sz w:val="12"/>
          <w:szCs w:val="12"/>
          <w:color w:val="auto"/>
        </w:rPr>
        <w:t>On May 23, 2017, our Board of Directors approved an authorization for the repurchase of up to $8 million of the Company’s outstanding common stock. We completed the repurchase of 446,671 shares of our common stock for $8,037 during the three months ended June 30, 2017, and reflected the cost of this treasury stock as a reduction of Equity within our Consolidated Balance Sheet as of December 31, 2017.</w:t>
      </w:r>
    </w:p>
    <w:p>
      <w:pPr>
        <w:spacing w:after="0" w:line="115"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9234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2340" cy="17145"/>
                    </a:xfrm>
                    <a:prstGeom prst="rect">
                      <a:avLst/>
                    </a:prstGeom>
                    <a:noFill/>
                  </pic:spPr>
                </pic:pic>
              </a:graphicData>
            </a:graphic>
          </wp:anchor>
        </w:drawing>
      </w:r>
    </w:p>
    <w:p>
      <w:pPr>
        <w:sectPr>
          <w:pgSz w:w="11900" w:h="16838" w:orient="portrait"/>
          <w:cols w:equalWidth="0" w:num="1">
            <w:col w:w="11488"/>
          </w:cols>
          <w:pgMar w:left="212" w:top="197" w:right="199" w:bottom="1440" w:gutter="0" w:footer="0" w:header="0"/>
        </w:sectPr>
      </w:pPr>
    </w:p>
    <w:bookmarkStart w:id="28" w:name="page29"/>
    <w:bookmarkEnd w:id="28"/>
    <w:p>
      <w:pPr>
        <w:ind w:left="8"/>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NI Holdings, Inc.</w:t>
      </w:r>
    </w:p>
    <w:p>
      <w:pPr>
        <w:spacing w:after="0" w:line="5" w:lineRule="exact"/>
        <w:rPr>
          <w:sz w:val="20"/>
          <w:szCs w:val="20"/>
          <w:color w:val="auto"/>
        </w:rPr>
      </w:pPr>
    </w:p>
    <w:p>
      <w:pPr>
        <w:ind w:left="4348"/>
        <w:spacing w:after="0"/>
        <w:rPr>
          <w:sz w:val="20"/>
          <w:szCs w:val="20"/>
          <w:color w:val="auto"/>
        </w:rPr>
      </w:pPr>
      <w:r>
        <w:rPr>
          <w:rFonts w:ascii="Arial" w:cs="Arial" w:eastAsia="Arial" w:hAnsi="Arial"/>
          <w:sz w:val="12"/>
          <w:szCs w:val="12"/>
          <w:b w:val="1"/>
          <w:bCs w:val="1"/>
          <w:color w:val="auto"/>
        </w:rPr>
        <w:t>Notes to Unaudited Consolidated Financial Statements</w:t>
      </w:r>
    </w:p>
    <w:p>
      <w:pPr>
        <w:spacing w:after="0" w:line="6" w:lineRule="exact"/>
        <w:rPr>
          <w:sz w:val="20"/>
          <w:szCs w:val="20"/>
          <w:color w:val="auto"/>
        </w:rPr>
      </w:pPr>
    </w:p>
    <w:p>
      <w:pPr>
        <w:ind w:left="4268"/>
        <w:spacing w:after="0"/>
        <w:rPr>
          <w:sz w:val="20"/>
          <w:szCs w:val="20"/>
          <w:color w:val="auto"/>
        </w:rPr>
      </w:pPr>
      <w:r>
        <w:rPr>
          <w:rFonts w:ascii="Arial" w:cs="Arial" w:eastAsia="Arial" w:hAnsi="Arial"/>
          <w:sz w:val="12"/>
          <w:szCs w:val="12"/>
          <w:b w:val="1"/>
          <w:bCs w:val="1"/>
          <w:color w:val="auto"/>
        </w:rPr>
        <w:t>(dollar amounts in thousands, except per share amounts)</w:t>
      </w:r>
    </w:p>
    <w:p>
      <w:pPr>
        <w:spacing w:after="0" w:line="141" w:lineRule="exact"/>
        <w:rPr>
          <w:sz w:val="20"/>
          <w:szCs w:val="20"/>
          <w:color w:val="auto"/>
        </w:rPr>
      </w:pPr>
    </w:p>
    <w:p>
      <w:pPr>
        <w:ind w:left="8" w:right="40" w:firstLine="432"/>
        <w:spacing w:after="0" w:line="276" w:lineRule="auto"/>
        <w:rPr>
          <w:sz w:val="20"/>
          <w:szCs w:val="20"/>
          <w:color w:val="auto"/>
        </w:rPr>
      </w:pPr>
      <w:r>
        <w:rPr>
          <w:rFonts w:ascii="Arial" w:cs="Arial" w:eastAsia="Arial" w:hAnsi="Arial"/>
          <w:sz w:val="12"/>
          <w:szCs w:val="12"/>
          <w:color w:val="auto"/>
        </w:rPr>
        <w:t>On February 28, 2018, our Board of Directors approved an authorization for the repurchase of up to approximately $10 million of the Company’s outstanding common stock. No shares of our common stock have been repurchased under this authorization.</w:t>
      </w:r>
    </w:p>
    <w:p>
      <w:pPr>
        <w:spacing w:after="0" w:line="84" w:lineRule="exact"/>
        <w:rPr>
          <w:sz w:val="20"/>
          <w:szCs w:val="20"/>
          <w:color w:val="auto"/>
        </w:rPr>
      </w:pPr>
    </w:p>
    <w:p>
      <w:pPr>
        <w:ind w:left="428" w:hanging="428"/>
        <w:spacing w:after="0"/>
        <w:tabs>
          <w:tab w:leader="none" w:pos="428" w:val="left"/>
        </w:tabs>
        <w:numPr>
          <w:ilvl w:val="0"/>
          <w:numId w:val="22"/>
        </w:numPr>
        <w:rPr>
          <w:rFonts w:ascii="Arial" w:cs="Arial" w:eastAsia="Arial" w:hAnsi="Arial"/>
          <w:sz w:val="12"/>
          <w:szCs w:val="12"/>
          <w:b w:val="1"/>
          <w:bCs w:val="1"/>
          <w:color w:val="auto"/>
        </w:rPr>
      </w:pPr>
      <w:r>
        <w:rPr>
          <w:rFonts w:ascii="Arial" w:cs="Arial" w:eastAsia="Arial" w:hAnsi="Arial"/>
          <w:sz w:val="12"/>
          <w:szCs w:val="12"/>
          <w:b w:val="1"/>
          <w:bCs w:val="1"/>
          <w:color w:val="auto"/>
        </w:rPr>
        <w:t>Stock Based Compensation</w:t>
      </w:r>
    </w:p>
    <w:p>
      <w:pPr>
        <w:spacing w:after="0" w:line="82" w:lineRule="exact"/>
        <w:rPr>
          <w:sz w:val="20"/>
          <w:szCs w:val="20"/>
          <w:color w:val="auto"/>
        </w:rPr>
      </w:pPr>
    </w:p>
    <w:p>
      <w:pPr>
        <w:ind w:left="8" w:right="20" w:firstLine="432"/>
        <w:spacing w:after="0" w:line="259" w:lineRule="auto"/>
        <w:rPr>
          <w:sz w:val="20"/>
          <w:szCs w:val="20"/>
          <w:color w:val="auto"/>
        </w:rPr>
      </w:pPr>
      <w:r>
        <w:rPr>
          <w:rFonts w:ascii="Arial" w:cs="Arial" w:eastAsia="Arial" w:hAnsi="Arial"/>
          <w:sz w:val="12"/>
          <w:szCs w:val="12"/>
          <w:color w:val="auto"/>
        </w:rPr>
        <w:t>At its 2017 Annual Shareholders’ Meeting, the NI Holdings, Inc. 2017 Stock and Incentive Plan (the “Plan”) was approved by shareholders. The purpose of the Plan is to promote the interests of the Company and its shareholders by aiding the Company in attracting and retaining employees, officers, consultants, advisors, and non-employee directors capable of assuring the future success of the Company, to offer such persons incentives to put forth maximum efforts for the success of the Company’s business, to compensate such persons through various stock and cash-based arrangements, and to provide them with opportunities for stock ownership in the Company, thereby aligning the interests of such persons with the Company’s shareholders.</w:t>
      </w:r>
    </w:p>
    <w:p>
      <w:pPr>
        <w:spacing w:after="0" w:line="107" w:lineRule="exact"/>
        <w:rPr>
          <w:sz w:val="20"/>
          <w:szCs w:val="20"/>
          <w:color w:val="auto"/>
        </w:rPr>
      </w:pPr>
    </w:p>
    <w:p>
      <w:pPr>
        <w:ind w:left="8" w:right="80" w:firstLine="432"/>
        <w:spacing w:after="0" w:line="263" w:lineRule="auto"/>
        <w:rPr>
          <w:sz w:val="20"/>
          <w:szCs w:val="20"/>
          <w:color w:val="auto"/>
        </w:rPr>
      </w:pPr>
      <w:r>
        <w:rPr>
          <w:rFonts w:ascii="Arial" w:cs="Arial" w:eastAsia="Arial" w:hAnsi="Arial"/>
          <w:sz w:val="12"/>
          <w:szCs w:val="12"/>
          <w:color w:val="auto"/>
        </w:rPr>
        <w:t>The Plan provides for the grant of nonqualified stock options, incentive stock options, restricted stock units (“RSUs”), stock appreciation rights, dividend equivalents, and performance share units (“PSUs”) to employees, officers, consultants, advisors, non-employee directors, and independent contractors designated by the Compensation Committee of the Board of Directors (the “Compensation Committee”). Awards made under the Plan are based upon, among other things, a participant’s level of responsibility and performance within the Company.</w:t>
      </w:r>
    </w:p>
    <w:p>
      <w:pPr>
        <w:spacing w:after="0" w:line="96" w:lineRule="exact"/>
        <w:rPr>
          <w:sz w:val="20"/>
          <w:szCs w:val="20"/>
          <w:color w:val="auto"/>
        </w:rPr>
      </w:pPr>
    </w:p>
    <w:p>
      <w:pPr>
        <w:ind w:left="8" w:firstLine="432"/>
        <w:spacing w:after="0" w:line="259" w:lineRule="auto"/>
        <w:rPr>
          <w:sz w:val="20"/>
          <w:szCs w:val="20"/>
          <w:color w:val="auto"/>
        </w:rPr>
      </w:pPr>
      <w:r>
        <w:rPr>
          <w:rFonts w:ascii="Arial" w:cs="Arial" w:eastAsia="Arial" w:hAnsi="Arial"/>
          <w:sz w:val="12"/>
          <w:szCs w:val="12"/>
          <w:color w:val="auto"/>
        </w:rPr>
        <w:t>The total aggregate number of shares of common stock that awards may be issued under all awards made under the Plan shall not exceed 500,000 shares of common stock, subject to adjustments as provided in the Plan. No eligible participant may be granted more than 100,000 shares from any stock options, stock appreciation rights, or performance awards denominated in shares, in the aggregate in any calendar year, subject to adjustment in accordance with the Plan. The aggregate amount payable pursuant to all performance awards denominated in cash to any eligible person in any calendar year is limited to $1,000 in value. Directors who are not also employees of the Company may not be granted awards denominated in shares that exceed $100 in any calendar year.</w:t>
      </w:r>
    </w:p>
    <w:p>
      <w:pPr>
        <w:spacing w:after="0" w:line="98" w:lineRule="exact"/>
        <w:rPr>
          <w:sz w:val="20"/>
          <w:szCs w:val="20"/>
          <w:color w:val="auto"/>
        </w:rPr>
      </w:pPr>
    </w:p>
    <w:p>
      <w:pPr>
        <w:ind w:left="428"/>
        <w:spacing w:after="0"/>
        <w:rPr>
          <w:sz w:val="20"/>
          <w:szCs w:val="20"/>
          <w:color w:val="auto"/>
        </w:rPr>
      </w:pPr>
      <w:r>
        <w:rPr>
          <w:rFonts w:ascii="Arial" w:cs="Arial" w:eastAsia="Arial" w:hAnsi="Arial"/>
          <w:sz w:val="12"/>
          <w:szCs w:val="12"/>
          <w:b w:val="1"/>
          <w:bCs w:val="1"/>
          <w:i w:val="1"/>
          <w:iCs w:val="1"/>
          <w:color w:val="auto"/>
        </w:rPr>
        <w:t>Restricted Stock Units</w:t>
      </w:r>
    </w:p>
    <w:p>
      <w:pPr>
        <w:spacing w:after="0" w:line="132" w:lineRule="exact"/>
        <w:rPr>
          <w:sz w:val="20"/>
          <w:szCs w:val="20"/>
          <w:color w:val="auto"/>
        </w:rPr>
      </w:pPr>
    </w:p>
    <w:p>
      <w:pPr>
        <w:ind w:left="8" w:right="40" w:firstLine="432"/>
        <w:spacing w:after="0" w:line="259" w:lineRule="auto"/>
        <w:rPr>
          <w:sz w:val="20"/>
          <w:szCs w:val="20"/>
          <w:color w:val="auto"/>
        </w:rPr>
      </w:pPr>
      <w:r>
        <w:rPr>
          <w:rFonts w:ascii="Arial" w:cs="Arial" w:eastAsia="Arial" w:hAnsi="Arial"/>
          <w:sz w:val="12"/>
          <w:szCs w:val="12"/>
          <w:color w:val="auto"/>
        </w:rPr>
        <w:t>On December 1, 2017, the Compensation Committee awarded RSUs to non-employee directors and select executives. RSUs are promises to issue actual shares of common stock at the end of a vesting period. The RSUs granted to executives under the Plan were based on salary and generally vest 20% per year over a five-year period, while RSUs granted to non-employee directors vest in May 2018. Dividend equivalents on RSUs are accrued during the vesting period and paid in cash at the end of the vesting period, but are subject to forfeiture until the underlying shares become vested. Participants do not have voting rights with respect to RSUs. On March 1, 2018, the first tranche of executive RSUs vested.</w:t>
      </w:r>
    </w:p>
    <w:p>
      <w:pPr>
        <w:spacing w:after="0" w:line="98" w:lineRule="exact"/>
        <w:rPr>
          <w:sz w:val="20"/>
          <w:szCs w:val="20"/>
          <w:color w:val="auto"/>
        </w:rPr>
      </w:pPr>
    </w:p>
    <w:p>
      <w:pPr>
        <w:ind w:left="428"/>
        <w:spacing w:after="0"/>
        <w:rPr>
          <w:sz w:val="20"/>
          <w:szCs w:val="20"/>
          <w:color w:val="auto"/>
        </w:rPr>
      </w:pPr>
      <w:r>
        <w:rPr>
          <w:rFonts w:ascii="Arial" w:cs="Arial" w:eastAsia="Arial" w:hAnsi="Arial"/>
          <w:sz w:val="12"/>
          <w:szCs w:val="12"/>
          <w:color w:val="auto"/>
        </w:rPr>
        <w:t>On March 1, 2018, the Compensation Committee awarded additional RSUs to select executives with the same terms as the previous awards.</w:t>
      </w:r>
    </w:p>
    <w:p>
      <w:pPr>
        <w:spacing w:after="0" w:line="12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On May 22, 2018, the RSUs awarded to non-employee directors vested. Additional RSUs were awarded to non-employee directors to vest on the date of the next annual meeting of shareholders.</w:t>
      </w:r>
    </w:p>
    <w:p>
      <w:pPr>
        <w:spacing w:after="0" w:line="132" w:lineRule="exact"/>
        <w:rPr>
          <w:sz w:val="20"/>
          <w:szCs w:val="20"/>
          <w:color w:val="auto"/>
        </w:rPr>
      </w:pPr>
    </w:p>
    <w:p>
      <w:pPr>
        <w:ind w:left="8" w:right="140" w:firstLine="432"/>
        <w:spacing w:after="0" w:line="276" w:lineRule="auto"/>
        <w:rPr>
          <w:sz w:val="20"/>
          <w:szCs w:val="20"/>
          <w:color w:val="auto"/>
        </w:rPr>
      </w:pPr>
      <w:r>
        <w:rPr>
          <w:rFonts w:ascii="Arial" w:cs="Arial" w:eastAsia="Arial" w:hAnsi="Arial"/>
          <w:sz w:val="12"/>
          <w:szCs w:val="12"/>
          <w:color w:val="auto"/>
        </w:rPr>
        <w:t>The Company recognizes stock-based compensation costs based on the grant date fair value over the vesting period of the awards. Estimated forfeitures are included in the determination of compensation costs. No forfeitures are currently estimated.</w:t>
      </w:r>
    </w:p>
    <w:p>
      <w:pPr>
        <w:spacing w:after="0" w:line="88"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9460" w:type="dxa"/>
            <w:vAlign w:val="bottom"/>
            <w:gridSpan w:val="2"/>
          </w:tcPr>
          <w:p>
            <w:pPr>
              <w:ind w:left="420"/>
              <w:spacing w:after="0"/>
              <w:rPr>
                <w:sz w:val="20"/>
                <w:szCs w:val="20"/>
                <w:color w:val="auto"/>
              </w:rPr>
            </w:pPr>
            <w:r>
              <w:rPr>
                <w:rFonts w:ascii="Arial" w:cs="Arial" w:eastAsia="Arial" w:hAnsi="Arial"/>
                <w:sz w:val="12"/>
                <w:szCs w:val="12"/>
                <w:color w:val="auto"/>
              </w:rPr>
              <w:t>A summary of the Company’s outstanding RSUs for the six months ended June 30, 2018, is presented below:</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8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9"/>
              </w:rPr>
              <w:t>Weighted-</w:t>
            </w:r>
          </w:p>
        </w:tc>
        <w:tc>
          <w:tcPr>
            <w:tcW w:w="0" w:type="dxa"/>
            <w:vAlign w:val="bottom"/>
          </w:tcPr>
          <w:p>
            <w:pPr>
              <w:spacing w:after="0"/>
              <w:rPr>
                <w:sz w:val="1"/>
                <w:szCs w:val="1"/>
                <w:color w:val="auto"/>
              </w:rPr>
            </w:pPr>
          </w:p>
        </w:tc>
      </w:tr>
      <w:tr>
        <w:trPr>
          <w:trHeight w:val="144"/>
        </w:trPr>
        <w:tc>
          <w:tcPr>
            <w:tcW w:w="8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2"/>
              </w:rPr>
              <w:t>Average Grant-</w:t>
            </w:r>
          </w:p>
        </w:tc>
        <w:tc>
          <w:tcPr>
            <w:tcW w:w="0" w:type="dxa"/>
            <w:vAlign w:val="bottom"/>
          </w:tcPr>
          <w:p>
            <w:pPr>
              <w:spacing w:after="0"/>
              <w:rPr>
                <w:sz w:val="1"/>
                <w:szCs w:val="1"/>
                <w:color w:val="auto"/>
              </w:rPr>
            </w:pPr>
          </w:p>
        </w:tc>
      </w:tr>
      <w:tr>
        <w:trPr>
          <w:trHeight w:val="144"/>
        </w:trPr>
        <w:tc>
          <w:tcPr>
            <w:tcW w:w="8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2"/>
              </w:rPr>
              <w:t>Date</w:t>
            </w:r>
          </w:p>
        </w:tc>
        <w:tc>
          <w:tcPr>
            <w:tcW w:w="0" w:type="dxa"/>
            <w:vAlign w:val="bottom"/>
          </w:tcPr>
          <w:p>
            <w:pPr>
              <w:spacing w:after="0"/>
              <w:rPr>
                <w:sz w:val="1"/>
                <w:szCs w:val="1"/>
                <w:color w:val="auto"/>
              </w:rPr>
            </w:pPr>
          </w:p>
        </w:tc>
      </w:tr>
      <w:tr>
        <w:trPr>
          <w:trHeight w:val="144"/>
        </w:trPr>
        <w:tc>
          <w:tcPr>
            <w:tcW w:w="8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4"/>
              </w:rPr>
              <w:t>Fair Value</w:t>
            </w:r>
          </w:p>
        </w:tc>
        <w:tc>
          <w:tcPr>
            <w:tcW w:w="0" w:type="dxa"/>
            <w:vAlign w:val="bottom"/>
          </w:tcPr>
          <w:p>
            <w:pPr>
              <w:spacing w:after="0"/>
              <w:rPr>
                <w:sz w:val="1"/>
                <w:szCs w:val="1"/>
                <w:color w:val="auto"/>
              </w:rPr>
            </w:pPr>
          </w:p>
        </w:tc>
      </w:tr>
      <w:tr>
        <w:trPr>
          <w:trHeight w:val="166"/>
        </w:trPr>
        <w:tc>
          <w:tcPr>
            <w:tcW w:w="8620" w:type="dxa"/>
            <w:vAlign w:val="bottom"/>
          </w:tcPr>
          <w:p>
            <w:pPr>
              <w:spacing w:after="0"/>
              <w:rPr>
                <w:sz w:val="14"/>
                <w:szCs w:val="14"/>
                <w:color w:val="auto"/>
              </w:rPr>
            </w:pPr>
          </w:p>
        </w:tc>
        <w:tc>
          <w:tcPr>
            <w:tcW w:w="840" w:type="dxa"/>
            <w:vAlign w:val="bottom"/>
          </w:tcPr>
          <w:p>
            <w:pPr>
              <w:ind w:left="460"/>
              <w:spacing w:after="0"/>
              <w:rPr>
                <w:sz w:val="20"/>
                <w:szCs w:val="20"/>
                <w:color w:val="auto"/>
              </w:rPr>
            </w:pPr>
            <w:r>
              <w:rPr>
                <w:rFonts w:ascii="Arial" w:cs="Arial" w:eastAsia="Arial" w:hAnsi="Arial"/>
                <w:sz w:val="12"/>
                <w:szCs w:val="12"/>
                <w:b w:val="1"/>
                <w:bCs w:val="1"/>
                <w:color w:val="auto"/>
                <w:w w:val="89"/>
              </w:rPr>
              <w:t>Shares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2"/>
              </w:rPr>
              <w:t>Per Share</w:t>
            </w:r>
          </w:p>
        </w:tc>
        <w:tc>
          <w:tcPr>
            <w:tcW w:w="0" w:type="dxa"/>
            <w:vAlign w:val="bottom"/>
          </w:tcPr>
          <w:p>
            <w:pPr>
              <w:spacing w:after="0"/>
              <w:rPr>
                <w:sz w:val="1"/>
                <w:szCs w:val="1"/>
                <w:color w:val="auto"/>
              </w:rPr>
            </w:pPr>
          </w:p>
        </w:tc>
      </w:tr>
      <w:tr>
        <w:trPr>
          <w:trHeight w:val="133"/>
        </w:trPr>
        <w:tc>
          <w:tcPr>
            <w:tcW w:w="862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Units outstanding at December 31, 2017</w:t>
            </w:r>
          </w:p>
        </w:tc>
        <w:tc>
          <w:tcPr>
            <w:tcW w:w="84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65,500</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CEEFF"/>
          </w:tcPr>
          <w:p>
            <w:pPr>
              <w:ind w:left="840"/>
              <w:spacing w:after="0" w:line="133" w:lineRule="exact"/>
              <w:rPr>
                <w:sz w:val="20"/>
                <w:szCs w:val="20"/>
                <w:color w:val="auto"/>
              </w:rPr>
            </w:pPr>
            <w:r>
              <w:rPr>
                <w:rFonts w:ascii="Arial" w:cs="Arial" w:eastAsia="Arial" w:hAnsi="Arial"/>
                <w:sz w:val="12"/>
                <w:szCs w:val="12"/>
                <w:color w:val="auto"/>
                <w:w w:val="79"/>
              </w:rPr>
              <w:t>17.31</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460" w:type="dxa"/>
            <w:vAlign w:val="bottom"/>
            <w:gridSpan w:val="2"/>
          </w:tcPr>
          <w:p>
            <w:pPr>
              <w:ind w:left="80"/>
              <w:spacing w:after="0"/>
              <w:rPr>
                <w:sz w:val="20"/>
                <w:szCs w:val="20"/>
                <w:color w:val="auto"/>
              </w:rPr>
            </w:pPr>
            <w:r>
              <w:rPr>
                <w:rFonts w:ascii="Arial" w:cs="Arial" w:eastAsia="Arial" w:hAnsi="Arial"/>
                <w:sz w:val="12"/>
                <w:szCs w:val="12"/>
                <w:color w:val="auto"/>
              </w:rPr>
              <w:t>Grants</w:t>
            </w: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40,000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ind w:left="840"/>
              <w:spacing w:after="0"/>
              <w:rPr>
                <w:sz w:val="20"/>
                <w:szCs w:val="20"/>
                <w:color w:val="auto"/>
              </w:rPr>
            </w:pPr>
            <w:r>
              <w:rPr>
                <w:rFonts w:ascii="Arial" w:cs="Arial" w:eastAsia="Arial" w:hAnsi="Arial"/>
                <w:sz w:val="12"/>
                <w:szCs w:val="12"/>
                <w:color w:val="auto"/>
              </w:rPr>
              <w:t>16.25</w:t>
            </w:r>
          </w:p>
        </w:tc>
        <w:tc>
          <w:tcPr>
            <w:tcW w:w="0" w:type="dxa"/>
            <w:vAlign w:val="bottom"/>
          </w:tcPr>
          <w:p>
            <w:pPr>
              <w:spacing w:after="0"/>
              <w:rPr>
                <w:sz w:val="1"/>
                <w:szCs w:val="1"/>
                <w:color w:val="auto"/>
              </w:rPr>
            </w:pPr>
          </w:p>
        </w:tc>
      </w:tr>
      <w:tr>
        <w:trPr>
          <w:trHeight w:val="153"/>
        </w:trPr>
        <w:tc>
          <w:tcPr>
            <w:tcW w:w="8620" w:type="dxa"/>
            <w:vAlign w:val="bottom"/>
            <w:shd w:val="clear" w:color="auto" w:fill="CCEEFF"/>
          </w:tcPr>
          <w:p>
            <w:pPr>
              <w:ind w:left="80"/>
              <w:spacing w:after="0"/>
              <w:rPr>
                <w:sz w:val="20"/>
                <w:szCs w:val="20"/>
                <w:color w:val="auto"/>
              </w:rPr>
            </w:pPr>
            <w:r>
              <w:rPr>
                <w:rFonts w:ascii="Arial" w:cs="Arial" w:eastAsia="Arial" w:hAnsi="Arial"/>
                <w:sz w:val="12"/>
                <w:szCs w:val="12"/>
                <w:color w:val="auto"/>
              </w:rPr>
              <w:t>Vested</w:t>
            </w:r>
          </w:p>
        </w:tc>
        <w:tc>
          <w:tcPr>
            <w:tcW w:w="8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8"/>
              </w:rPr>
              <w:t>(26,200)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ind w:left="840"/>
              <w:spacing w:after="0"/>
              <w:rPr>
                <w:sz w:val="20"/>
                <w:szCs w:val="20"/>
                <w:color w:val="auto"/>
              </w:rPr>
            </w:pPr>
            <w:r>
              <w:rPr>
                <w:rFonts w:ascii="Arial" w:cs="Arial" w:eastAsia="Arial" w:hAnsi="Arial"/>
                <w:sz w:val="12"/>
                <w:szCs w:val="12"/>
                <w:color w:val="auto"/>
              </w:rPr>
              <w:t>17.31</w:t>
            </w:r>
          </w:p>
        </w:tc>
        <w:tc>
          <w:tcPr>
            <w:tcW w:w="0" w:type="dxa"/>
            <w:vAlign w:val="bottom"/>
          </w:tcPr>
          <w:p>
            <w:pPr>
              <w:spacing w:after="0"/>
              <w:rPr>
                <w:sz w:val="1"/>
                <w:szCs w:val="1"/>
                <w:color w:val="auto"/>
              </w:rPr>
            </w:pPr>
          </w:p>
        </w:tc>
      </w:tr>
      <w:tr>
        <w:trPr>
          <w:trHeight w:val="20"/>
        </w:trPr>
        <w:tc>
          <w:tcPr>
            <w:tcW w:w="8620" w:type="dxa"/>
            <w:vAlign w:val="bottom"/>
            <w:vMerge w:val="restart"/>
          </w:tcPr>
          <w:p>
            <w:pPr>
              <w:spacing w:after="0"/>
              <w:rPr>
                <w:sz w:val="20"/>
                <w:szCs w:val="20"/>
                <w:color w:val="auto"/>
              </w:rPr>
            </w:pPr>
            <w:r>
              <w:rPr>
                <w:rFonts w:ascii="Arial" w:cs="Arial" w:eastAsia="Arial" w:hAnsi="Arial"/>
                <w:sz w:val="12"/>
                <w:szCs w:val="12"/>
                <w:color w:val="auto"/>
              </w:rPr>
              <w:t>Units outstanding at June 30, 2018</w:t>
            </w: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vMerge w:val="restart"/>
          </w:tcPr>
          <w:p>
            <w:pPr>
              <w:jc w:val="right"/>
              <w:ind w:right="30"/>
              <w:spacing w:after="0"/>
              <w:rPr>
                <w:sz w:val="20"/>
                <w:szCs w:val="20"/>
                <w:color w:val="auto"/>
              </w:rPr>
            </w:pPr>
            <w:r>
              <w:rPr>
                <w:rFonts w:ascii="Arial" w:cs="Arial" w:eastAsia="Arial" w:hAnsi="Arial"/>
                <w:sz w:val="12"/>
                <w:szCs w:val="12"/>
                <w:color w:val="auto"/>
              </w:rPr>
              <w:t>$</w:t>
            </w:r>
          </w:p>
        </w:tc>
        <w:tc>
          <w:tcPr>
            <w:tcW w:w="1220" w:type="dxa"/>
            <w:vAlign w:val="bottom"/>
            <w:gridSpan w:val="2"/>
            <w:vMerge w:val="restart"/>
          </w:tcPr>
          <w:p>
            <w:pPr>
              <w:ind w:left="840"/>
              <w:spacing w:after="0"/>
              <w:rPr>
                <w:sz w:val="20"/>
                <w:szCs w:val="20"/>
                <w:color w:val="auto"/>
              </w:rPr>
            </w:pPr>
            <w:r>
              <w:rPr>
                <w:rFonts w:ascii="Arial" w:cs="Arial" w:eastAsia="Arial" w:hAnsi="Arial"/>
                <w:sz w:val="12"/>
                <w:szCs w:val="12"/>
                <w:color w:val="auto"/>
              </w:rPr>
              <w:t>16.88</w:t>
            </w:r>
          </w:p>
        </w:tc>
        <w:tc>
          <w:tcPr>
            <w:tcW w:w="0" w:type="dxa"/>
            <w:vAlign w:val="bottom"/>
          </w:tcPr>
          <w:p>
            <w:pPr>
              <w:spacing w:after="0" w:line="20" w:lineRule="exact"/>
              <w:rPr>
                <w:sz w:val="1"/>
                <w:szCs w:val="1"/>
                <w:color w:val="auto"/>
              </w:rPr>
            </w:pPr>
          </w:p>
        </w:tc>
      </w:tr>
      <w:tr>
        <w:trPr>
          <w:trHeight w:val="149"/>
        </w:trPr>
        <w:tc>
          <w:tcPr>
            <w:tcW w:w="862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79,300</w:t>
            </w:r>
          </w:p>
        </w:tc>
        <w:tc>
          <w:tcPr>
            <w:tcW w:w="24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39"/>
        </w:trPr>
        <w:tc>
          <w:tcPr>
            <w:tcW w:w="8620" w:type="dxa"/>
            <w:vAlign w:val="bottom"/>
            <w:tcBorders>
              <w:bottom w:val="single" w:sz="8" w:color="auto"/>
            </w:tcBorders>
          </w:tcPr>
          <w:p>
            <w:pPr>
              <w:ind w:left="5680"/>
              <w:spacing w:after="0"/>
              <w:rPr>
                <w:sz w:val="20"/>
                <w:szCs w:val="20"/>
                <w:color w:val="auto"/>
              </w:rPr>
            </w:pPr>
            <w:r>
              <w:rPr>
                <w:rFonts w:ascii="Arial" w:cs="Arial" w:eastAsia="Arial" w:hAnsi="Arial"/>
                <w:sz w:val="12"/>
                <w:szCs w:val="12"/>
                <w:color w:val="auto"/>
              </w:rPr>
              <w:t>27</w:t>
            </w:r>
          </w:p>
        </w:tc>
        <w:tc>
          <w:tcPr>
            <w:tcW w:w="84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8"/>
          </w:cols>
          <w:pgMar w:left="212" w:top="197" w:right="19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NI Holdings, Inc.</w:t>
      </w:r>
    </w:p>
    <w:p>
      <w:pPr>
        <w:spacing w:after="0" w:line="5" w:lineRule="exact"/>
        <w:rPr>
          <w:sz w:val="20"/>
          <w:szCs w:val="20"/>
          <w:color w:val="auto"/>
        </w:rPr>
      </w:pPr>
    </w:p>
    <w:p>
      <w:pPr>
        <w:ind w:left="4340"/>
        <w:spacing w:after="0"/>
        <w:rPr>
          <w:sz w:val="20"/>
          <w:szCs w:val="20"/>
          <w:color w:val="auto"/>
        </w:rPr>
      </w:pPr>
      <w:r>
        <w:rPr>
          <w:rFonts w:ascii="Arial" w:cs="Arial" w:eastAsia="Arial" w:hAnsi="Arial"/>
          <w:sz w:val="12"/>
          <w:szCs w:val="12"/>
          <w:b w:val="1"/>
          <w:bCs w:val="1"/>
          <w:color w:val="auto"/>
        </w:rPr>
        <w:t>Notes to Unaudited Consolidated Financial Statements</w:t>
      </w:r>
    </w:p>
    <w:p>
      <w:pPr>
        <w:spacing w:after="0" w:line="6" w:lineRule="exact"/>
        <w:rPr>
          <w:sz w:val="20"/>
          <w:szCs w:val="20"/>
          <w:color w:val="auto"/>
        </w:rPr>
      </w:pPr>
    </w:p>
    <w:p>
      <w:pPr>
        <w:ind w:left="4260"/>
        <w:spacing w:after="0"/>
        <w:rPr>
          <w:sz w:val="20"/>
          <w:szCs w:val="20"/>
          <w:color w:val="auto"/>
        </w:rPr>
      </w:pPr>
      <w:r>
        <w:rPr>
          <w:rFonts w:ascii="Arial" w:cs="Arial" w:eastAsia="Arial" w:hAnsi="Arial"/>
          <w:sz w:val="12"/>
          <w:szCs w:val="12"/>
          <w:b w:val="1"/>
          <w:bCs w:val="1"/>
          <w:color w:val="auto"/>
        </w:rPr>
        <w:t>(dollar amounts in thousands, except per share amounts)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180" w:type="dxa"/>
            <w:vAlign w:val="bottom"/>
          </w:tcPr>
          <w:p>
            <w:pPr>
              <w:ind w:left="420"/>
              <w:spacing w:after="0"/>
              <w:rPr>
                <w:sz w:val="20"/>
                <w:szCs w:val="20"/>
                <w:color w:val="auto"/>
              </w:rPr>
            </w:pPr>
            <w:r>
              <w:rPr>
                <w:rFonts w:ascii="Arial" w:cs="Arial" w:eastAsia="Arial" w:hAnsi="Arial"/>
                <w:sz w:val="12"/>
                <w:szCs w:val="12"/>
                <w:color w:val="auto"/>
              </w:rPr>
              <w:t>The following table shows the impact of RSU activity to the Company’s financial results:</w:t>
            </w:r>
          </w:p>
        </w:tc>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5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40" w:type="dxa"/>
            <w:vAlign w:val="bottom"/>
            <w:gridSpan w:val="4"/>
          </w:tcPr>
          <w:p>
            <w:pPr>
              <w:jc w:val="right"/>
              <w:ind w:right="227"/>
              <w:spacing w:after="0"/>
              <w:rPr>
                <w:sz w:val="20"/>
                <w:szCs w:val="20"/>
                <w:color w:val="auto"/>
              </w:rPr>
            </w:pPr>
            <w:r>
              <w:rPr>
                <w:rFonts w:ascii="Arial" w:cs="Arial" w:eastAsia="Arial" w:hAnsi="Arial"/>
                <w:sz w:val="12"/>
                <w:szCs w:val="12"/>
                <w:b w:val="1"/>
                <w:bCs w:val="1"/>
                <w:color w:val="auto"/>
              </w:rPr>
              <w:t>Three Months Ended June 30,</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560" w:type="dxa"/>
            <w:vAlign w:val="bottom"/>
            <w:gridSpan w:val="6"/>
          </w:tcPr>
          <w:p>
            <w:pPr>
              <w:ind w:left="380"/>
              <w:spacing w:after="0"/>
              <w:rPr>
                <w:sz w:val="20"/>
                <w:szCs w:val="20"/>
                <w:color w:val="auto"/>
              </w:rPr>
            </w:pPr>
            <w:r>
              <w:rPr>
                <w:rFonts w:ascii="Arial" w:cs="Arial" w:eastAsia="Arial" w:hAnsi="Arial"/>
                <w:sz w:val="12"/>
                <w:szCs w:val="12"/>
                <w:b w:val="1"/>
                <w:bCs w:val="1"/>
                <w:color w:val="auto"/>
              </w:rPr>
              <w:t>Six Months Ended June 30,</w:t>
            </w:r>
          </w:p>
        </w:tc>
        <w:tc>
          <w:tcPr>
            <w:tcW w:w="0" w:type="dxa"/>
            <w:vAlign w:val="bottom"/>
          </w:tcPr>
          <w:p>
            <w:pPr>
              <w:spacing w:after="0"/>
              <w:rPr>
                <w:sz w:val="1"/>
                <w:szCs w:val="1"/>
                <w:color w:val="auto"/>
              </w:rPr>
            </w:pPr>
          </w:p>
        </w:tc>
      </w:tr>
      <w:tr>
        <w:trPr>
          <w:trHeight w:val="142"/>
        </w:trPr>
        <w:tc>
          <w:tcPr>
            <w:tcW w:w="518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2"/>
                <w:szCs w:val="12"/>
                <w:b w:val="1"/>
                <w:bCs w:val="1"/>
                <w:color w:val="auto"/>
              </w:rPr>
              <w:t>2018</w:t>
            </w:r>
          </w:p>
        </w:tc>
        <w:tc>
          <w:tcPr>
            <w:tcW w:w="3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2"/>
                <w:szCs w:val="12"/>
                <w:b w:val="1"/>
                <w:bCs w:val="1"/>
                <w:color w:val="auto"/>
              </w:rPr>
              <w:t>2017</w:t>
            </w:r>
          </w:p>
        </w:tc>
        <w:tc>
          <w:tcPr>
            <w:tcW w:w="32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1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RSU compensation expense</w:t>
            </w:r>
          </w:p>
        </w:tc>
        <w:tc>
          <w:tcPr>
            <w:tcW w:w="46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803"/>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208</w:t>
            </w: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827"/>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ind w:left="200"/>
              <w:spacing w:after="0" w:line="133" w:lineRule="exact"/>
              <w:rPr>
                <w:sz w:val="20"/>
                <w:szCs w:val="20"/>
                <w:color w:val="auto"/>
              </w:rPr>
            </w:pPr>
            <w:r>
              <w:rPr>
                <w:rFonts w:ascii="Arial" w:cs="Arial" w:eastAsia="Arial" w:hAnsi="Arial"/>
                <w:sz w:val="12"/>
                <w:szCs w:val="12"/>
                <w:color w:val="auto"/>
                <w:w w:val="82"/>
              </w:rPr>
              <w:t>—</w:t>
            </w: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642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ind w:left="840"/>
              <w:spacing w:after="0" w:line="133" w:lineRule="exact"/>
              <w:rPr>
                <w:sz w:val="20"/>
                <w:szCs w:val="20"/>
                <w:color w:val="auto"/>
              </w:rPr>
            </w:pPr>
            <w:r>
              <w:rPr>
                <w:rFonts w:ascii="Arial" w:cs="Arial" w:eastAsia="Arial" w:hAnsi="Arial"/>
                <w:sz w:val="12"/>
                <w:szCs w:val="12"/>
                <w:color w:val="auto"/>
                <w:w w:val="82"/>
              </w:rPr>
              <w:t>—</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180" w:type="dxa"/>
            <w:vAlign w:val="bottom"/>
          </w:tcPr>
          <w:p>
            <w:pPr>
              <w:spacing w:after="0"/>
              <w:rPr>
                <w:sz w:val="20"/>
                <w:szCs w:val="20"/>
                <w:color w:val="auto"/>
              </w:rPr>
            </w:pPr>
            <w:r>
              <w:rPr>
                <w:rFonts w:ascii="Arial" w:cs="Arial" w:eastAsia="Arial" w:hAnsi="Arial"/>
                <w:sz w:val="12"/>
                <w:szCs w:val="12"/>
                <w:color w:val="auto"/>
              </w:rPr>
              <w:t>Income tax benefit</w:t>
            </w:r>
          </w:p>
        </w:tc>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2"/>
                <w:szCs w:val="12"/>
                <w:color w:val="auto"/>
              </w:rPr>
              <w:t>(44)</w:t>
            </w:r>
          </w:p>
        </w:tc>
        <w:tc>
          <w:tcPr>
            <w:tcW w:w="940" w:type="dxa"/>
            <w:vAlign w:val="bottom"/>
          </w:tcPr>
          <w:p>
            <w:pPr>
              <w:spacing w:after="0"/>
              <w:rPr>
                <w:sz w:val="13"/>
                <w:szCs w:val="13"/>
                <w:color w:val="auto"/>
              </w:rPr>
            </w:pPr>
          </w:p>
        </w:tc>
        <w:tc>
          <w:tcPr>
            <w:tcW w:w="560" w:type="dxa"/>
            <w:vAlign w:val="bottom"/>
            <w:gridSpan w:val="2"/>
          </w:tcPr>
          <w:p>
            <w:pPr>
              <w:ind w:left="2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(135)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tcPr>
          <w:p>
            <w:pPr>
              <w:ind w:left="8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5180" w:type="dxa"/>
            <w:vAlign w:val="bottom"/>
            <w:vMerge w:val="restart"/>
            <w:shd w:val="clear" w:color="auto" w:fill="CCEEFF"/>
          </w:tcPr>
          <w:p>
            <w:pPr>
              <w:ind w:left="80"/>
              <w:spacing w:after="0"/>
              <w:rPr>
                <w:sz w:val="20"/>
                <w:szCs w:val="20"/>
                <w:color w:val="auto"/>
              </w:rPr>
            </w:pPr>
            <w:r>
              <w:rPr>
                <w:rFonts w:ascii="Arial" w:cs="Arial" w:eastAsia="Arial" w:hAnsi="Arial"/>
                <w:sz w:val="12"/>
                <w:szCs w:val="12"/>
                <w:color w:val="auto"/>
              </w:rPr>
              <w:t>RSU compensation expense, net of income taxes</w:t>
            </w:r>
          </w:p>
        </w:tc>
        <w:tc>
          <w:tcPr>
            <w:tcW w:w="4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180" w:type="dxa"/>
            <w:vAlign w:val="bottom"/>
            <w:vMerge w:val="continue"/>
            <w:shd w:val="clear" w:color="auto" w:fill="CCEEFF"/>
          </w:tcPr>
          <w:p>
            <w:pPr>
              <w:spacing w:after="0"/>
              <w:rPr>
                <w:sz w:val="12"/>
                <w:szCs w:val="12"/>
                <w:color w:val="auto"/>
              </w:rPr>
            </w:pPr>
          </w:p>
        </w:tc>
        <w:tc>
          <w:tcPr>
            <w:tcW w:w="1380" w:type="dxa"/>
            <w:vAlign w:val="bottom"/>
            <w:gridSpan w:val="2"/>
            <w:shd w:val="clear" w:color="auto" w:fill="CCEEFF"/>
          </w:tcPr>
          <w:p>
            <w:pPr>
              <w:jc w:val="right"/>
              <w:ind w:right="803"/>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164</w:t>
            </w: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827"/>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507</w:t>
            </w:r>
          </w:p>
        </w:tc>
        <w:tc>
          <w:tcPr>
            <w:tcW w:w="380" w:type="dxa"/>
            <w:vAlign w:val="bottom"/>
            <w:gridSpan w:val="2"/>
            <w:shd w:val="clear" w:color="auto" w:fill="CCEEFF"/>
          </w:tcPr>
          <w:p>
            <w:pPr>
              <w:jc w:val="right"/>
              <w:ind w:right="17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ind w:left="8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
        </w:trPr>
        <w:tc>
          <w:tcPr>
            <w:tcW w:w="51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2"/>
          <w:szCs w:val="12"/>
          <w:color w:val="auto"/>
        </w:rPr>
        <w:t>Note: Share-based compensation was not available prior to the Company’s initial public offering in March 2017.</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At June 30, 2018, there was $1,021 of unrecognized compensation cost related to outstanding RSUs. That cost is expected to be recognized over a weighted-average period of 3.55 years.</w:t>
      </w:r>
    </w:p>
    <w:p>
      <w:pPr>
        <w:spacing w:after="0" w:line="132"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Performance Stock Units</w:t>
      </w:r>
    </w:p>
    <w:p>
      <w:pPr>
        <w:spacing w:after="0" w:line="123" w:lineRule="exact"/>
        <w:rPr>
          <w:sz w:val="20"/>
          <w:szCs w:val="20"/>
          <w:color w:val="auto"/>
        </w:rPr>
      </w:pPr>
    </w:p>
    <w:p>
      <w:pPr>
        <w:ind w:right="100" w:firstLine="432"/>
        <w:spacing w:after="0" w:line="290" w:lineRule="auto"/>
        <w:rPr>
          <w:sz w:val="20"/>
          <w:szCs w:val="20"/>
          <w:color w:val="auto"/>
        </w:rPr>
      </w:pPr>
      <w:r>
        <w:rPr>
          <w:rFonts w:ascii="Arial" w:cs="Arial" w:eastAsia="Arial" w:hAnsi="Arial"/>
          <w:sz w:val="11"/>
          <w:szCs w:val="11"/>
          <w:color w:val="auto"/>
        </w:rPr>
        <w:t>On March 1, 2018, the Compensation Committee awarded PSUs to select executives. PSUs are promises to issue actual shares of common stock at the end of a vesting period, if certain performance conditions are met. The PSUs granted to employees under the Plan were based on salary and include a three-year book value cumulative growth target with threshold and stretch goals. They will vest on the third anniversary of the grant date, subject to the participant’s continuous employment through the vesting date and the level of performance achieved. Dividend equivalents on PSUs are accrued and paid in cash at the end of the performance period in accordance with the level of performance achieved, but are subject to forfeiture until the underlying shares become vested. Participants do not have voting rights with respect to PSUs.</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0"/>
          <w:szCs w:val="10"/>
          <w:color w:val="auto"/>
        </w:rPr>
        <w:t>The Company recognizes stock-based compensation costs based on the grant date fair value over the performance period of the awards. Estimated forfeitures are included in the determination of compensation costs. No forfeitures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440" w:type="dxa"/>
            <w:vAlign w:val="bottom"/>
          </w:tcPr>
          <w:p>
            <w:pPr>
              <w:spacing w:after="0"/>
              <w:rPr>
                <w:sz w:val="20"/>
                <w:szCs w:val="20"/>
                <w:color w:val="auto"/>
              </w:rPr>
            </w:pPr>
            <w:r>
              <w:rPr>
                <w:rFonts w:ascii="Arial" w:cs="Arial" w:eastAsia="Arial" w:hAnsi="Arial"/>
                <w:sz w:val="12"/>
                <w:szCs w:val="12"/>
                <w:color w:val="auto"/>
                <w:w w:val="92"/>
              </w:rPr>
              <w:t>are currently estimated. The current cost estimate assumes that the cumulative growth target will be achieved.</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6560" w:type="dxa"/>
            <w:vAlign w:val="bottom"/>
            <w:gridSpan w:val="3"/>
          </w:tcPr>
          <w:p>
            <w:pPr>
              <w:ind w:left="420"/>
              <w:spacing w:after="0"/>
              <w:rPr>
                <w:sz w:val="20"/>
                <w:szCs w:val="20"/>
                <w:color w:val="auto"/>
              </w:rPr>
            </w:pPr>
            <w:r>
              <w:rPr>
                <w:rFonts w:ascii="Arial" w:cs="Arial" w:eastAsia="Arial" w:hAnsi="Arial"/>
                <w:sz w:val="12"/>
                <w:szCs w:val="12"/>
                <w:color w:val="auto"/>
              </w:rPr>
              <w:t>A summary of the Company’s outstanding PSUs for the six months ended June 30, 2018, is presented below:</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5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Weighted-Average</w:t>
            </w:r>
          </w:p>
        </w:tc>
        <w:tc>
          <w:tcPr>
            <w:tcW w:w="0" w:type="dxa"/>
            <w:vAlign w:val="bottom"/>
          </w:tcPr>
          <w:p>
            <w:pPr>
              <w:spacing w:after="0"/>
              <w:rPr>
                <w:sz w:val="1"/>
                <w:szCs w:val="1"/>
                <w:color w:val="auto"/>
              </w:rPr>
            </w:pPr>
          </w:p>
        </w:tc>
      </w:tr>
      <w:tr>
        <w:trPr>
          <w:trHeight w:val="144"/>
        </w:trPr>
        <w:tc>
          <w:tcPr>
            <w:tcW w:w="5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6"/>
              </w:rPr>
              <w:t>Grant-Date</w:t>
            </w:r>
          </w:p>
        </w:tc>
        <w:tc>
          <w:tcPr>
            <w:tcW w:w="0" w:type="dxa"/>
            <w:vAlign w:val="bottom"/>
          </w:tcPr>
          <w:p>
            <w:pPr>
              <w:spacing w:after="0"/>
              <w:rPr>
                <w:sz w:val="1"/>
                <w:szCs w:val="1"/>
                <w:color w:val="auto"/>
              </w:rPr>
            </w:pPr>
          </w:p>
        </w:tc>
      </w:tr>
      <w:tr>
        <w:trPr>
          <w:trHeight w:val="144"/>
        </w:trPr>
        <w:tc>
          <w:tcPr>
            <w:tcW w:w="5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89"/>
              </w:rPr>
              <w:t>Performance Share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4"/>
              </w:rPr>
              <w:t>Fair Value</w:t>
            </w:r>
          </w:p>
        </w:tc>
        <w:tc>
          <w:tcPr>
            <w:tcW w:w="0" w:type="dxa"/>
            <w:vAlign w:val="bottom"/>
          </w:tcPr>
          <w:p>
            <w:pPr>
              <w:spacing w:after="0"/>
              <w:rPr>
                <w:sz w:val="1"/>
                <w:szCs w:val="1"/>
                <w:color w:val="auto"/>
              </w:rPr>
            </w:pPr>
          </w:p>
        </w:tc>
      </w:tr>
      <w:tr>
        <w:trPr>
          <w:trHeight w:val="166"/>
        </w:trPr>
        <w:tc>
          <w:tcPr>
            <w:tcW w:w="5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2"/>
                <w:szCs w:val="12"/>
                <w:b w:val="1"/>
                <w:bCs w:val="1"/>
                <w:color w:val="auto"/>
              </w:rPr>
              <w:t>Units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Per Share</w:t>
            </w:r>
          </w:p>
        </w:tc>
        <w:tc>
          <w:tcPr>
            <w:tcW w:w="0" w:type="dxa"/>
            <w:vAlign w:val="bottom"/>
          </w:tcPr>
          <w:p>
            <w:pPr>
              <w:spacing w:after="0"/>
              <w:rPr>
                <w:sz w:val="1"/>
                <w:szCs w:val="1"/>
                <w:color w:val="auto"/>
              </w:rPr>
            </w:pPr>
          </w:p>
        </w:tc>
      </w:tr>
      <w:tr>
        <w:trPr>
          <w:trHeight w:val="133"/>
        </w:trPr>
        <w:tc>
          <w:tcPr>
            <w:tcW w:w="54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Units outstanding at December 31, 2017</w:t>
            </w:r>
          </w:p>
        </w:tc>
        <w:tc>
          <w:tcPr>
            <w:tcW w:w="20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180" w:type="dxa"/>
            <w:vAlign w:val="bottom"/>
            <w:tcBorders>
              <w:top w:val="single" w:sz="8" w:color="auto"/>
              <w:right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CEEFF"/>
          </w:tcPr>
          <w:p>
            <w:pPr>
              <w:ind w:left="1020"/>
              <w:spacing w:after="0" w:line="133" w:lineRule="exact"/>
              <w:rPr>
                <w:sz w:val="20"/>
                <w:szCs w:val="20"/>
                <w:color w:val="auto"/>
              </w:rPr>
            </w:pPr>
            <w:r>
              <w:rPr>
                <w:rFonts w:ascii="Arial" w:cs="Arial" w:eastAsia="Arial" w:hAnsi="Arial"/>
                <w:sz w:val="12"/>
                <w:szCs w:val="12"/>
                <w:color w:val="auto"/>
                <w:w w:val="82"/>
              </w:rPr>
              <w:t>—</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440" w:type="dxa"/>
            <w:vAlign w:val="bottom"/>
          </w:tcPr>
          <w:p>
            <w:pPr>
              <w:ind w:left="80"/>
              <w:spacing w:after="0"/>
              <w:rPr>
                <w:sz w:val="20"/>
                <w:szCs w:val="20"/>
                <w:color w:val="auto"/>
              </w:rPr>
            </w:pPr>
            <w:r>
              <w:rPr>
                <w:rFonts w:ascii="Arial" w:cs="Arial" w:eastAsia="Arial" w:hAnsi="Arial"/>
                <w:sz w:val="12"/>
                <w:szCs w:val="12"/>
                <w:color w:val="auto"/>
              </w:rPr>
              <w:t>Grants (at target)</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48,600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16.25</w:t>
            </w:r>
          </w:p>
        </w:tc>
        <w:tc>
          <w:tcPr>
            <w:tcW w:w="0" w:type="dxa"/>
            <w:vAlign w:val="bottom"/>
          </w:tcPr>
          <w:p>
            <w:pPr>
              <w:spacing w:after="0"/>
              <w:rPr>
                <w:sz w:val="1"/>
                <w:szCs w:val="1"/>
                <w:color w:val="auto"/>
              </w:rPr>
            </w:pPr>
          </w:p>
        </w:tc>
      </w:tr>
      <w:tr>
        <w:trPr>
          <w:trHeight w:val="20"/>
        </w:trPr>
        <w:tc>
          <w:tcPr>
            <w:tcW w:w="544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Units outstanding at June 30, 2018</w:t>
            </w: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16.25</w:t>
            </w:r>
          </w:p>
        </w:tc>
        <w:tc>
          <w:tcPr>
            <w:tcW w:w="0" w:type="dxa"/>
            <w:vAlign w:val="bottom"/>
          </w:tcPr>
          <w:p>
            <w:pPr>
              <w:spacing w:after="0" w:line="20" w:lineRule="exact"/>
              <w:rPr>
                <w:sz w:val="1"/>
                <w:szCs w:val="1"/>
                <w:color w:val="auto"/>
              </w:rPr>
            </w:pPr>
          </w:p>
        </w:tc>
      </w:tr>
      <w:tr>
        <w:trPr>
          <w:trHeight w:val="162"/>
        </w:trPr>
        <w:tc>
          <w:tcPr>
            <w:tcW w:w="544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48,600</w:t>
            </w:r>
          </w:p>
        </w:tc>
        <w:tc>
          <w:tcPr>
            <w:tcW w:w="120" w:type="dxa"/>
            <w:vAlign w:val="bottom"/>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12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536"/>
        </w:trPr>
        <w:tc>
          <w:tcPr>
            <w:tcW w:w="5440" w:type="dxa"/>
            <w:vAlign w:val="bottom"/>
            <w:tcBorders>
              <w:top w:val="single" w:sz="8" w:color="CCEEFF"/>
            </w:tcBorders>
          </w:tcPr>
          <w:p>
            <w:pPr>
              <w:ind w:left="420"/>
              <w:spacing w:after="0"/>
              <w:rPr>
                <w:sz w:val="20"/>
                <w:szCs w:val="20"/>
                <w:color w:val="auto"/>
              </w:rPr>
            </w:pPr>
            <w:r>
              <w:rPr>
                <w:rFonts w:ascii="Arial" w:cs="Arial" w:eastAsia="Arial" w:hAnsi="Arial"/>
                <w:sz w:val="12"/>
                <w:szCs w:val="12"/>
                <w:color w:val="auto"/>
              </w:rPr>
              <w:t>The following table shows the impact of PSU activity to the Company’s financial results:</w:t>
            </w:r>
          </w:p>
        </w:tc>
        <w:tc>
          <w:tcPr>
            <w:tcW w:w="20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5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4"/>
          </w:tcPr>
          <w:p>
            <w:pPr>
              <w:jc w:val="right"/>
              <w:ind w:right="227"/>
              <w:spacing w:after="0"/>
              <w:rPr>
                <w:sz w:val="20"/>
                <w:szCs w:val="20"/>
                <w:color w:val="auto"/>
              </w:rPr>
            </w:pPr>
            <w:r>
              <w:rPr>
                <w:rFonts w:ascii="Arial" w:cs="Arial" w:eastAsia="Arial" w:hAnsi="Arial"/>
                <w:sz w:val="12"/>
                <w:szCs w:val="12"/>
                <w:b w:val="1"/>
                <w:bCs w:val="1"/>
                <w:color w:val="auto"/>
              </w:rPr>
              <w:t>Three Months Ended June 30,</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gridSpan w:val="6"/>
          </w:tcPr>
          <w:p>
            <w:pPr>
              <w:jc w:val="right"/>
              <w:ind w:right="780"/>
              <w:spacing w:after="0"/>
              <w:rPr>
                <w:sz w:val="20"/>
                <w:szCs w:val="20"/>
                <w:color w:val="auto"/>
              </w:rPr>
            </w:pPr>
            <w:r>
              <w:rPr>
                <w:rFonts w:ascii="Arial" w:cs="Arial" w:eastAsia="Arial" w:hAnsi="Arial"/>
                <w:sz w:val="12"/>
                <w:szCs w:val="12"/>
                <w:b w:val="1"/>
                <w:bCs w:val="1"/>
                <w:color w:val="auto"/>
              </w:rPr>
              <w:t>Six Months Ended June 30,</w:t>
            </w:r>
          </w:p>
        </w:tc>
        <w:tc>
          <w:tcPr>
            <w:tcW w:w="0" w:type="dxa"/>
            <w:vAlign w:val="bottom"/>
          </w:tcPr>
          <w:p>
            <w:pPr>
              <w:spacing w:after="0"/>
              <w:rPr>
                <w:sz w:val="1"/>
                <w:szCs w:val="1"/>
                <w:color w:val="auto"/>
              </w:rPr>
            </w:pPr>
          </w:p>
        </w:tc>
      </w:tr>
      <w:tr>
        <w:trPr>
          <w:trHeight w:val="142"/>
        </w:trPr>
        <w:tc>
          <w:tcPr>
            <w:tcW w:w="54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2"/>
                <w:szCs w:val="12"/>
                <w:b w:val="1"/>
                <w:bCs w:val="1"/>
                <w:color w:val="auto"/>
              </w:rPr>
              <w:t>2018</w:t>
            </w:r>
          </w:p>
        </w:tc>
        <w:tc>
          <w:tcPr>
            <w:tcW w:w="3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2"/>
                <w:szCs w:val="12"/>
                <w:b w:val="1"/>
                <w:bCs w:val="1"/>
                <w:color w:val="auto"/>
              </w:rPr>
              <w:t>2017</w:t>
            </w:r>
          </w:p>
        </w:tc>
        <w:tc>
          <w:tcPr>
            <w:tcW w:w="32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center"/>
              <w:ind w:right="40"/>
              <w:spacing w:after="0"/>
              <w:rPr>
                <w:sz w:val="20"/>
                <w:szCs w:val="20"/>
                <w:color w:val="auto"/>
              </w:rPr>
            </w:pPr>
            <w:r>
              <w:rPr>
                <w:rFonts w:ascii="Arial" w:cs="Arial" w:eastAsia="Arial" w:hAnsi="Arial"/>
                <w:sz w:val="12"/>
                <w:szCs w:val="12"/>
                <w:b w:val="1"/>
                <w:bCs w:val="1"/>
                <w:color w:val="auto"/>
                <w:w w:val="89"/>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4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PSU compensation expense</w:t>
            </w: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803"/>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71</w:t>
            </w: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jc w:val="right"/>
              <w:ind w:right="827"/>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ind w:left="200"/>
              <w:spacing w:after="0" w:line="133" w:lineRule="exact"/>
              <w:rPr>
                <w:sz w:val="20"/>
                <w:szCs w:val="20"/>
                <w:color w:val="auto"/>
              </w:rPr>
            </w:pPr>
            <w:r>
              <w:rPr>
                <w:rFonts w:ascii="Arial" w:cs="Arial" w:eastAsia="Arial" w:hAnsi="Arial"/>
                <w:sz w:val="12"/>
                <w:szCs w:val="12"/>
                <w:color w:val="auto"/>
                <w:w w:val="82"/>
              </w:rPr>
              <w:t>—</w:t>
            </w:r>
          </w:p>
        </w:tc>
        <w:tc>
          <w:tcPr>
            <w:tcW w:w="2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Borders>
              <w:right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93</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ind w:left="1020"/>
              <w:spacing w:after="0" w:line="133" w:lineRule="exact"/>
              <w:rPr>
                <w:sz w:val="20"/>
                <w:szCs w:val="20"/>
                <w:color w:val="auto"/>
              </w:rPr>
            </w:pPr>
            <w:r>
              <w:rPr>
                <w:rFonts w:ascii="Arial" w:cs="Arial" w:eastAsia="Arial" w:hAnsi="Arial"/>
                <w:sz w:val="12"/>
                <w:szCs w:val="12"/>
                <w:color w:val="auto"/>
                <w:w w:val="82"/>
              </w:rPr>
              <w:t>—</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440" w:type="dxa"/>
            <w:vAlign w:val="bottom"/>
          </w:tcPr>
          <w:p>
            <w:pPr>
              <w:spacing w:after="0"/>
              <w:rPr>
                <w:sz w:val="20"/>
                <w:szCs w:val="20"/>
                <w:color w:val="auto"/>
              </w:rPr>
            </w:pPr>
            <w:r>
              <w:rPr>
                <w:rFonts w:ascii="Arial" w:cs="Arial" w:eastAsia="Arial" w:hAnsi="Arial"/>
                <w:sz w:val="12"/>
                <w:szCs w:val="12"/>
                <w:color w:val="auto"/>
              </w:rPr>
              <w:t>Income tax benefit</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2"/>
                <w:szCs w:val="12"/>
                <w:color w:val="auto"/>
              </w:rPr>
              <w:t>(15)</w:t>
            </w:r>
          </w:p>
        </w:tc>
        <w:tc>
          <w:tcPr>
            <w:tcW w:w="940" w:type="dxa"/>
            <w:vAlign w:val="bottom"/>
          </w:tcPr>
          <w:p>
            <w:pPr>
              <w:spacing w:after="0"/>
              <w:rPr>
                <w:sz w:val="13"/>
                <w:szCs w:val="13"/>
                <w:color w:val="auto"/>
              </w:rPr>
            </w:pPr>
          </w:p>
        </w:tc>
        <w:tc>
          <w:tcPr>
            <w:tcW w:w="560" w:type="dxa"/>
            <w:vAlign w:val="bottom"/>
            <w:gridSpan w:val="2"/>
          </w:tcPr>
          <w:p>
            <w:pPr>
              <w:ind w:lef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5440" w:type="dxa"/>
            <w:vAlign w:val="bottom"/>
            <w:vMerge w:val="restart"/>
            <w:shd w:val="clear" w:color="auto" w:fill="CCEEFF"/>
          </w:tcPr>
          <w:p>
            <w:pPr>
              <w:ind w:left="80"/>
              <w:spacing w:after="0"/>
              <w:rPr>
                <w:sz w:val="20"/>
                <w:szCs w:val="20"/>
                <w:color w:val="auto"/>
              </w:rPr>
            </w:pPr>
            <w:r>
              <w:rPr>
                <w:rFonts w:ascii="Arial" w:cs="Arial" w:eastAsia="Arial" w:hAnsi="Arial"/>
                <w:sz w:val="12"/>
                <w:szCs w:val="12"/>
                <w:color w:val="auto"/>
              </w:rPr>
              <w:t>PSU compensation expense, net of income taxes</w:t>
            </w: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440" w:type="dxa"/>
            <w:vAlign w:val="bottom"/>
            <w:vMerge w:val="continue"/>
            <w:shd w:val="clear" w:color="auto" w:fill="CCEEFF"/>
          </w:tcPr>
          <w:p>
            <w:pPr>
              <w:spacing w:after="0"/>
              <w:rPr>
                <w:sz w:val="12"/>
                <w:szCs w:val="12"/>
                <w:color w:val="auto"/>
              </w:rPr>
            </w:pPr>
          </w:p>
        </w:tc>
        <w:tc>
          <w:tcPr>
            <w:tcW w:w="1120" w:type="dxa"/>
            <w:vAlign w:val="bottom"/>
            <w:gridSpan w:val="2"/>
            <w:shd w:val="clear" w:color="auto" w:fill="CCEEFF"/>
          </w:tcPr>
          <w:p>
            <w:pPr>
              <w:jc w:val="right"/>
              <w:ind w:right="803"/>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w:t>
            </w: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827"/>
              <w:spacing w:after="0"/>
              <w:rPr>
                <w:sz w:val="20"/>
                <w:szCs w:val="20"/>
                <w:color w:val="auto"/>
              </w:rPr>
            </w:pPr>
            <w:r>
              <w:rPr>
                <w:rFonts w:ascii="Arial" w:cs="Arial" w:eastAsia="Arial" w:hAnsi="Arial"/>
                <w:sz w:val="10"/>
                <w:szCs w:val="10"/>
                <w:color w:val="auto"/>
                <w:w w:val="71"/>
              </w:rPr>
              <w:t>$</w:t>
            </w:r>
          </w:p>
        </w:tc>
        <w:tc>
          <w:tcPr>
            <w:tcW w:w="56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
        </w:trPr>
        <w:tc>
          <w:tcPr>
            <w:tcW w:w="54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8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Note: Share-based compensation was not available prior to the Company’s initial public offering in March 2017.</w:t>
      </w:r>
    </w:p>
    <w:p>
      <w:pPr>
        <w:spacing w:after="0" w:line="150" w:lineRule="exact"/>
        <w:rPr>
          <w:sz w:val="20"/>
          <w:szCs w:val="20"/>
          <w:color w:val="auto"/>
        </w:rPr>
      </w:pPr>
    </w:p>
    <w:p>
      <w:pPr>
        <w:jc w:val="both"/>
        <w:ind w:right="100" w:firstLine="432"/>
        <w:spacing w:after="0" w:line="276" w:lineRule="auto"/>
        <w:rPr>
          <w:sz w:val="20"/>
          <w:szCs w:val="20"/>
          <w:color w:val="auto"/>
        </w:rPr>
      </w:pPr>
      <w:r>
        <w:rPr>
          <w:rFonts w:ascii="Arial" w:cs="Arial" w:eastAsia="Arial" w:hAnsi="Arial"/>
          <w:sz w:val="12"/>
          <w:szCs w:val="12"/>
          <w:color w:val="auto"/>
        </w:rPr>
        <w:t>The PSU grants above represent initial target awards and do not reflect potential increases or decreases resulting from financial performance objectives to be determined at the end of the performance period. The actual number of shares to be issued at the end of the performance period will range from 0% to 150% of the initial target awards.</w:t>
      </w:r>
    </w:p>
    <w:p>
      <w:pPr>
        <w:spacing w:after="0" w:line="8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At June 30, 2018, there was $697 of unrecognized compensation cost related to outstanding PSUs. That cost is expected to be recognized over a weighted-average period of 2.50 years.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2340" cy="1714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bookmarkStart w:id="30" w:name="page31"/>
    <w:bookmarkEnd w:id="30"/>
    <w:p>
      <w:pPr>
        <w:ind w:left="8"/>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NI Holdings, Inc.</w:t>
      </w:r>
    </w:p>
    <w:p>
      <w:pPr>
        <w:spacing w:after="0" w:line="5" w:lineRule="exact"/>
        <w:rPr>
          <w:sz w:val="20"/>
          <w:szCs w:val="20"/>
          <w:color w:val="auto"/>
        </w:rPr>
      </w:pPr>
    </w:p>
    <w:p>
      <w:pPr>
        <w:ind w:left="4348"/>
        <w:spacing w:after="0"/>
        <w:rPr>
          <w:sz w:val="20"/>
          <w:szCs w:val="20"/>
          <w:color w:val="auto"/>
        </w:rPr>
      </w:pPr>
      <w:r>
        <w:rPr>
          <w:rFonts w:ascii="Arial" w:cs="Arial" w:eastAsia="Arial" w:hAnsi="Arial"/>
          <w:sz w:val="12"/>
          <w:szCs w:val="12"/>
          <w:b w:val="1"/>
          <w:bCs w:val="1"/>
          <w:color w:val="auto"/>
        </w:rPr>
        <w:t>Notes to Unaudited Consolidated Financial Statements</w:t>
      </w:r>
    </w:p>
    <w:p>
      <w:pPr>
        <w:spacing w:after="0" w:line="6" w:lineRule="exact"/>
        <w:rPr>
          <w:sz w:val="20"/>
          <w:szCs w:val="20"/>
          <w:color w:val="auto"/>
        </w:rPr>
      </w:pPr>
    </w:p>
    <w:p>
      <w:pPr>
        <w:ind w:left="4268"/>
        <w:spacing w:after="0"/>
        <w:rPr>
          <w:sz w:val="20"/>
          <w:szCs w:val="20"/>
          <w:color w:val="auto"/>
        </w:rPr>
      </w:pPr>
      <w:r>
        <w:rPr>
          <w:rFonts w:ascii="Arial" w:cs="Arial" w:eastAsia="Arial" w:hAnsi="Arial"/>
          <w:sz w:val="12"/>
          <w:szCs w:val="12"/>
          <w:b w:val="1"/>
          <w:bCs w:val="1"/>
          <w:color w:val="auto"/>
        </w:rPr>
        <w:t>(dollar amounts in thousands, except per share amounts)</w:t>
      </w:r>
    </w:p>
    <w:p>
      <w:pPr>
        <w:spacing w:after="0" w:line="281" w:lineRule="exact"/>
        <w:rPr>
          <w:sz w:val="20"/>
          <w:szCs w:val="20"/>
          <w:color w:val="auto"/>
        </w:rPr>
      </w:pPr>
    </w:p>
    <w:p>
      <w:pPr>
        <w:ind w:left="428" w:hanging="428"/>
        <w:spacing w:after="0"/>
        <w:tabs>
          <w:tab w:leader="none" w:pos="428" w:val="left"/>
        </w:tabs>
        <w:numPr>
          <w:ilvl w:val="0"/>
          <w:numId w:val="23"/>
        </w:numPr>
        <w:rPr>
          <w:rFonts w:ascii="Arial" w:cs="Arial" w:eastAsia="Arial" w:hAnsi="Arial"/>
          <w:sz w:val="12"/>
          <w:szCs w:val="12"/>
          <w:b w:val="1"/>
          <w:bCs w:val="1"/>
          <w:color w:val="auto"/>
        </w:rPr>
      </w:pPr>
      <w:r>
        <w:rPr>
          <w:rFonts w:ascii="Arial" w:cs="Arial" w:eastAsia="Arial" w:hAnsi="Arial"/>
          <w:sz w:val="12"/>
          <w:szCs w:val="12"/>
          <w:b w:val="1"/>
          <w:bCs w:val="1"/>
          <w:color w:val="auto"/>
        </w:rPr>
        <w:t>Earnings Per Share</w:t>
      </w:r>
    </w:p>
    <w:p>
      <w:pPr>
        <w:spacing w:after="0" w:line="82" w:lineRule="exact"/>
        <w:rPr>
          <w:sz w:val="20"/>
          <w:szCs w:val="20"/>
          <w:color w:val="auto"/>
        </w:rPr>
      </w:pPr>
    </w:p>
    <w:p>
      <w:pPr>
        <w:jc w:val="both"/>
        <w:ind w:left="8" w:right="100" w:firstLine="424"/>
        <w:spacing w:after="0" w:line="259" w:lineRule="auto"/>
        <w:rPr>
          <w:sz w:val="20"/>
          <w:szCs w:val="20"/>
          <w:color w:val="auto"/>
        </w:rPr>
      </w:pPr>
      <w:r>
        <w:rPr>
          <w:rFonts w:ascii="Arial" w:cs="Arial" w:eastAsia="Arial" w:hAnsi="Arial"/>
          <w:sz w:val="12"/>
          <w:szCs w:val="12"/>
          <w:color w:val="auto"/>
        </w:rPr>
        <w:t>As described in Note 1, the conversion of the mutual company to a stock company resulted in the issuance of NI Holdings common shares on March 13, 2017. Earnings per share are computed by dividing net income available to common shareholders for the period by the weighted average number of common shares outstanding for the same period. The weighted average number of common shares outstanding was 22,377,421 and 22,369,632, respectively, during the three and six months ended June 30, 2018, and 22,663,280 and 22,711,373, respectively, during the three and six months ended June 30, 2017. For the period prior to the date of the conversion, we assumed that the net common shares issued in the initial public offering of 22,760,000 shares were outstanding since January 1, 2017.</w:t>
      </w:r>
    </w:p>
    <w:p>
      <w:pPr>
        <w:spacing w:after="0" w:line="53" w:lineRule="exact"/>
        <w:rPr>
          <w:sz w:val="20"/>
          <w:szCs w:val="20"/>
          <w:color w:val="auto"/>
        </w:rPr>
      </w:pPr>
    </w:p>
    <w:p>
      <w:pPr>
        <w:ind w:left="428"/>
        <w:spacing w:after="0"/>
        <w:rPr>
          <w:sz w:val="20"/>
          <w:szCs w:val="20"/>
          <w:color w:val="auto"/>
        </w:rPr>
      </w:pPr>
      <w:r>
        <w:rPr>
          <w:rFonts w:ascii="Arial" w:cs="Arial" w:eastAsia="Arial" w:hAnsi="Arial"/>
          <w:sz w:val="11"/>
          <w:szCs w:val="11"/>
          <w:color w:val="auto"/>
        </w:rPr>
        <w:t>Unearned ESOP shares are not considered outstanding until they are released and allocated to plan participants. Unearned RSU and PSU shares are not considered outstanding until they are earned by award participants.</w:t>
      </w:r>
    </w:p>
    <w:p>
      <w:pPr>
        <w:spacing w:after="0" w:line="9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 presents a reconciliation of the numerators and denominators we used in the basic and diluted per share computations for our common stock:</w:t>
      </w:r>
    </w:p>
    <w:p>
      <w:pPr>
        <w:spacing w:after="0" w:line="128"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960" w:type="dxa"/>
            <w:vAlign w:val="bottom"/>
            <w:gridSpan w:val="5"/>
          </w:tcPr>
          <w:p>
            <w:pPr>
              <w:jc w:val="right"/>
              <w:ind w:right="840"/>
              <w:spacing w:after="0"/>
              <w:rPr>
                <w:sz w:val="20"/>
                <w:szCs w:val="20"/>
                <w:color w:val="auto"/>
              </w:rPr>
            </w:pPr>
            <w:r>
              <w:rPr>
                <w:rFonts w:ascii="Arial" w:cs="Arial" w:eastAsia="Arial" w:hAnsi="Arial"/>
                <w:sz w:val="12"/>
                <w:szCs w:val="12"/>
                <w:b w:val="1"/>
                <w:bCs w:val="1"/>
                <w:color w:val="auto"/>
              </w:rPr>
              <w:t>Three Months Ended June 30,</w:t>
            </w:r>
          </w:p>
        </w:tc>
        <w:tc>
          <w:tcPr>
            <w:tcW w:w="280" w:type="dxa"/>
            <w:vAlign w:val="bottom"/>
          </w:tcPr>
          <w:p>
            <w:pPr>
              <w:spacing w:after="0"/>
              <w:rPr>
                <w:sz w:val="13"/>
                <w:szCs w:val="13"/>
                <w:color w:val="auto"/>
              </w:rPr>
            </w:pPr>
          </w:p>
        </w:tc>
        <w:tc>
          <w:tcPr>
            <w:tcW w:w="2560" w:type="dxa"/>
            <w:vAlign w:val="bottom"/>
            <w:gridSpan w:val="6"/>
          </w:tcPr>
          <w:p>
            <w:pPr>
              <w:jc w:val="right"/>
              <w:ind w:right="780"/>
              <w:spacing w:after="0"/>
              <w:rPr>
                <w:sz w:val="20"/>
                <w:szCs w:val="20"/>
                <w:color w:val="auto"/>
              </w:rPr>
            </w:pPr>
            <w:r>
              <w:rPr>
                <w:rFonts w:ascii="Arial" w:cs="Arial" w:eastAsia="Arial" w:hAnsi="Arial"/>
                <w:sz w:val="12"/>
                <w:szCs w:val="12"/>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2017</w:t>
            </w:r>
          </w:p>
        </w:tc>
        <w:tc>
          <w:tcPr>
            <w:tcW w:w="24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2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Basic earnings per common share:</w:t>
            </w:r>
          </w:p>
        </w:tc>
        <w:tc>
          <w:tcPr>
            <w:tcW w:w="1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60" w:type="dxa"/>
            <w:vAlign w:val="bottom"/>
          </w:tcPr>
          <w:p>
            <w:pPr>
              <w:spacing w:after="0"/>
              <w:rPr>
                <w:sz w:val="20"/>
                <w:szCs w:val="20"/>
                <w:color w:val="auto"/>
              </w:rPr>
            </w:pPr>
            <w:r>
              <w:rPr>
                <w:rFonts w:ascii="Arial" w:cs="Arial" w:eastAsia="Arial" w:hAnsi="Arial"/>
                <w:sz w:val="12"/>
                <w:szCs w:val="12"/>
                <w:color w:val="auto"/>
              </w:rPr>
              <w:t>Numerator:</w:t>
            </w: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income attributable to NI Holdings, Inc.</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226</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129</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6,348</w:t>
            </w:r>
          </w:p>
        </w:tc>
        <w:tc>
          <w:tcPr>
            <w:tcW w:w="400" w:type="dxa"/>
            <w:vAlign w:val="bottom"/>
            <w:gridSpan w:val="2"/>
            <w:shd w:val="clear" w:color="auto" w:fill="CCEEFF"/>
          </w:tcPr>
          <w:p>
            <w:pPr>
              <w:jc w:val="right"/>
              <w:ind w:right="17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4,818</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260" w:type="dxa"/>
            <w:vAlign w:val="bottom"/>
            <w:tcBorders>
              <w:top w:val="single" w:sz="8" w:color="CCEEFF"/>
            </w:tcBorders>
          </w:tcPr>
          <w:p>
            <w:pPr>
              <w:ind w:left="60"/>
              <w:spacing w:after="0" w:line="132" w:lineRule="exact"/>
              <w:rPr>
                <w:sz w:val="20"/>
                <w:szCs w:val="20"/>
                <w:color w:val="auto"/>
              </w:rPr>
            </w:pPr>
            <w:r>
              <w:rPr>
                <w:rFonts w:ascii="Arial" w:cs="Arial" w:eastAsia="Arial" w:hAnsi="Arial"/>
                <w:sz w:val="12"/>
                <w:szCs w:val="12"/>
                <w:color w:val="auto"/>
              </w:rPr>
              <w:t>Denominator:</w:t>
            </w:r>
          </w:p>
        </w:tc>
        <w:tc>
          <w:tcPr>
            <w:tcW w:w="1360" w:type="dxa"/>
            <w:vAlign w:val="bottom"/>
            <w:tcBorders>
              <w:top w:val="single" w:sz="8" w:color="CCEEFF"/>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Weighted average shares outstanding</w:t>
            </w:r>
          </w:p>
        </w:tc>
        <w:tc>
          <w:tcPr>
            <w:tcW w:w="1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22,377,421</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22,663,280</w:t>
            </w:r>
          </w:p>
        </w:tc>
        <w:tc>
          <w:tcPr>
            <w:tcW w:w="2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22,369,632</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22,711,373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260" w:type="dxa"/>
            <w:vAlign w:val="bottom"/>
            <w:tcBorders>
              <w:top w:val="single" w:sz="8" w:color="CCEEFF"/>
              <w:bottom w:val="single" w:sz="8" w:color="CCEEFF"/>
            </w:tcBorders>
          </w:tcPr>
          <w:p>
            <w:pPr>
              <w:ind w:left="60"/>
              <w:spacing w:after="0" w:line="132" w:lineRule="exact"/>
              <w:rPr>
                <w:sz w:val="20"/>
                <w:szCs w:val="20"/>
                <w:color w:val="auto"/>
              </w:rPr>
            </w:pPr>
            <w:r>
              <w:rPr>
                <w:rFonts w:ascii="Arial" w:cs="Arial" w:eastAsia="Arial" w:hAnsi="Arial"/>
                <w:sz w:val="12"/>
                <w:szCs w:val="12"/>
                <w:color w:val="auto"/>
              </w:rPr>
              <w:t>Basic earnings per common share</w:t>
            </w:r>
          </w:p>
        </w:tc>
        <w:tc>
          <w:tcPr>
            <w:tcW w:w="1360" w:type="dxa"/>
            <w:vAlign w:val="bottom"/>
            <w:tcBorders>
              <w:top w:val="single" w:sz="8" w:color="CCEEFF"/>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122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0.01</w:t>
            </w:r>
          </w:p>
        </w:tc>
        <w:tc>
          <w:tcPr>
            <w:tcW w:w="240" w:type="dxa"/>
            <w:vAlign w:val="bottom"/>
            <w:tcBorders>
              <w:top w:val="single" w:sz="8" w:color="CCEEFF"/>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0.01</w:t>
            </w:r>
          </w:p>
        </w:tc>
        <w:tc>
          <w:tcPr>
            <w:tcW w:w="240" w:type="dxa"/>
            <w:vAlign w:val="bottom"/>
            <w:tcBorders>
              <w:top w:val="single" w:sz="8" w:color="CCEEFF"/>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0.28</w:t>
            </w:r>
          </w:p>
        </w:tc>
        <w:tc>
          <w:tcPr>
            <w:tcW w:w="10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0.21</w:t>
            </w:r>
          </w:p>
        </w:tc>
        <w:tc>
          <w:tcPr>
            <w:tcW w:w="12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2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260" w:type="dxa"/>
            <w:vAlign w:val="bottom"/>
          </w:tcPr>
          <w:p>
            <w:pPr>
              <w:spacing w:after="0"/>
              <w:rPr>
                <w:sz w:val="20"/>
                <w:szCs w:val="20"/>
                <w:color w:val="auto"/>
              </w:rPr>
            </w:pPr>
            <w:r>
              <w:rPr>
                <w:rFonts w:ascii="Arial" w:cs="Arial" w:eastAsia="Arial" w:hAnsi="Arial"/>
                <w:sz w:val="12"/>
                <w:szCs w:val="12"/>
                <w:color w:val="auto"/>
              </w:rPr>
              <w:t>Diluted earnings per common share:</w:t>
            </w: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60" w:type="dxa"/>
            <w:vAlign w:val="bottom"/>
            <w:shd w:val="clear" w:color="auto" w:fill="CCEEFF"/>
          </w:tcPr>
          <w:p>
            <w:pPr>
              <w:ind w:left="60"/>
              <w:spacing w:after="0"/>
              <w:rPr>
                <w:sz w:val="20"/>
                <w:szCs w:val="20"/>
                <w:color w:val="auto"/>
              </w:rPr>
            </w:pPr>
            <w:r>
              <w:rPr>
                <w:rFonts w:ascii="Arial" w:cs="Arial" w:eastAsia="Arial" w:hAnsi="Arial"/>
                <w:sz w:val="12"/>
                <w:szCs w:val="12"/>
                <w:color w:val="auto"/>
              </w:rPr>
              <w:t>Numerator:</w:t>
            </w:r>
          </w:p>
        </w:tc>
        <w:tc>
          <w:tcPr>
            <w:tcW w:w="1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60" w:type="dxa"/>
            <w:vAlign w:val="bottom"/>
          </w:tcPr>
          <w:p>
            <w:pPr>
              <w:ind w:left="140"/>
              <w:spacing w:after="0"/>
              <w:rPr>
                <w:sz w:val="20"/>
                <w:szCs w:val="20"/>
                <w:color w:val="auto"/>
              </w:rPr>
            </w:pPr>
            <w:r>
              <w:rPr>
                <w:rFonts w:ascii="Arial" w:cs="Arial" w:eastAsia="Arial" w:hAnsi="Arial"/>
                <w:sz w:val="12"/>
                <w:szCs w:val="12"/>
                <w:color w:val="auto"/>
              </w:rPr>
              <w:t>Net income attributable to NI Holdings, Inc.</w:t>
            </w:r>
          </w:p>
        </w:tc>
        <w:tc>
          <w:tcPr>
            <w:tcW w:w="14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226</w:t>
            </w:r>
          </w:p>
        </w:tc>
        <w:tc>
          <w:tcPr>
            <w:tcW w:w="240" w:type="dxa"/>
            <w:vAlign w:val="bottom"/>
          </w:tcPr>
          <w:p>
            <w:pPr>
              <w:spacing w:after="0"/>
              <w:rPr>
                <w:sz w:val="14"/>
                <w:szCs w:val="14"/>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240"/>
              <w:spacing w:after="0"/>
              <w:rPr>
                <w:sz w:val="20"/>
                <w:szCs w:val="20"/>
                <w:color w:val="auto"/>
              </w:rPr>
            </w:pPr>
            <w:r>
              <w:rPr>
                <w:rFonts w:ascii="Arial" w:cs="Arial" w:eastAsia="Arial" w:hAnsi="Arial"/>
                <w:sz w:val="12"/>
                <w:szCs w:val="12"/>
                <w:color w:val="auto"/>
              </w:rPr>
              <w:t>129</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2"/>
                <w:szCs w:val="12"/>
                <w:color w:val="auto"/>
              </w:rPr>
              <w:t>6,348</w:t>
            </w:r>
          </w:p>
        </w:tc>
        <w:tc>
          <w:tcPr>
            <w:tcW w:w="400" w:type="dxa"/>
            <w:vAlign w:val="bottom"/>
            <w:gridSpan w:val="2"/>
          </w:tcPr>
          <w:p>
            <w:pPr>
              <w:jc w:val="right"/>
              <w:ind w:right="170"/>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4,818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6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2"/>
                <w:szCs w:val="12"/>
                <w:color w:val="auto"/>
              </w:rPr>
              <w:t>Denominator:</w:t>
            </w:r>
          </w:p>
        </w:tc>
        <w:tc>
          <w:tcPr>
            <w:tcW w:w="13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60" w:type="dxa"/>
            <w:vAlign w:val="bottom"/>
          </w:tcPr>
          <w:p>
            <w:pPr>
              <w:ind w:left="140"/>
              <w:spacing w:after="0"/>
              <w:rPr>
                <w:sz w:val="20"/>
                <w:szCs w:val="20"/>
                <w:color w:val="auto"/>
              </w:rPr>
            </w:pPr>
            <w:r>
              <w:rPr>
                <w:rFonts w:ascii="Arial" w:cs="Arial" w:eastAsia="Arial" w:hAnsi="Arial"/>
                <w:sz w:val="12"/>
                <w:szCs w:val="12"/>
                <w:color w:val="auto"/>
              </w:rPr>
              <w:t>Number of shares used in basic computation</w:t>
            </w: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22,377,421</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2"/>
                <w:szCs w:val="12"/>
                <w:color w:val="auto"/>
              </w:rPr>
              <w:t>22,663,280</w:t>
            </w:r>
          </w:p>
        </w:tc>
        <w:tc>
          <w:tcPr>
            <w:tcW w:w="280" w:type="dxa"/>
            <w:vAlign w:val="bottom"/>
          </w:tcPr>
          <w:p>
            <w:pPr>
              <w:spacing w:after="0"/>
              <w:rPr>
                <w:sz w:val="12"/>
                <w:szCs w:val="1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2"/>
                <w:szCs w:val="12"/>
                <w:color w:val="auto"/>
              </w:rPr>
              <w:t>22,369,632</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22,711,373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Weighted average effect of dilutive securities</w:t>
            </w:r>
          </w:p>
        </w:tc>
        <w:tc>
          <w:tcPr>
            <w:tcW w:w="1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260" w:type="dxa"/>
            <w:vAlign w:val="bottom"/>
          </w:tcPr>
          <w:p>
            <w:pPr>
              <w:ind w:left="240"/>
              <w:spacing w:after="0"/>
              <w:rPr>
                <w:sz w:val="20"/>
                <w:szCs w:val="20"/>
                <w:color w:val="auto"/>
              </w:rPr>
            </w:pPr>
            <w:r>
              <w:rPr>
                <w:rFonts w:ascii="Arial" w:cs="Arial" w:eastAsia="Arial" w:hAnsi="Arial"/>
                <w:sz w:val="12"/>
                <w:szCs w:val="12"/>
                <w:color w:val="auto"/>
              </w:rPr>
              <w:t>Add: Restricted stock units and performance share units</w:t>
            </w: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2"/>
                <w:szCs w:val="12"/>
                <w:color w:val="auto"/>
              </w:rPr>
              <w:t>19,537</w:t>
            </w:r>
          </w:p>
        </w:tc>
        <w:tc>
          <w:tcPr>
            <w:tcW w:w="280" w:type="dxa"/>
            <w:vAlign w:val="bottom"/>
          </w:tcPr>
          <w:p>
            <w:pPr>
              <w:spacing w:after="0"/>
              <w:rPr>
                <w:sz w:val="13"/>
                <w:szCs w:val="13"/>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2"/>
                <w:szCs w:val="12"/>
                <w:color w:val="auto"/>
              </w:rPr>
              <w:t>15,939</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vMerge w:val="restart"/>
            <w:shd w:val="clear" w:color="auto" w:fill="CCEEFF"/>
          </w:tcPr>
          <w:p>
            <w:pPr>
              <w:ind w:left="320"/>
              <w:spacing w:after="0"/>
              <w:rPr>
                <w:sz w:val="20"/>
                <w:szCs w:val="20"/>
                <w:color w:val="auto"/>
              </w:rPr>
            </w:pPr>
            <w:r>
              <w:rPr>
                <w:rFonts w:ascii="Arial" w:cs="Arial" w:eastAsia="Arial" w:hAnsi="Arial"/>
                <w:sz w:val="12"/>
                <w:szCs w:val="12"/>
                <w:color w:val="auto"/>
              </w:rPr>
              <w:t>Number of shares used in per share computations</w:t>
            </w:r>
          </w:p>
        </w:tc>
        <w:tc>
          <w:tcPr>
            <w:tcW w:w="1360" w:type="dxa"/>
            <w:vAlign w:val="bottom"/>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4260" w:type="dxa"/>
            <w:vAlign w:val="bottom"/>
            <w:vMerge w:val="continue"/>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22,396,958</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22,663,280</w:t>
            </w:r>
          </w:p>
        </w:tc>
        <w:tc>
          <w:tcPr>
            <w:tcW w:w="2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22,385,571</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22,711,373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260" w:type="dxa"/>
            <w:vAlign w:val="bottom"/>
            <w:tcBorders>
              <w:top w:val="single" w:sz="8" w:color="CCEEFF"/>
            </w:tcBorders>
          </w:tcPr>
          <w:p>
            <w:pPr>
              <w:ind w:left="60"/>
              <w:spacing w:after="0" w:line="132" w:lineRule="exact"/>
              <w:rPr>
                <w:sz w:val="20"/>
                <w:szCs w:val="20"/>
                <w:color w:val="auto"/>
              </w:rPr>
            </w:pPr>
            <w:r>
              <w:rPr>
                <w:rFonts w:ascii="Arial" w:cs="Arial" w:eastAsia="Arial" w:hAnsi="Arial"/>
                <w:sz w:val="12"/>
                <w:szCs w:val="12"/>
                <w:color w:val="auto"/>
              </w:rPr>
              <w:t>Diluted earnings per common share</w:t>
            </w:r>
          </w:p>
        </w:tc>
        <w:tc>
          <w:tcPr>
            <w:tcW w:w="1360" w:type="dxa"/>
            <w:vAlign w:val="bottom"/>
            <w:tcBorders>
              <w:top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122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0.01</w:t>
            </w:r>
          </w:p>
        </w:tc>
        <w:tc>
          <w:tcPr>
            <w:tcW w:w="240" w:type="dxa"/>
            <w:vAlign w:val="bottom"/>
            <w:tcBorders>
              <w:top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0.01</w:t>
            </w:r>
          </w:p>
        </w:tc>
        <w:tc>
          <w:tcPr>
            <w:tcW w:w="240" w:type="dxa"/>
            <w:vAlign w:val="bottom"/>
            <w:tcBorders>
              <w:top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0.28</w:t>
            </w: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0.21</w:t>
            </w: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40"/>
              <w:spacing w:after="0"/>
              <w:rPr>
                <w:sz w:val="20"/>
                <w:szCs w:val="20"/>
                <w:color w:val="auto"/>
              </w:rPr>
            </w:pPr>
            <w:r>
              <w:rPr>
                <w:rFonts w:ascii="Arial" w:cs="Arial" w:eastAsia="Arial" w:hAnsi="Arial"/>
                <w:sz w:val="12"/>
                <w:szCs w:val="12"/>
                <w:color w:val="auto"/>
                <w:w w:val="74"/>
              </w:rPr>
              <w:t>29</w:t>
            </w: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8"/>
          </w:cols>
          <w:pgMar w:left="212" w:top="197" w:right="199" w:bottom="1440" w:gutter="0" w:footer="0" w:header="0"/>
        </w:sectPr>
      </w:pPr>
    </w:p>
    <w:bookmarkStart w:id="31" w:name="page32"/>
    <w:bookmarkEnd w:id="31"/>
    <w:p>
      <w:pPr>
        <w:ind w:left="8"/>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NI Holdings, Inc.</w:t>
      </w:r>
    </w:p>
    <w:p>
      <w:pPr>
        <w:spacing w:after="0" w:line="5" w:lineRule="exact"/>
        <w:rPr>
          <w:sz w:val="20"/>
          <w:szCs w:val="20"/>
          <w:color w:val="auto"/>
        </w:rPr>
      </w:pPr>
    </w:p>
    <w:p>
      <w:pPr>
        <w:ind w:left="4348"/>
        <w:spacing w:after="0"/>
        <w:rPr>
          <w:sz w:val="20"/>
          <w:szCs w:val="20"/>
          <w:color w:val="auto"/>
        </w:rPr>
      </w:pPr>
      <w:r>
        <w:rPr>
          <w:rFonts w:ascii="Arial" w:cs="Arial" w:eastAsia="Arial" w:hAnsi="Arial"/>
          <w:sz w:val="12"/>
          <w:szCs w:val="12"/>
          <w:b w:val="1"/>
          <w:bCs w:val="1"/>
          <w:color w:val="auto"/>
        </w:rPr>
        <w:t>Notes to Unaudited Consolidated Financial Statements</w:t>
      </w:r>
    </w:p>
    <w:p>
      <w:pPr>
        <w:spacing w:after="0" w:line="6" w:lineRule="exact"/>
        <w:rPr>
          <w:sz w:val="20"/>
          <w:szCs w:val="20"/>
          <w:color w:val="auto"/>
        </w:rPr>
      </w:pPr>
    </w:p>
    <w:p>
      <w:pPr>
        <w:ind w:left="4268"/>
        <w:spacing w:after="0"/>
        <w:rPr>
          <w:sz w:val="20"/>
          <w:szCs w:val="20"/>
          <w:color w:val="auto"/>
        </w:rPr>
      </w:pPr>
      <w:r>
        <w:rPr>
          <w:rFonts w:ascii="Arial" w:cs="Arial" w:eastAsia="Arial" w:hAnsi="Arial"/>
          <w:sz w:val="12"/>
          <w:szCs w:val="12"/>
          <w:b w:val="1"/>
          <w:bCs w:val="1"/>
          <w:color w:val="auto"/>
        </w:rPr>
        <w:t>(dollar amounts in thousands, except per share amounts)</w:t>
      </w:r>
    </w:p>
    <w:p>
      <w:pPr>
        <w:spacing w:after="0" w:line="281" w:lineRule="exact"/>
        <w:rPr>
          <w:sz w:val="20"/>
          <w:szCs w:val="20"/>
          <w:color w:val="auto"/>
        </w:rPr>
      </w:pPr>
    </w:p>
    <w:p>
      <w:pPr>
        <w:ind w:left="428" w:hanging="428"/>
        <w:spacing w:after="0"/>
        <w:tabs>
          <w:tab w:leader="none" w:pos="428" w:val="left"/>
        </w:tabs>
        <w:numPr>
          <w:ilvl w:val="0"/>
          <w:numId w:val="24"/>
        </w:numPr>
        <w:rPr>
          <w:rFonts w:ascii="Arial" w:cs="Arial" w:eastAsia="Arial" w:hAnsi="Arial"/>
          <w:sz w:val="12"/>
          <w:szCs w:val="12"/>
          <w:b w:val="1"/>
          <w:bCs w:val="1"/>
          <w:color w:val="auto"/>
        </w:rPr>
      </w:pPr>
      <w:r>
        <w:rPr>
          <w:rFonts w:ascii="Arial" w:cs="Arial" w:eastAsia="Arial" w:hAnsi="Arial"/>
          <w:sz w:val="12"/>
          <w:szCs w:val="12"/>
          <w:b w:val="1"/>
          <w:bCs w:val="1"/>
          <w:color w:val="auto"/>
        </w:rPr>
        <w:t>Segment Information</w:t>
      </w:r>
    </w:p>
    <w:p>
      <w:pPr>
        <w:spacing w:after="0" w:line="82" w:lineRule="exact"/>
        <w:rPr>
          <w:sz w:val="20"/>
          <w:szCs w:val="20"/>
          <w:color w:val="auto"/>
        </w:rPr>
      </w:pPr>
    </w:p>
    <w:p>
      <w:pPr>
        <w:ind w:left="8" w:right="60" w:firstLine="432"/>
        <w:spacing w:after="0" w:line="259" w:lineRule="auto"/>
        <w:rPr>
          <w:sz w:val="20"/>
          <w:szCs w:val="20"/>
          <w:color w:val="auto"/>
        </w:rPr>
      </w:pPr>
      <w:r>
        <w:rPr>
          <w:rFonts w:ascii="Arial" w:cs="Arial" w:eastAsia="Arial" w:hAnsi="Arial"/>
          <w:sz w:val="12"/>
          <w:szCs w:val="12"/>
          <w:color w:val="auto"/>
        </w:rPr>
        <w:t>We have four primary reportable operating segments, which consist of private passenger auto insurance, non-standard auto insurance, home and farm insurance, and crop insurance. A fifth segment captures all other insurance coverages we sell, including commercial coverages and our assumed reinsurance lines of business. We operate only in the United States, and no single customer or agent provides 10 percent or more of our revenues. The following tables provide available information of these segments for the three and six months ended June 30, 2018 and 2017. Prior years have been restated to reflect the change in segments. For presentation in these tables, “LAE” refers to loss adjustment expenses.</w:t>
      </w:r>
    </w:p>
    <w:p>
      <w:pPr>
        <w:spacing w:after="0" w:line="103"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2"/>
                <w:szCs w:val="12"/>
                <w:b w:val="1"/>
                <w:bCs w:val="1"/>
                <w:color w:val="auto"/>
                <w:w w:val="93"/>
              </w:rPr>
              <w:t>Three Months Ended June 30, 2018</w:t>
            </w: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center"/>
              <w:ind w:right="420"/>
              <w:spacing w:after="0" w:line="121" w:lineRule="exact"/>
              <w:rPr>
                <w:sz w:val="20"/>
                <w:szCs w:val="20"/>
                <w:color w:val="auto"/>
              </w:rPr>
            </w:pPr>
            <w:r>
              <w:rPr>
                <w:rFonts w:ascii="Arial" w:cs="Arial" w:eastAsia="Arial" w:hAnsi="Arial"/>
                <w:sz w:val="12"/>
                <w:szCs w:val="12"/>
                <w:b w:val="1"/>
                <w:bCs w:val="1"/>
                <w:color w:val="auto"/>
                <w:w w:val="94"/>
              </w:rPr>
              <w:t>Private</w:t>
            </w:r>
          </w:p>
        </w:tc>
        <w:tc>
          <w:tcPr>
            <w:tcW w:w="160" w:type="dxa"/>
            <w:vAlign w:val="bottom"/>
          </w:tcPr>
          <w:p>
            <w:pPr>
              <w:spacing w:after="0"/>
              <w:rPr>
                <w:sz w:val="10"/>
                <w:szCs w:val="10"/>
                <w:color w:val="auto"/>
              </w:rPr>
            </w:pPr>
          </w:p>
        </w:tc>
        <w:tc>
          <w:tcPr>
            <w:tcW w:w="1120" w:type="dxa"/>
            <w:vAlign w:val="bottom"/>
            <w:gridSpan w:val="2"/>
          </w:tcPr>
          <w:p>
            <w:pPr>
              <w:jc w:val="center"/>
              <w:ind w:right="400"/>
              <w:spacing w:after="0" w:line="121" w:lineRule="exact"/>
              <w:rPr>
                <w:sz w:val="20"/>
                <w:szCs w:val="20"/>
                <w:color w:val="auto"/>
              </w:rPr>
            </w:pPr>
            <w:r>
              <w:rPr>
                <w:rFonts w:ascii="Arial" w:cs="Arial" w:eastAsia="Arial" w:hAnsi="Arial"/>
                <w:sz w:val="12"/>
                <w:szCs w:val="12"/>
                <w:b w:val="1"/>
                <w:bCs w:val="1"/>
                <w:color w:val="auto"/>
                <w:w w:val="87"/>
              </w:rPr>
              <w:t>Non-</w:t>
            </w: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85"/>
              </w:rPr>
              <w:t>Passenger</w:t>
            </w:r>
          </w:p>
        </w:tc>
        <w:tc>
          <w:tcPr>
            <w:tcW w:w="160" w:type="dxa"/>
            <w:vAlign w:val="bottom"/>
          </w:tcPr>
          <w:p>
            <w:pPr>
              <w:spacing w:after="0"/>
              <w:rPr>
                <w:sz w:val="12"/>
                <w:szCs w:val="12"/>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92"/>
              </w:rPr>
              <w:t>Standard</w:t>
            </w:r>
          </w:p>
        </w:tc>
        <w:tc>
          <w:tcPr>
            <w:tcW w:w="120" w:type="dxa"/>
            <w:vAlign w:val="bottom"/>
          </w:tcPr>
          <w:p>
            <w:pPr>
              <w:spacing w:after="0"/>
              <w:rPr>
                <w:sz w:val="12"/>
                <w:szCs w:val="12"/>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rPr>
              <w:t>Home and</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7"/>
              </w:rPr>
              <w:t>Auto</w:t>
            </w:r>
          </w:p>
        </w:tc>
        <w:tc>
          <w:tcPr>
            <w:tcW w:w="160" w:type="dxa"/>
            <w:vAlign w:val="bottom"/>
          </w:tcPr>
          <w:p>
            <w:pPr>
              <w:spacing w:after="0"/>
              <w:rPr>
                <w:sz w:val="13"/>
                <w:szCs w:val="13"/>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7"/>
              </w:rPr>
              <w:t>Auto</w:t>
            </w:r>
          </w:p>
        </w:tc>
        <w:tc>
          <w:tcPr>
            <w:tcW w:w="120" w:type="dxa"/>
            <w:vAlign w:val="bottom"/>
          </w:tcPr>
          <w:p>
            <w:pPr>
              <w:spacing w:after="0"/>
              <w:rPr>
                <w:sz w:val="13"/>
                <w:szCs w:val="13"/>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2"/>
                <w:szCs w:val="12"/>
                <w:b w:val="1"/>
                <w:bCs w:val="1"/>
                <w:color w:val="auto"/>
              </w:rPr>
              <w:t>Farm</w:t>
            </w:r>
          </w:p>
        </w:tc>
        <w:tc>
          <w:tcPr>
            <w:tcW w:w="220" w:type="dxa"/>
            <w:vAlign w:val="bottom"/>
          </w:tcPr>
          <w:p>
            <w:pPr>
              <w:spacing w:after="0"/>
              <w:rPr>
                <w:sz w:val="13"/>
                <w:szCs w:val="13"/>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2"/>
                <w:szCs w:val="12"/>
                <w:b w:val="1"/>
                <w:bCs w:val="1"/>
                <w:color w:val="auto"/>
              </w:rPr>
              <w:t>Crop</w:t>
            </w:r>
          </w:p>
        </w:tc>
        <w:tc>
          <w:tcPr>
            <w:tcW w:w="16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All Other</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0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Direct premiums earned</w:t>
            </w: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16,139</w:t>
            </w:r>
          </w:p>
        </w:tc>
        <w:tc>
          <w:tcPr>
            <w:tcW w:w="2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3,476</w:t>
            </w: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17,243</w:t>
            </w: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15,084</w:t>
            </w: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2,045</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53,987</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Assumed premiums earned</w:t>
            </w:r>
          </w:p>
        </w:tc>
        <w:tc>
          <w:tcPr>
            <w:tcW w:w="1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4</w:t>
            </w:r>
          </w:p>
        </w:tc>
        <w:tc>
          <w:tcPr>
            <w:tcW w:w="1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2"/>
                <w:szCs w:val="12"/>
                <w:color w:val="auto"/>
              </w:rPr>
              <w:t>(4)</w:t>
            </w:r>
          </w:p>
        </w:tc>
        <w:tc>
          <w:tcPr>
            <w:tcW w:w="22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2,283</w:t>
            </w:r>
          </w:p>
        </w:tc>
        <w:tc>
          <w:tcPr>
            <w:tcW w:w="16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966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3,249</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Ceded premiums earned</w:t>
            </w: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(833)</w:t>
            </w: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(1,618)</w:t>
            </w:r>
          </w:p>
        </w:tc>
        <w:tc>
          <w:tcPr>
            <w:tcW w:w="2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(3,926)</w:t>
            </w:r>
          </w:p>
        </w:tc>
        <w:tc>
          <w:tcPr>
            <w:tcW w:w="1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(182)</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(6,559)</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000" w:type="dxa"/>
            <w:vAlign w:val="bottom"/>
          </w:tcPr>
          <w:p>
            <w:pPr>
              <w:ind w:left="140"/>
              <w:spacing w:after="0" w:line="133" w:lineRule="exact"/>
              <w:rPr>
                <w:sz w:val="20"/>
                <w:szCs w:val="20"/>
                <w:color w:val="auto"/>
              </w:rPr>
            </w:pPr>
            <w:r>
              <w:rPr>
                <w:rFonts w:ascii="Arial" w:cs="Arial" w:eastAsia="Arial" w:hAnsi="Arial"/>
                <w:sz w:val="12"/>
                <w:szCs w:val="12"/>
                <w:color w:val="auto"/>
              </w:rPr>
              <w:t>Net premiums earned</w:t>
            </w: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15,310</w:t>
            </w: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3,476</w:t>
            </w: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15,621</w:t>
            </w:r>
          </w:p>
        </w:tc>
        <w:tc>
          <w:tcPr>
            <w:tcW w:w="2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13,441</w:t>
            </w: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2,829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50,677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Direct losses and LAE</w:t>
            </w:r>
          </w:p>
        </w:tc>
        <w:tc>
          <w:tcPr>
            <w:tcW w:w="1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11,177</w:t>
            </w:r>
          </w:p>
        </w:tc>
        <w:tc>
          <w:tcPr>
            <w:tcW w:w="1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2,973</w:t>
            </w:r>
          </w:p>
        </w:tc>
        <w:tc>
          <w:tcPr>
            <w:tcW w:w="12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16,542</w:t>
            </w:r>
          </w:p>
        </w:tc>
        <w:tc>
          <w:tcPr>
            <w:tcW w:w="22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9,724</w:t>
            </w:r>
          </w:p>
        </w:tc>
        <w:tc>
          <w:tcPr>
            <w:tcW w:w="16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705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41,121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Assumed losses and LAE</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47</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(62)</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164</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338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487</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Ceded losses and LAE</w:t>
            </w:r>
          </w:p>
        </w:tc>
        <w:tc>
          <w:tcPr>
            <w:tcW w:w="160" w:type="dxa"/>
            <w:vAlign w:val="bottom"/>
          </w:tcPr>
          <w:p>
            <w:pPr>
              <w:spacing w:after="0"/>
              <w:rPr>
                <w:sz w:val="13"/>
                <w:szCs w:val="1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(49)</w:t>
            </w:r>
          </w:p>
        </w:tc>
        <w:tc>
          <w:tcPr>
            <w:tcW w:w="16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47</w:t>
            </w:r>
          </w:p>
        </w:tc>
        <w:tc>
          <w:tcPr>
            <w:tcW w:w="220" w:type="dxa"/>
            <w:vAlign w:val="bottom"/>
          </w:tcPr>
          <w:p>
            <w:pPr>
              <w:spacing w:after="0"/>
              <w:rPr>
                <w:sz w:val="13"/>
                <w:szCs w:val="13"/>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2"/>
                <w:szCs w:val="12"/>
                <w:color w:val="auto"/>
              </w:rPr>
              <w:t>(881)</w:t>
            </w:r>
          </w:p>
        </w:tc>
        <w:tc>
          <w:tcPr>
            <w:tcW w:w="160" w:type="dxa"/>
            <w:vAlign w:val="bottom"/>
          </w:tcPr>
          <w:p>
            <w:pPr>
              <w:spacing w:after="0"/>
              <w:rPr>
                <w:sz w:val="13"/>
                <w:szCs w:val="1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(887)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000" w:type="dxa"/>
            <w:vAlign w:val="bottom"/>
            <w:tcBorders>
              <w:top w:val="single" w:sz="8" w:color="CCEEFF"/>
            </w:tcBorders>
            <w:shd w:val="clear" w:color="auto" w:fill="CCEEFF"/>
          </w:tcPr>
          <w:p>
            <w:pPr>
              <w:ind w:left="140"/>
              <w:spacing w:after="0" w:line="133" w:lineRule="exact"/>
              <w:rPr>
                <w:sz w:val="20"/>
                <w:szCs w:val="20"/>
                <w:color w:val="auto"/>
              </w:rPr>
            </w:pPr>
            <w:r>
              <w:rPr>
                <w:rFonts w:ascii="Arial" w:cs="Arial" w:eastAsia="Arial" w:hAnsi="Arial"/>
                <w:sz w:val="12"/>
                <w:szCs w:val="12"/>
                <w:color w:val="auto"/>
              </w:rPr>
              <w:t>Net losses and LAE</w:t>
            </w:r>
          </w:p>
        </w:tc>
        <w:tc>
          <w:tcPr>
            <w:tcW w:w="16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11,175</w:t>
            </w:r>
          </w:p>
        </w:tc>
        <w:tc>
          <w:tcPr>
            <w:tcW w:w="2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2,973</w:t>
            </w: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16,527</w:t>
            </w: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9,007</w:t>
            </w: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1,039</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40,721</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0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Gross margin</w:t>
            </w:r>
          </w:p>
        </w:tc>
        <w:tc>
          <w:tcPr>
            <w:tcW w:w="16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4,135</w:t>
            </w:r>
          </w:p>
        </w:tc>
        <w:tc>
          <w:tcPr>
            <w:tcW w:w="2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503</w:t>
            </w:r>
          </w:p>
        </w:tc>
        <w:tc>
          <w:tcPr>
            <w:tcW w:w="2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(906)</w:t>
            </w:r>
          </w:p>
        </w:tc>
        <w:tc>
          <w:tcPr>
            <w:tcW w:w="24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4,434</w:t>
            </w: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1,790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9,956</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4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Underwriting and general expenses</w:t>
            </w: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4,703</w:t>
            </w: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890</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5,138</w:t>
            </w:r>
          </w:p>
        </w:tc>
        <w:tc>
          <w:tcPr>
            <w:tcW w:w="2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163</w:t>
            </w:r>
          </w:p>
        </w:tc>
        <w:tc>
          <w:tcPr>
            <w:tcW w:w="1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908</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11,802</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000" w:type="dxa"/>
            <w:vAlign w:val="bottom"/>
            <w:tcBorders>
              <w:bottom w:val="single" w:sz="8" w:color="CCEEFF"/>
            </w:tcBorders>
          </w:tcPr>
          <w:p>
            <w:pPr>
              <w:ind w:left="140"/>
              <w:spacing w:after="0" w:line="133" w:lineRule="exact"/>
              <w:rPr>
                <w:sz w:val="20"/>
                <w:szCs w:val="20"/>
                <w:color w:val="auto"/>
              </w:rPr>
            </w:pPr>
            <w:r>
              <w:rPr>
                <w:rFonts w:ascii="Arial" w:cs="Arial" w:eastAsia="Arial" w:hAnsi="Arial"/>
                <w:sz w:val="12"/>
                <w:szCs w:val="12"/>
                <w:color w:val="auto"/>
              </w:rPr>
              <w:t>Underwriting gain (loss)</w:t>
            </w:r>
          </w:p>
        </w:tc>
        <w:tc>
          <w:tcPr>
            <w:tcW w:w="16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(568)</w:t>
            </w:r>
          </w:p>
        </w:tc>
        <w:tc>
          <w:tcPr>
            <w:tcW w:w="2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(387)</w:t>
            </w:r>
          </w:p>
        </w:tc>
        <w:tc>
          <w:tcPr>
            <w:tcW w:w="2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(6,044)</w:t>
            </w:r>
          </w:p>
        </w:tc>
        <w:tc>
          <w:tcPr>
            <w:tcW w:w="24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4,271</w:t>
            </w:r>
          </w:p>
        </w:tc>
        <w:tc>
          <w:tcPr>
            <w:tcW w:w="2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882</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(1,846)</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4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Fee and other income</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330</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470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0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(57)</w:t>
            </w: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88"/>
          </w:cols>
          <w:pgMar w:left="212" w:top="197" w:right="199" w:bottom="1440" w:gutter="0" w:footer="0" w:header="0"/>
        </w:sectPr>
      </w:pPr>
    </w:p>
    <w:p>
      <w:pPr>
        <w:ind w:left="8"/>
        <w:spacing w:after="0"/>
        <w:rPr>
          <w:sz w:val="20"/>
          <w:szCs w:val="20"/>
          <w:color w:val="auto"/>
        </w:rPr>
      </w:pPr>
      <w:r>
        <w:rPr>
          <w:rFonts w:ascii="Arial" w:cs="Arial" w:eastAsia="Arial" w:hAnsi="Arial"/>
          <w:sz w:val="12"/>
          <w:szCs w:val="12"/>
          <w:color w:val="auto"/>
        </w:rPr>
        <w:t>Net investment income</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Net realized capital gain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7292340" cy="971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2340" cy="97155"/>
                    </a:xfrm>
                    <a:prstGeom prst="rect">
                      <a:avLst/>
                    </a:prstGeom>
                    <a:noFill/>
                  </pic:spPr>
                </pic:pic>
              </a:graphicData>
            </a:graphic>
          </wp:anchor>
        </w:drawing>
      </w:r>
    </w:p>
    <w:p>
      <w:pPr>
        <w:ind w:left="168"/>
        <w:spacing w:after="0"/>
        <w:rPr>
          <w:sz w:val="20"/>
          <w:szCs w:val="20"/>
          <w:color w:val="auto"/>
        </w:rPr>
      </w:pPr>
      <w:r>
        <w:rPr>
          <w:rFonts w:ascii="Arial" w:cs="Arial" w:eastAsia="Arial" w:hAnsi="Arial"/>
          <w:sz w:val="12"/>
          <w:szCs w:val="12"/>
          <w:color w:val="auto"/>
        </w:rPr>
        <w:t>Income before income taxes</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7292340" cy="971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2340" cy="97155"/>
                    </a:xfrm>
                    <a:prstGeom prst="rect">
                      <a:avLst/>
                    </a:prstGeom>
                    <a:noFill/>
                  </pic:spPr>
                </pic:pic>
              </a:graphicData>
            </a:graphic>
          </wp:anchor>
        </w:drawing>
      </w:r>
    </w:p>
    <w:p>
      <w:pPr>
        <w:ind w:left="168"/>
        <w:spacing w:after="0"/>
        <w:rPr>
          <w:sz w:val="20"/>
          <w:szCs w:val="20"/>
          <w:color w:val="auto"/>
        </w:rPr>
      </w:pPr>
      <w:r>
        <w:rPr>
          <w:rFonts w:ascii="Arial" w:cs="Arial" w:eastAsia="Arial" w:hAnsi="Arial"/>
          <w:sz w:val="12"/>
          <w:szCs w:val="12"/>
          <w:color w:val="auto"/>
        </w:rPr>
        <w:t>Net income</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1"/>
          <w:szCs w:val="11"/>
          <w:color w:val="auto"/>
        </w:rPr>
        <w:t>Net income attributable to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92340" cy="971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2340" cy="97155"/>
                    </a:xfrm>
                    <a:prstGeom prst="rect">
                      <a:avLst/>
                    </a:prstGeom>
                    <a:noFill/>
                  </pic:spPr>
                </pic:pic>
              </a:graphicData>
            </a:graphic>
          </wp:anchor>
        </w:drawing>
      </w:r>
    </w:p>
    <w:p>
      <w:pPr>
        <w:ind w:left="168"/>
        <w:spacing w:after="0"/>
        <w:rPr>
          <w:sz w:val="20"/>
          <w:szCs w:val="20"/>
          <w:color w:val="auto"/>
        </w:rPr>
      </w:pPr>
      <w:r>
        <w:rPr>
          <w:rFonts w:ascii="Arial" w:cs="Arial" w:eastAsia="Arial" w:hAnsi="Arial"/>
          <w:sz w:val="11"/>
          <w:szCs w:val="11"/>
          <w:color w:val="auto"/>
        </w:rPr>
        <w:t>Net income attributable to NI Holdings, Inc.</w:t>
      </w:r>
    </w:p>
    <w:p>
      <w:pPr>
        <w:spacing w:after="0" w:line="20" w:lineRule="exact"/>
        <w:rPr>
          <w:sz w:val="20"/>
          <w:szCs w:val="20"/>
          <w:color w:val="auto"/>
        </w:rPr>
      </w:pPr>
      <w:r>
        <w:rPr>
          <w:sz w:val="20"/>
          <w:szCs w:val="20"/>
          <w:color w:val="auto"/>
        </w:rPr>
        <w:br w:type="column"/>
      </w:r>
    </w:p>
    <w:p>
      <w:pPr>
        <w:jc w:val="right"/>
        <w:ind w:right="120"/>
        <w:spacing w:after="0"/>
        <w:rPr>
          <w:sz w:val="20"/>
          <w:szCs w:val="20"/>
          <w:color w:val="auto"/>
        </w:rPr>
      </w:pPr>
      <w:r>
        <w:rPr>
          <w:rFonts w:ascii="Arial" w:cs="Arial" w:eastAsia="Arial" w:hAnsi="Arial"/>
          <w:sz w:val="12"/>
          <w:szCs w:val="12"/>
          <w:color w:val="auto"/>
        </w:rPr>
        <w:t>1,523</w:t>
      </w:r>
    </w:p>
    <w:p>
      <w:pPr>
        <w:spacing w:after="0" w:line="6" w:lineRule="exact"/>
        <w:rPr>
          <w:sz w:val="20"/>
          <w:szCs w:val="20"/>
          <w:color w:val="auto"/>
        </w:rPr>
      </w:pPr>
    </w:p>
    <w:p>
      <w:pPr>
        <w:jc w:val="right"/>
        <w:ind w:right="120"/>
        <w:spacing w:after="0"/>
        <w:rPr>
          <w:sz w:val="20"/>
          <w:szCs w:val="20"/>
          <w:color w:val="auto"/>
        </w:rPr>
      </w:pPr>
      <w:r>
        <w:rPr>
          <w:rFonts w:ascii="Arial" w:cs="Arial" w:eastAsia="Arial" w:hAnsi="Arial"/>
          <w:sz w:val="12"/>
          <w:szCs w:val="12"/>
          <w:color w:val="auto"/>
        </w:rPr>
        <w:t>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652145"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2145" cy="5715"/>
                    </a:xfrm>
                    <a:prstGeom prst="rect">
                      <a:avLst/>
                    </a:prstGeom>
                    <a:noFill/>
                  </pic:spPr>
                </pic:pic>
              </a:graphicData>
            </a:graphic>
          </wp:anchor>
        </w:drawing>
      </w:r>
    </w:p>
    <w:p>
      <w:pPr>
        <w:jc w:val="right"/>
        <w:ind w:right="120"/>
        <w:spacing w:after="0"/>
        <w:rPr>
          <w:sz w:val="20"/>
          <w:szCs w:val="20"/>
          <w:color w:val="auto"/>
        </w:rPr>
      </w:pPr>
      <w:r>
        <w:rPr>
          <w:rFonts w:ascii="Arial" w:cs="Arial" w:eastAsia="Arial" w:hAnsi="Arial"/>
          <w:sz w:val="12"/>
          <w:szCs w:val="12"/>
          <w:color w:val="auto"/>
        </w:rPr>
        <w:t>397</w:t>
      </w:r>
    </w:p>
    <w:p>
      <w:pPr>
        <w:spacing w:after="0" w:line="15" w:lineRule="exact"/>
        <w:rPr>
          <w:sz w:val="20"/>
          <w:szCs w:val="20"/>
          <w:color w:val="auto"/>
        </w:rPr>
      </w:pPr>
    </w:p>
    <w:p>
      <w:pPr>
        <w:jc w:val="right"/>
        <w:ind w:right="120"/>
        <w:spacing w:after="0"/>
        <w:rPr>
          <w:sz w:val="20"/>
          <w:szCs w:val="20"/>
          <w:color w:val="auto"/>
        </w:rPr>
      </w:pPr>
      <w:r>
        <w:rPr>
          <w:rFonts w:ascii="Arial" w:cs="Arial" w:eastAsia="Arial" w:hAnsi="Arial"/>
          <w:sz w:val="12"/>
          <w:szCs w:val="12"/>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652145"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2145" cy="5715"/>
                    </a:xfrm>
                    <a:prstGeom prst="rect">
                      <a:avLst/>
                    </a:prstGeom>
                    <a:noFill/>
                  </pic:spPr>
                </pic:pic>
              </a:graphicData>
            </a:graphic>
          </wp:anchor>
        </w:drawing>
      </w:r>
    </w:p>
    <w:p>
      <w:pPr>
        <w:jc w:val="right"/>
        <w:ind w:right="120"/>
        <w:spacing w:after="0"/>
        <w:rPr>
          <w:sz w:val="20"/>
          <w:szCs w:val="20"/>
          <w:color w:val="auto"/>
        </w:rPr>
      </w:pPr>
      <w:r>
        <w:rPr>
          <w:rFonts w:ascii="Arial" w:cs="Arial" w:eastAsia="Arial" w:hAnsi="Arial"/>
          <w:sz w:val="12"/>
          <w:szCs w:val="12"/>
          <w:color w:val="auto"/>
        </w:rPr>
        <w:t>256</w:t>
      </w:r>
    </w:p>
    <w:p>
      <w:pPr>
        <w:spacing w:after="0" w:line="15" w:lineRule="exact"/>
        <w:rPr>
          <w:sz w:val="20"/>
          <w:szCs w:val="20"/>
          <w:color w:val="auto"/>
        </w:rPr>
      </w:pPr>
    </w:p>
    <w:p>
      <w:pPr>
        <w:jc w:val="right"/>
        <w:ind w:right="120"/>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652145"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2145" cy="5715"/>
                    </a:xfrm>
                    <a:prstGeom prst="rect">
                      <a:avLst/>
                    </a:prstGeom>
                    <a:noFill/>
                  </pic:spPr>
                </pic:pic>
              </a:graphicData>
            </a:graphic>
          </wp:anchor>
        </w:drawing>
      </w:r>
    </w:p>
    <w:p>
      <w:pPr>
        <w:spacing w:after="0" w:line="4" w:lineRule="exact"/>
        <w:rPr>
          <w:sz w:val="20"/>
          <w:szCs w:val="20"/>
          <w:color w:val="auto"/>
        </w:rPr>
      </w:pPr>
    </w:p>
    <w:p>
      <w:pPr>
        <w:ind w:left="840" w:hanging="839"/>
        <w:spacing w:after="0"/>
        <w:tabs>
          <w:tab w:leader="none" w:pos="840" w:val="left"/>
        </w:tabs>
        <w:numPr>
          <w:ilvl w:val="0"/>
          <w:numId w:val="25"/>
        </w:numPr>
        <w:rPr>
          <w:rFonts w:ascii="Arial" w:cs="Arial" w:eastAsia="Arial" w:hAnsi="Arial"/>
          <w:sz w:val="10"/>
          <w:szCs w:val="10"/>
          <w:color w:val="auto"/>
        </w:rPr>
      </w:pPr>
      <w:r>
        <w:rPr>
          <w:rFonts w:ascii="Arial" w:cs="Arial" w:eastAsia="Arial" w:hAnsi="Arial"/>
          <w:sz w:val="10"/>
          <w:szCs w:val="10"/>
          <w:color w:val="auto"/>
        </w:rPr>
        <w:t>226</w:t>
      </w:r>
    </w:p>
    <w:p>
      <w:pPr>
        <w:spacing w:after="0" w:line="38" w:lineRule="exact"/>
        <w:rPr>
          <w:sz w:val="20"/>
          <w:szCs w:val="20"/>
          <w:color w:val="auto"/>
        </w:rPr>
      </w:pPr>
    </w:p>
    <w:p>
      <w:pPr>
        <w:sectPr>
          <w:pgSz w:w="11900" w:h="16838" w:orient="portrait"/>
          <w:cols w:equalWidth="0" w:num="2">
            <w:col w:w="9628" w:space="720"/>
            <w:col w:w="1140"/>
          </w:cols>
          <w:pgMar w:left="212" w:top="197" w:right="199" w:bottom="1440" w:gutter="0" w:footer="0" w:header="0"/>
          <w:type w:val="continuous"/>
        </w:sectPr>
      </w:pPr>
    </w:p>
    <w:tbl>
      <w:tblPr>
        <w:tblLayout w:type="fixed"/>
        <w:tblInd w:w="8"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336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380" w:type="dxa"/>
            <w:vAlign w:val="bottom"/>
            <w:gridSpan w:val="2"/>
          </w:tcPr>
          <w:p>
            <w:pPr>
              <w:spacing w:after="0"/>
              <w:rPr>
                <w:sz w:val="20"/>
                <w:szCs w:val="20"/>
                <w:color w:val="auto"/>
              </w:rPr>
            </w:pPr>
            <w:r>
              <w:rPr>
                <w:rFonts w:ascii="Arial" w:cs="Arial" w:eastAsia="Arial" w:hAnsi="Arial"/>
                <w:sz w:val="12"/>
                <w:szCs w:val="12"/>
                <w:color w:val="auto"/>
              </w:rPr>
              <w:t>Loss and LAE ratio</w:t>
            </w:r>
          </w:p>
        </w:tc>
        <w:tc>
          <w:tcPr>
            <w:tcW w:w="1000" w:type="dxa"/>
            <w:vAlign w:val="bottom"/>
          </w:tcPr>
          <w:p>
            <w:pPr>
              <w:spacing w:after="0"/>
              <w:rPr>
                <w:sz w:val="12"/>
                <w:szCs w:val="12"/>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73.0%</w:t>
            </w:r>
          </w:p>
        </w:tc>
        <w:tc>
          <w:tcPr>
            <w:tcW w:w="340" w:type="dxa"/>
            <w:vAlign w:val="bottom"/>
          </w:tcPr>
          <w:p>
            <w:pPr>
              <w:spacing w:after="0"/>
              <w:rPr>
                <w:sz w:val="12"/>
                <w:szCs w:val="12"/>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85.5%</w:t>
            </w:r>
          </w:p>
        </w:tc>
        <w:tc>
          <w:tcPr>
            <w:tcW w:w="480" w:type="dxa"/>
            <w:vAlign w:val="bottom"/>
          </w:tcPr>
          <w:p>
            <w:pPr>
              <w:spacing w:after="0"/>
              <w:rPr>
                <w:sz w:val="12"/>
                <w:szCs w:val="12"/>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105.8%</w:t>
            </w:r>
          </w:p>
        </w:tc>
        <w:tc>
          <w:tcPr>
            <w:tcW w:w="500" w:type="dxa"/>
            <w:vAlign w:val="bottom"/>
          </w:tcPr>
          <w:p>
            <w:pPr>
              <w:spacing w:after="0"/>
              <w:rPr>
                <w:sz w:val="12"/>
                <w:szCs w:val="12"/>
                <w:color w:val="auto"/>
              </w:rPr>
            </w:pPr>
          </w:p>
        </w:tc>
        <w:tc>
          <w:tcPr>
            <w:tcW w:w="760" w:type="dxa"/>
            <w:vAlign w:val="bottom"/>
          </w:tcPr>
          <w:p>
            <w:pPr>
              <w:jc w:val="right"/>
              <w:ind w:right="60"/>
              <w:spacing w:after="0"/>
              <w:rPr>
                <w:sz w:val="20"/>
                <w:szCs w:val="20"/>
                <w:color w:val="auto"/>
              </w:rPr>
            </w:pPr>
            <w:r>
              <w:rPr>
                <w:rFonts w:ascii="Arial" w:cs="Arial" w:eastAsia="Arial" w:hAnsi="Arial"/>
                <w:sz w:val="12"/>
                <w:szCs w:val="12"/>
                <w:color w:val="auto"/>
              </w:rPr>
              <w:t>67.0%</w:t>
            </w:r>
          </w:p>
        </w:tc>
        <w:tc>
          <w:tcPr>
            <w:tcW w:w="480" w:type="dxa"/>
            <w:vAlign w:val="bottom"/>
          </w:tcPr>
          <w:p>
            <w:pPr>
              <w:spacing w:after="0"/>
              <w:rPr>
                <w:sz w:val="12"/>
                <w:szCs w:val="12"/>
                <w:color w:val="auto"/>
              </w:rPr>
            </w:pPr>
          </w:p>
        </w:tc>
        <w:tc>
          <w:tcPr>
            <w:tcW w:w="760" w:type="dxa"/>
            <w:vAlign w:val="bottom"/>
          </w:tcPr>
          <w:p>
            <w:pPr>
              <w:jc w:val="right"/>
              <w:ind w:right="60"/>
              <w:spacing w:after="0"/>
              <w:rPr>
                <w:sz w:val="20"/>
                <w:szCs w:val="20"/>
                <w:color w:val="auto"/>
              </w:rPr>
            </w:pPr>
            <w:r>
              <w:rPr>
                <w:rFonts w:ascii="Arial" w:cs="Arial" w:eastAsia="Arial" w:hAnsi="Arial"/>
                <w:sz w:val="12"/>
                <w:szCs w:val="12"/>
                <w:color w:val="auto"/>
              </w:rPr>
              <w:t>36.7%</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80.4%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2"/>
                <w:szCs w:val="12"/>
                <w:color w:val="auto"/>
              </w:rPr>
              <w:t>Expense ratio</w:t>
            </w:r>
          </w:p>
        </w:tc>
        <w:tc>
          <w:tcPr>
            <w:tcW w:w="10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30.7%</w:t>
            </w:r>
          </w:p>
        </w:tc>
        <w:tc>
          <w:tcPr>
            <w:tcW w:w="3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25.6%</w:t>
            </w: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32.9%</w:t>
            </w:r>
          </w:p>
        </w:tc>
        <w:tc>
          <w:tcPr>
            <w:tcW w:w="5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w:t>
            </w: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32.1%</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23.3%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60" w:type="dxa"/>
            <w:vAlign w:val="bottom"/>
          </w:tcPr>
          <w:p>
            <w:pPr>
              <w:spacing w:after="0"/>
              <w:rPr>
                <w:sz w:val="20"/>
                <w:szCs w:val="20"/>
                <w:color w:val="auto"/>
              </w:rPr>
            </w:pPr>
            <w:r>
              <w:rPr>
                <w:rFonts w:ascii="Arial" w:cs="Arial" w:eastAsia="Arial" w:hAnsi="Arial"/>
                <w:sz w:val="12"/>
                <w:szCs w:val="12"/>
                <w:color w:val="auto"/>
              </w:rPr>
              <w:t>Combined ratio</w:t>
            </w:r>
          </w:p>
        </w:tc>
        <w:tc>
          <w:tcPr>
            <w:tcW w:w="1000" w:type="dxa"/>
            <w:vAlign w:val="bottom"/>
          </w:tcPr>
          <w:p>
            <w:pPr>
              <w:spacing w:after="0"/>
              <w:rPr>
                <w:sz w:val="12"/>
                <w:szCs w:val="12"/>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103.7%</w:t>
            </w:r>
          </w:p>
        </w:tc>
        <w:tc>
          <w:tcPr>
            <w:tcW w:w="340" w:type="dxa"/>
            <w:vAlign w:val="bottom"/>
          </w:tcPr>
          <w:p>
            <w:pPr>
              <w:spacing w:after="0"/>
              <w:rPr>
                <w:sz w:val="12"/>
                <w:szCs w:val="12"/>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111.1%</w:t>
            </w:r>
          </w:p>
        </w:tc>
        <w:tc>
          <w:tcPr>
            <w:tcW w:w="480" w:type="dxa"/>
            <w:vAlign w:val="bottom"/>
          </w:tcPr>
          <w:p>
            <w:pPr>
              <w:spacing w:after="0"/>
              <w:rPr>
                <w:sz w:val="12"/>
                <w:szCs w:val="12"/>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138.7%</w:t>
            </w:r>
          </w:p>
        </w:tc>
        <w:tc>
          <w:tcPr>
            <w:tcW w:w="500" w:type="dxa"/>
            <w:vAlign w:val="bottom"/>
          </w:tcPr>
          <w:p>
            <w:pPr>
              <w:spacing w:after="0"/>
              <w:rPr>
                <w:sz w:val="12"/>
                <w:szCs w:val="12"/>
                <w:color w:val="auto"/>
              </w:rPr>
            </w:pPr>
          </w:p>
        </w:tc>
        <w:tc>
          <w:tcPr>
            <w:tcW w:w="760" w:type="dxa"/>
            <w:vAlign w:val="bottom"/>
          </w:tcPr>
          <w:p>
            <w:pPr>
              <w:jc w:val="right"/>
              <w:ind w:right="60"/>
              <w:spacing w:after="0"/>
              <w:rPr>
                <w:sz w:val="20"/>
                <w:szCs w:val="20"/>
                <w:color w:val="auto"/>
              </w:rPr>
            </w:pPr>
            <w:r>
              <w:rPr>
                <w:rFonts w:ascii="Arial" w:cs="Arial" w:eastAsia="Arial" w:hAnsi="Arial"/>
                <w:sz w:val="12"/>
                <w:szCs w:val="12"/>
                <w:color w:val="auto"/>
              </w:rPr>
              <w:t>68.2%</w:t>
            </w:r>
          </w:p>
        </w:tc>
        <w:tc>
          <w:tcPr>
            <w:tcW w:w="480" w:type="dxa"/>
            <w:vAlign w:val="bottom"/>
          </w:tcPr>
          <w:p>
            <w:pPr>
              <w:spacing w:after="0"/>
              <w:rPr>
                <w:sz w:val="12"/>
                <w:szCs w:val="12"/>
                <w:color w:val="auto"/>
              </w:rPr>
            </w:pPr>
          </w:p>
        </w:tc>
        <w:tc>
          <w:tcPr>
            <w:tcW w:w="760" w:type="dxa"/>
            <w:vAlign w:val="bottom"/>
          </w:tcPr>
          <w:p>
            <w:pPr>
              <w:jc w:val="right"/>
              <w:ind w:right="60"/>
              <w:spacing w:after="0"/>
              <w:rPr>
                <w:sz w:val="20"/>
                <w:szCs w:val="20"/>
                <w:color w:val="auto"/>
              </w:rPr>
            </w:pPr>
            <w:r>
              <w:rPr>
                <w:rFonts w:ascii="Arial" w:cs="Arial" w:eastAsia="Arial" w:hAnsi="Arial"/>
                <w:sz w:val="12"/>
                <w:szCs w:val="12"/>
                <w:color w:val="auto"/>
              </w:rPr>
              <w:t>68.8%</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103.6%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2"/>
                <w:szCs w:val="12"/>
                <w:color w:val="auto"/>
              </w:rPr>
              <w:t>Balances at June 30, 2018:</w:t>
            </w:r>
          </w:p>
        </w:tc>
        <w:tc>
          <w:tcPr>
            <w:tcW w:w="10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60" w:type="dxa"/>
            <w:vAlign w:val="bottom"/>
          </w:tcPr>
          <w:p>
            <w:pPr>
              <w:ind w:left="140"/>
              <w:spacing w:after="0"/>
              <w:rPr>
                <w:sz w:val="20"/>
                <w:szCs w:val="20"/>
                <w:color w:val="auto"/>
              </w:rPr>
            </w:pPr>
            <w:r>
              <w:rPr>
                <w:rFonts w:ascii="Arial" w:cs="Arial" w:eastAsia="Arial" w:hAnsi="Arial"/>
                <w:sz w:val="12"/>
                <w:szCs w:val="12"/>
                <w:color w:val="auto"/>
              </w:rPr>
              <w:t>Premiums receivable</w:t>
            </w:r>
          </w:p>
        </w:tc>
        <w:tc>
          <w:tcPr>
            <w:tcW w:w="100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17,365</w:t>
            </w:r>
          </w:p>
        </w:tc>
        <w:tc>
          <w:tcPr>
            <w:tcW w:w="34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1,126</w:t>
            </w:r>
          </w:p>
        </w:tc>
        <w:tc>
          <w:tcPr>
            <w:tcW w:w="48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9,819</w:t>
            </w:r>
          </w:p>
        </w:tc>
        <w:tc>
          <w:tcPr>
            <w:tcW w:w="50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60"/>
              <w:spacing w:after="0"/>
              <w:rPr>
                <w:sz w:val="20"/>
                <w:szCs w:val="20"/>
                <w:color w:val="auto"/>
              </w:rPr>
            </w:pPr>
            <w:r>
              <w:rPr>
                <w:rFonts w:ascii="Arial" w:cs="Arial" w:eastAsia="Arial" w:hAnsi="Arial"/>
                <w:sz w:val="12"/>
                <w:szCs w:val="12"/>
                <w:color w:val="auto"/>
              </w:rPr>
              <w:t>44,397</w:t>
            </w:r>
          </w:p>
        </w:tc>
        <w:tc>
          <w:tcPr>
            <w:tcW w:w="48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60"/>
              <w:spacing w:after="0"/>
              <w:rPr>
                <w:sz w:val="20"/>
                <w:szCs w:val="20"/>
                <w:color w:val="auto"/>
              </w:rPr>
            </w:pPr>
            <w:r>
              <w:rPr>
                <w:rFonts w:ascii="Arial" w:cs="Arial" w:eastAsia="Arial" w:hAnsi="Arial"/>
                <w:sz w:val="12"/>
                <w:szCs w:val="12"/>
                <w:color w:val="auto"/>
              </w:rPr>
              <w:t>1,468</w:t>
            </w:r>
          </w:p>
        </w:tc>
        <w:tc>
          <w:tcPr>
            <w:tcW w:w="4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74,175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Deferred policy acquisition costs</w:t>
            </w:r>
          </w:p>
        </w:tc>
        <w:tc>
          <w:tcPr>
            <w:tcW w:w="10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3,754</w:t>
            </w:r>
          </w:p>
        </w:tc>
        <w:tc>
          <w:tcPr>
            <w:tcW w:w="3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322</w:t>
            </w: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5,250</w:t>
            </w:r>
          </w:p>
        </w:tc>
        <w:tc>
          <w:tcPr>
            <w:tcW w:w="5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2,267</w:t>
            </w: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597</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12,190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60" w:type="dxa"/>
            <w:vAlign w:val="bottom"/>
          </w:tcPr>
          <w:p>
            <w:pPr>
              <w:ind w:left="140"/>
              <w:spacing w:after="0"/>
              <w:rPr>
                <w:sz w:val="20"/>
                <w:szCs w:val="20"/>
                <w:color w:val="auto"/>
              </w:rPr>
            </w:pPr>
            <w:r>
              <w:rPr>
                <w:rFonts w:ascii="Arial" w:cs="Arial" w:eastAsia="Arial" w:hAnsi="Arial"/>
                <w:sz w:val="12"/>
                <w:szCs w:val="12"/>
                <w:color w:val="auto"/>
              </w:rPr>
              <w:t>Reinsurance recoverables</w:t>
            </w:r>
          </w:p>
        </w:tc>
        <w:tc>
          <w:tcPr>
            <w:tcW w:w="1000" w:type="dxa"/>
            <w:vAlign w:val="bottom"/>
          </w:tcPr>
          <w:p>
            <w:pPr>
              <w:spacing w:after="0"/>
              <w:rPr>
                <w:sz w:val="12"/>
                <w:szCs w:val="12"/>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432</w:t>
            </w:r>
          </w:p>
        </w:tc>
        <w:tc>
          <w:tcPr>
            <w:tcW w:w="340" w:type="dxa"/>
            <w:vAlign w:val="bottom"/>
          </w:tcPr>
          <w:p>
            <w:pPr>
              <w:spacing w:after="0"/>
              <w:rPr>
                <w:sz w:val="12"/>
                <w:szCs w:val="12"/>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2"/>
                <w:szCs w:val="12"/>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589</w:t>
            </w:r>
          </w:p>
        </w:tc>
        <w:tc>
          <w:tcPr>
            <w:tcW w:w="500" w:type="dxa"/>
            <w:vAlign w:val="bottom"/>
          </w:tcPr>
          <w:p>
            <w:pPr>
              <w:spacing w:after="0"/>
              <w:rPr>
                <w:sz w:val="12"/>
                <w:szCs w:val="12"/>
                <w:color w:val="auto"/>
              </w:rPr>
            </w:pPr>
          </w:p>
        </w:tc>
        <w:tc>
          <w:tcPr>
            <w:tcW w:w="760" w:type="dxa"/>
            <w:vAlign w:val="bottom"/>
          </w:tcPr>
          <w:p>
            <w:pPr>
              <w:jc w:val="right"/>
              <w:ind w:right="60"/>
              <w:spacing w:after="0"/>
              <w:rPr>
                <w:sz w:val="20"/>
                <w:szCs w:val="20"/>
                <w:color w:val="auto"/>
              </w:rPr>
            </w:pPr>
            <w:r>
              <w:rPr>
                <w:rFonts w:ascii="Arial" w:cs="Arial" w:eastAsia="Arial" w:hAnsi="Arial"/>
                <w:sz w:val="12"/>
                <w:szCs w:val="12"/>
                <w:color w:val="auto"/>
              </w:rPr>
              <w:t>899</w:t>
            </w:r>
          </w:p>
        </w:tc>
        <w:tc>
          <w:tcPr>
            <w:tcW w:w="480" w:type="dxa"/>
            <w:vAlign w:val="bottom"/>
          </w:tcPr>
          <w:p>
            <w:pPr>
              <w:spacing w:after="0"/>
              <w:rPr>
                <w:sz w:val="12"/>
                <w:szCs w:val="12"/>
                <w:color w:val="auto"/>
              </w:rPr>
            </w:pPr>
          </w:p>
        </w:tc>
        <w:tc>
          <w:tcPr>
            <w:tcW w:w="760" w:type="dxa"/>
            <w:vAlign w:val="bottom"/>
          </w:tcPr>
          <w:p>
            <w:pPr>
              <w:jc w:val="right"/>
              <w:ind w:right="60"/>
              <w:spacing w:after="0"/>
              <w:rPr>
                <w:sz w:val="20"/>
                <w:szCs w:val="20"/>
                <w:color w:val="auto"/>
              </w:rPr>
            </w:pPr>
            <w:r>
              <w:rPr>
                <w:rFonts w:ascii="Arial" w:cs="Arial" w:eastAsia="Arial" w:hAnsi="Arial"/>
                <w:sz w:val="12"/>
                <w:szCs w:val="12"/>
                <w:color w:val="auto"/>
              </w:rPr>
              <w:t>1,681</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3,601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Receivable from Federal Crop Insurance Corporation</w:t>
            </w:r>
          </w:p>
        </w:tc>
        <w:tc>
          <w:tcPr>
            <w:tcW w:w="10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11,130</w:t>
            </w: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11,130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Unpaid losses and LAE</w:t>
            </w:r>
          </w:p>
        </w:tc>
        <w:tc>
          <w:tcPr>
            <w:tcW w:w="10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18,592</w:t>
            </w:r>
          </w:p>
        </w:tc>
        <w:tc>
          <w:tcPr>
            <w:tcW w:w="3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5,942</w:t>
            </w: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18,838</w:t>
            </w:r>
          </w:p>
        </w:tc>
        <w:tc>
          <w:tcPr>
            <w:tcW w:w="5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10,020</w:t>
            </w: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9,984</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63,376</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360" w:type="dxa"/>
            <w:vAlign w:val="bottom"/>
          </w:tcPr>
          <w:p>
            <w:pPr>
              <w:ind w:left="140"/>
              <w:spacing w:after="0"/>
              <w:rPr>
                <w:sz w:val="20"/>
                <w:szCs w:val="20"/>
                <w:color w:val="auto"/>
              </w:rPr>
            </w:pPr>
            <w:r>
              <w:rPr>
                <w:rFonts w:ascii="Arial" w:cs="Arial" w:eastAsia="Arial" w:hAnsi="Arial"/>
                <w:sz w:val="12"/>
                <w:szCs w:val="12"/>
                <w:color w:val="auto"/>
              </w:rPr>
              <w:t>Unearned premiums</w:t>
            </w:r>
          </w:p>
        </w:tc>
        <w:tc>
          <w:tcPr>
            <w:tcW w:w="1000" w:type="dxa"/>
            <w:vAlign w:val="bottom"/>
          </w:tcPr>
          <w:p>
            <w:pPr>
              <w:spacing w:after="0"/>
              <w:rPr>
                <w:sz w:val="13"/>
                <w:szCs w:val="13"/>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27,248</w:t>
            </w:r>
          </w:p>
        </w:tc>
        <w:tc>
          <w:tcPr>
            <w:tcW w:w="340" w:type="dxa"/>
            <w:vAlign w:val="bottom"/>
          </w:tcPr>
          <w:p>
            <w:pPr>
              <w:spacing w:after="0"/>
              <w:rPr>
                <w:sz w:val="13"/>
                <w:szCs w:val="13"/>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1,860</w:t>
            </w:r>
          </w:p>
        </w:tc>
        <w:tc>
          <w:tcPr>
            <w:tcW w:w="480" w:type="dxa"/>
            <w:vAlign w:val="bottom"/>
          </w:tcPr>
          <w:p>
            <w:pPr>
              <w:spacing w:after="0"/>
              <w:rPr>
                <w:sz w:val="13"/>
                <w:szCs w:val="13"/>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37,473</w:t>
            </w:r>
          </w:p>
        </w:tc>
        <w:tc>
          <w:tcPr>
            <w:tcW w:w="500" w:type="dxa"/>
            <w:vAlign w:val="bottom"/>
          </w:tcPr>
          <w:p>
            <w:pPr>
              <w:spacing w:after="0"/>
              <w:rPr>
                <w:sz w:val="13"/>
                <w:szCs w:val="13"/>
                <w:color w:val="auto"/>
              </w:rPr>
            </w:pPr>
          </w:p>
        </w:tc>
        <w:tc>
          <w:tcPr>
            <w:tcW w:w="760" w:type="dxa"/>
            <w:vAlign w:val="bottom"/>
          </w:tcPr>
          <w:p>
            <w:pPr>
              <w:jc w:val="right"/>
              <w:ind w:right="60"/>
              <w:spacing w:after="0"/>
              <w:rPr>
                <w:sz w:val="20"/>
                <w:szCs w:val="20"/>
                <w:color w:val="auto"/>
              </w:rPr>
            </w:pPr>
            <w:r>
              <w:rPr>
                <w:rFonts w:ascii="Arial" w:cs="Arial" w:eastAsia="Arial" w:hAnsi="Arial"/>
                <w:sz w:val="12"/>
                <w:szCs w:val="12"/>
                <w:color w:val="auto"/>
              </w:rPr>
              <w:t>28,310</w:t>
            </w:r>
          </w:p>
        </w:tc>
        <w:tc>
          <w:tcPr>
            <w:tcW w:w="480" w:type="dxa"/>
            <w:vAlign w:val="bottom"/>
          </w:tcPr>
          <w:p>
            <w:pPr>
              <w:spacing w:after="0"/>
              <w:rPr>
                <w:sz w:val="13"/>
                <w:szCs w:val="13"/>
                <w:color w:val="auto"/>
              </w:rPr>
            </w:pPr>
          </w:p>
        </w:tc>
        <w:tc>
          <w:tcPr>
            <w:tcW w:w="760" w:type="dxa"/>
            <w:vAlign w:val="bottom"/>
          </w:tcPr>
          <w:p>
            <w:pPr>
              <w:jc w:val="right"/>
              <w:ind w:right="60"/>
              <w:spacing w:after="0"/>
              <w:rPr>
                <w:sz w:val="20"/>
                <w:szCs w:val="20"/>
                <w:color w:val="auto"/>
              </w:rPr>
            </w:pPr>
            <w:r>
              <w:rPr>
                <w:rFonts w:ascii="Arial" w:cs="Arial" w:eastAsia="Arial" w:hAnsi="Arial"/>
                <w:sz w:val="12"/>
                <w:szCs w:val="12"/>
                <w:color w:val="auto"/>
              </w:rPr>
              <w:t>5,063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99,954</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color w:val="auto"/>
              </w:rPr>
              <w:t>30</w:t>
            </w:r>
          </w:p>
        </w:tc>
        <w:tc>
          <w:tcPr>
            <w:tcW w:w="4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8"/>
          </w:cols>
          <w:pgMar w:left="212" w:top="197" w:right="199" w:bottom="1440" w:gutter="0" w:footer="0" w:header="0"/>
          <w:type w:val="continuous"/>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NI Holdings, Inc.</w:t>
      </w:r>
    </w:p>
    <w:p>
      <w:pPr>
        <w:spacing w:after="0" w:line="5" w:lineRule="exact"/>
        <w:rPr>
          <w:sz w:val="20"/>
          <w:szCs w:val="20"/>
          <w:color w:val="auto"/>
        </w:rPr>
      </w:pPr>
    </w:p>
    <w:p>
      <w:pPr>
        <w:ind w:left="4340"/>
        <w:spacing w:after="0"/>
        <w:rPr>
          <w:sz w:val="20"/>
          <w:szCs w:val="20"/>
          <w:color w:val="auto"/>
        </w:rPr>
      </w:pPr>
      <w:r>
        <w:rPr>
          <w:rFonts w:ascii="Arial" w:cs="Arial" w:eastAsia="Arial" w:hAnsi="Arial"/>
          <w:sz w:val="12"/>
          <w:szCs w:val="12"/>
          <w:b w:val="1"/>
          <w:bCs w:val="1"/>
          <w:color w:val="auto"/>
        </w:rPr>
        <w:t>Notes to Unaudited Consolidated Financial Statements</w:t>
      </w:r>
    </w:p>
    <w:p>
      <w:pPr>
        <w:spacing w:after="0" w:line="6" w:lineRule="exact"/>
        <w:rPr>
          <w:sz w:val="20"/>
          <w:szCs w:val="20"/>
          <w:color w:val="auto"/>
        </w:rPr>
      </w:pPr>
    </w:p>
    <w:p>
      <w:pPr>
        <w:ind w:left="4260"/>
        <w:spacing w:after="0"/>
        <w:rPr>
          <w:sz w:val="20"/>
          <w:szCs w:val="20"/>
          <w:color w:val="auto"/>
        </w:rPr>
      </w:pPr>
      <w:r>
        <w:rPr>
          <w:rFonts w:ascii="Arial" w:cs="Arial" w:eastAsia="Arial" w:hAnsi="Arial"/>
          <w:sz w:val="12"/>
          <w:szCs w:val="12"/>
          <w:b w:val="1"/>
          <w:bCs w:val="1"/>
          <w:color w:val="auto"/>
        </w:rPr>
        <w:t>(dollar amounts in thousands, except per share amounts)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2"/>
                <w:szCs w:val="12"/>
                <w:b w:val="1"/>
                <w:bCs w:val="1"/>
                <w:color w:val="auto"/>
                <w:w w:val="93"/>
              </w:rPr>
              <w:t>Three Months Ended June 30, 2017</w:t>
            </w: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center"/>
              <w:ind w:right="400"/>
              <w:spacing w:after="0" w:line="121" w:lineRule="exact"/>
              <w:rPr>
                <w:sz w:val="20"/>
                <w:szCs w:val="20"/>
                <w:color w:val="auto"/>
              </w:rPr>
            </w:pPr>
            <w:r>
              <w:rPr>
                <w:rFonts w:ascii="Arial" w:cs="Arial" w:eastAsia="Arial" w:hAnsi="Arial"/>
                <w:sz w:val="12"/>
                <w:szCs w:val="12"/>
                <w:b w:val="1"/>
                <w:bCs w:val="1"/>
                <w:color w:val="auto"/>
                <w:w w:val="89"/>
              </w:rPr>
              <w:t>Private</w:t>
            </w:r>
          </w:p>
        </w:tc>
        <w:tc>
          <w:tcPr>
            <w:tcW w:w="160" w:type="dxa"/>
            <w:vAlign w:val="bottom"/>
          </w:tcPr>
          <w:p>
            <w:pPr>
              <w:spacing w:after="0"/>
              <w:rPr>
                <w:sz w:val="10"/>
                <w:szCs w:val="10"/>
                <w:color w:val="auto"/>
              </w:rPr>
            </w:pPr>
          </w:p>
        </w:tc>
        <w:tc>
          <w:tcPr>
            <w:tcW w:w="1120" w:type="dxa"/>
            <w:vAlign w:val="bottom"/>
            <w:gridSpan w:val="2"/>
          </w:tcPr>
          <w:p>
            <w:pPr>
              <w:ind w:left="240"/>
              <w:spacing w:after="0" w:line="121" w:lineRule="exact"/>
              <w:rPr>
                <w:sz w:val="20"/>
                <w:szCs w:val="20"/>
                <w:color w:val="auto"/>
              </w:rPr>
            </w:pPr>
            <w:r>
              <w:rPr>
                <w:rFonts w:ascii="Arial" w:cs="Arial" w:eastAsia="Arial" w:hAnsi="Arial"/>
                <w:sz w:val="12"/>
                <w:szCs w:val="12"/>
                <w:b w:val="1"/>
                <w:bCs w:val="1"/>
                <w:color w:val="auto"/>
              </w:rPr>
              <w:t>Non-</w:t>
            </w: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85"/>
              </w:rPr>
              <w:t>Passenger</w:t>
            </w:r>
          </w:p>
        </w:tc>
        <w:tc>
          <w:tcPr>
            <w:tcW w:w="160" w:type="dxa"/>
            <w:vAlign w:val="bottom"/>
          </w:tcPr>
          <w:p>
            <w:pPr>
              <w:spacing w:after="0"/>
              <w:rPr>
                <w:sz w:val="12"/>
                <w:szCs w:val="12"/>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Standard</w:t>
            </w:r>
          </w:p>
        </w:tc>
        <w:tc>
          <w:tcPr>
            <w:tcW w:w="120" w:type="dxa"/>
            <w:vAlign w:val="bottom"/>
          </w:tcPr>
          <w:p>
            <w:pPr>
              <w:spacing w:after="0"/>
              <w:rPr>
                <w:sz w:val="12"/>
                <w:szCs w:val="12"/>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rPr>
              <w:t>Home and</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7"/>
              </w:rPr>
              <w:t>Auto</w:t>
            </w:r>
          </w:p>
        </w:tc>
        <w:tc>
          <w:tcPr>
            <w:tcW w:w="160" w:type="dxa"/>
            <w:vAlign w:val="bottom"/>
          </w:tcPr>
          <w:p>
            <w:pPr>
              <w:spacing w:after="0"/>
              <w:rPr>
                <w:sz w:val="13"/>
                <w:szCs w:val="13"/>
                <w:color w:val="auto"/>
              </w:rPr>
            </w:pPr>
          </w:p>
        </w:tc>
        <w:tc>
          <w:tcPr>
            <w:tcW w:w="1120" w:type="dxa"/>
            <w:vAlign w:val="bottom"/>
            <w:gridSpan w:val="2"/>
          </w:tcPr>
          <w:p>
            <w:pPr>
              <w:ind w:left="240"/>
              <w:spacing w:after="0"/>
              <w:rPr>
                <w:sz w:val="20"/>
                <w:szCs w:val="20"/>
                <w:color w:val="auto"/>
              </w:rPr>
            </w:pPr>
            <w:r>
              <w:rPr>
                <w:rFonts w:ascii="Arial" w:cs="Arial" w:eastAsia="Arial" w:hAnsi="Arial"/>
                <w:sz w:val="12"/>
                <w:szCs w:val="12"/>
                <w:b w:val="1"/>
                <w:bCs w:val="1"/>
                <w:color w:val="auto"/>
              </w:rPr>
              <w:t>Auto</w:t>
            </w:r>
          </w:p>
        </w:tc>
        <w:tc>
          <w:tcPr>
            <w:tcW w:w="120" w:type="dxa"/>
            <w:vAlign w:val="bottom"/>
          </w:tcPr>
          <w:p>
            <w:pPr>
              <w:spacing w:after="0"/>
              <w:rPr>
                <w:sz w:val="13"/>
                <w:szCs w:val="13"/>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2"/>
                <w:szCs w:val="12"/>
                <w:b w:val="1"/>
                <w:bCs w:val="1"/>
                <w:color w:val="auto"/>
              </w:rPr>
              <w:t>Farm</w:t>
            </w:r>
          </w:p>
        </w:tc>
        <w:tc>
          <w:tcPr>
            <w:tcW w:w="220" w:type="dxa"/>
            <w:vAlign w:val="bottom"/>
          </w:tcPr>
          <w:p>
            <w:pPr>
              <w:spacing w:after="0"/>
              <w:rPr>
                <w:sz w:val="13"/>
                <w:szCs w:val="13"/>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2"/>
                <w:szCs w:val="12"/>
                <w:b w:val="1"/>
                <w:bCs w:val="1"/>
                <w:color w:val="auto"/>
              </w:rPr>
              <w:t>Crop</w:t>
            </w:r>
          </w:p>
        </w:tc>
        <w:tc>
          <w:tcPr>
            <w:tcW w:w="16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All Other</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0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Direct premiums earned</w:t>
            </w: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14,278</w:t>
            </w:r>
          </w:p>
        </w:tc>
        <w:tc>
          <w:tcPr>
            <w:tcW w:w="2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2,590</w:t>
            </w: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15,649</w:t>
            </w: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14,138</w:t>
            </w: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1,909</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48,564</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Assumed premiums earned</w:t>
            </w:r>
          </w:p>
        </w:tc>
        <w:tc>
          <w:tcPr>
            <w:tcW w:w="1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4</w:t>
            </w:r>
          </w:p>
        </w:tc>
        <w:tc>
          <w:tcPr>
            <w:tcW w:w="1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1</w:t>
            </w:r>
          </w:p>
        </w:tc>
        <w:tc>
          <w:tcPr>
            <w:tcW w:w="22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2,435</w:t>
            </w:r>
          </w:p>
        </w:tc>
        <w:tc>
          <w:tcPr>
            <w:tcW w:w="16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928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3,368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Ceded premiums earned</w:t>
            </w: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(762)</w:t>
            </w: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(1,579)</w:t>
            </w:r>
          </w:p>
        </w:tc>
        <w:tc>
          <w:tcPr>
            <w:tcW w:w="2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(3,759)</w:t>
            </w:r>
          </w:p>
        </w:tc>
        <w:tc>
          <w:tcPr>
            <w:tcW w:w="1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(179)</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(6,279)</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000" w:type="dxa"/>
            <w:vAlign w:val="bottom"/>
          </w:tcPr>
          <w:p>
            <w:pPr>
              <w:ind w:left="140"/>
              <w:spacing w:after="0" w:line="133" w:lineRule="exact"/>
              <w:rPr>
                <w:sz w:val="20"/>
                <w:szCs w:val="20"/>
                <w:color w:val="auto"/>
              </w:rPr>
            </w:pPr>
            <w:r>
              <w:rPr>
                <w:rFonts w:ascii="Arial" w:cs="Arial" w:eastAsia="Arial" w:hAnsi="Arial"/>
                <w:sz w:val="12"/>
                <w:szCs w:val="12"/>
                <w:color w:val="auto"/>
              </w:rPr>
              <w:t>Net premiums earned</w:t>
            </w: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13,520</w:t>
            </w: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2,590</w:t>
            </w: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14,071</w:t>
            </w:r>
          </w:p>
        </w:tc>
        <w:tc>
          <w:tcPr>
            <w:tcW w:w="2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12,814</w:t>
            </w: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2,658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45,653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Direct losses and LAE</w:t>
            </w:r>
          </w:p>
        </w:tc>
        <w:tc>
          <w:tcPr>
            <w:tcW w:w="1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7,432</w:t>
            </w:r>
          </w:p>
        </w:tc>
        <w:tc>
          <w:tcPr>
            <w:tcW w:w="1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2,347</w:t>
            </w:r>
          </w:p>
        </w:tc>
        <w:tc>
          <w:tcPr>
            <w:tcW w:w="12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14,224</w:t>
            </w:r>
          </w:p>
        </w:tc>
        <w:tc>
          <w:tcPr>
            <w:tcW w:w="22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11,573</w:t>
            </w:r>
          </w:p>
        </w:tc>
        <w:tc>
          <w:tcPr>
            <w:tcW w:w="16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517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36,093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Assumed losses and LAE</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39</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1,403</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582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2,024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Ceded losses and LAE</w:t>
            </w:r>
          </w:p>
        </w:tc>
        <w:tc>
          <w:tcPr>
            <w:tcW w:w="16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262</w:t>
            </w:r>
          </w:p>
        </w:tc>
        <w:tc>
          <w:tcPr>
            <w:tcW w:w="16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347</w:t>
            </w:r>
          </w:p>
        </w:tc>
        <w:tc>
          <w:tcPr>
            <w:tcW w:w="220" w:type="dxa"/>
            <w:vAlign w:val="bottom"/>
          </w:tcPr>
          <w:p>
            <w:pPr>
              <w:spacing w:after="0"/>
              <w:rPr>
                <w:sz w:val="13"/>
                <w:szCs w:val="13"/>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2"/>
                <w:szCs w:val="12"/>
                <w:color w:val="auto"/>
              </w:rPr>
              <w:t>(2,062)</w:t>
            </w:r>
          </w:p>
        </w:tc>
        <w:tc>
          <w:tcPr>
            <w:tcW w:w="160" w:type="dxa"/>
            <w:vAlign w:val="bottom"/>
          </w:tcPr>
          <w:p>
            <w:pPr>
              <w:spacing w:after="0"/>
              <w:rPr>
                <w:sz w:val="13"/>
                <w:szCs w:val="1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2"/>
                <w:szCs w:val="12"/>
                <w:color w:val="auto"/>
              </w:rPr>
              <w:t>(434)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(1,887)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000" w:type="dxa"/>
            <w:vAlign w:val="bottom"/>
            <w:tcBorders>
              <w:top w:val="single" w:sz="8" w:color="CCEEFF"/>
            </w:tcBorders>
            <w:shd w:val="clear" w:color="auto" w:fill="CCEEFF"/>
          </w:tcPr>
          <w:p>
            <w:pPr>
              <w:ind w:left="140"/>
              <w:spacing w:after="0" w:line="133" w:lineRule="exact"/>
              <w:rPr>
                <w:sz w:val="20"/>
                <w:szCs w:val="20"/>
                <w:color w:val="auto"/>
              </w:rPr>
            </w:pPr>
            <w:r>
              <w:rPr>
                <w:rFonts w:ascii="Arial" w:cs="Arial" w:eastAsia="Arial" w:hAnsi="Arial"/>
                <w:sz w:val="12"/>
                <w:szCs w:val="12"/>
                <w:color w:val="auto"/>
              </w:rPr>
              <w:t>Net losses and LAE</w:t>
            </w:r>
          </w:p>
        </w:tc>
        <w:tc>
          <w:tcPr>
            <w:tcW w:w="16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7,733</w:t>
            </w:r>
          </w:p>
        </w:tc>
        <w:tc>
          <w:tcPr>
            <w:tcW w:w="2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2,347</w:t>
            </w: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14,571</w:t>
            </w: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10,914</w:t>
            </w: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665</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36,230</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0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Gross margin</w:t>
            </w:r>
          </w:p>
        </w:tc>
        <w:tc>
          <w:tcPr>
            <w:tcW w:w="16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5,787</w:t>
            </w:r>
          </w:p>
        </w:tc>
        <w:tc>
          <w:tcPr>
            <w:tcW w:w="2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243</w:t>
            </w:r>
          </w:p>
        </w:tc>
        <w:tc>
          <w:tcPr>
            <w:tcW w:w="2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(500)</w:t>
            </w:r>
          </w:p>
        </w:tc>
        <w:tc>
          <w:tcPr>
            <w:tcW w:w="24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1,900</w:t>
            </w: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1,993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9,423</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4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Underwriting and general expenses</w:t>
            </w: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5,921</w:t>
            </w: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807</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6,264</w:t>
            </w:r>
          </w:p>
        </w:tc>
        <w:tc>
          <w:tcPr>
            <w:tcW w:w="2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(2,244)</w:t>
            </w:r>
          </w:p>
        </w:tc>
        <w:tc>
          <w:tcPr>
            <w:tcW w:w="1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677</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11,425</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000" w:type="dxa"/>
            <w:vAlign w:val="bottom"/>
            <w:tcBorders>
              <w:bottom w:val="single" w:sz="8" w:color="CCEEFF"/>
            </w:tcBorders>
          </w:tcPr>
          <w:p>
            <w:pPr>
              <w:ind w:left="140"/>
              <w:spacing w:after="0" w:line="133" w:lineRule="exact"/>
              <w:rPr>
                <w:sz w:val="20"/>
                <w:szCs w:val="20"/>
                <w:color w:val="auto"/>
              </w:rPr>
            </w:pPr>
            <w:r>
              <w:rPr>
                <w:rFonts w:ascii="Arial" w:cs="Arial" w:eastAsia="Arial" w:hAnsi="Arial"/>
                <w:sz w:val="12"/>
                <w:szCs w:val="12"/>
                <w:color w:val="auto"/>
              </w:rPr>
              <w:t>Underwriting gain (loss)</w:t>
            </w:r>
          </w:p>
        </w:tc>
        <w:tc>
          <w:tcPr>
            <w:tcW w:w="16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(134)</w:t>
            </w:r>
          </w:p>
        </w:tc>
        <w:tc>
          <w:tcPr>
            <w:tcW w:w="2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(564)</w:t>
            </w:r>
          </w:p>
        </w:tc>
        <w:tc>
          <w:tcPr>
            <w:tcW w:w="2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(6,764)</w:t>
            </w:r>
          </w:p>
        </w:tc>
        <w:tc>
          <w:tcPr>
            <w:tcW w:w="24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4,144</w:t>
            </w:r>
          </w:p>
        </w:tc>
        <w:tc>
          <w:tcPr>
            <w:tcW w:w="2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1,316</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(2,002)</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4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Fee and other income</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262</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321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0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(302)</w:t>
            </w: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020" w:type="dxa"/>
            <w:vAlign w:val="bottom"/>
            <w:gridSpan w:val="2"/>
          </w:tcPr>
          <w:p>
            <w:pPr>
              <w:spacing w:after="0" w:line="133" w:lineRule="exact"/>
              <w:rPr>
                <w:sz w:val="20"/>
                <w:szCs w:val="20"/>
                <w:color w:val="auto"/>
              </w:rPr>
            </w:pPr>
            <w:r>
              <w:rPr>
                <w:rFonts w:ascii="Arial" w:cs="Arial" w:eastAsia="Arial" w:hAnsi="Arial"/>
                <w:sz w:val="12"/>
                <w:szCs w:val="12"/>
                <w:color w:val="auto"/>
              </w:rPr>
              <w:t>Net investment income</w:t>
            </w: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tcPr>
          <w:p>
            <w:pPr>
              <w:jc w:val="right"/>
              <w:ind w:right="120"/>
              <w:spacing w:after="0" w:line="133" w:lineRule="exact"/>
              <w:rPr>
                <w:sz w:val="20"/>
                <w:szCs w:val="20"/>
                <w:color w:val="auto"/>
              </w:rPr>
            </w:pPr>
            <w:r>
              <w:rPr>
                <w:rFonts w:ascii="Arial" w:cs="Arial" w:eastAsia="Arial" w:hAnsi="Arial"/>
                <w:sz w:val="12"/>
                <w:szCs w:val="12"/>
                <w:color w:val="auto"/>
              </w:rPr>
              <w:t>1,303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Net realized capital gain on investments</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339</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000" w:type="dxa"/>
            <w:vAlign w:val="bottom"/>
          </w:tcPr>
          <w:p>
            <w:pPr>
              <w:ind w:left="140"/>
              <w:spacing w:after="0" w:line="133" w:lineRule="exact"/>
              <w:rPr>
                <w:sz w:val="20"/>
                <w:szCs w:val="20"/>
                <w:color w:val="auto"/>
              </w:rPr>
            </w:pPr>
            <w:r>
              <w:rPr>
                <w:rFonts w:ascii="Arial" w:cs="Arial" w:eastAsia="Arial" w:hAnsi="Arial"/>
                <w:sz w:val="12"/>
                <w:szCs w:val="12"/>
                <w:color w:val="auto"/>
              </w:rPr>
              <w:t>Loss before income taxes</w:t>
            </w: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(39)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Income taxes (benefit)</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(156)</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000" w:type="dxa"/>
            <w:vAlign w:val="bottom"/>
          </w:tcPr>
          <w:p>
            <w:pPr>
              <w:ind w:left="140"/>
              <w:spacing w:after="0" w:line="133" w:lineRule="exact"/>
              <w:rPr>
                <w:sz w:val="20"/>
                <w:szCs w:val="20"/>
                <w:color w:val="auto"/>
              </w:rPr>
            </w:pPr>
            <w:r>
              <w:rPr>
                <w:rFonts w:ascii="Arial" w:cs="Arial" w:eastAsia="Arial" w:hAnsi="Arial"/>
                <w:sz w:val="12"/>
                <w:szCs w:val="12"/>
                <w:color w:val="auto"/>
              </w:rPr>
              <w:t>Net income</w:t>
            </w: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117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Net loss attributable to non-controlling interest</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vMerge w:val="restart"/>
          </w:tcPr>
          <w:p>
            <w:pPr>
              <w:ind w:left="140"/>
              <w:spacing w:after="0"/>
              <w:rPr>
                <w:sz w:val="20"/>
                <w:szCs w:val="20"/>
                <w:color w:val="auto"/>
              </w:rPr>
            </w:pPr>
            <w:r>
              <w:rPr>
                <w:rFonts w:ascii="Arial" w:cs="Arial" w:eastAsia="Arial" w:hAnsi="Arial"/>
                <w:sz w:val="12"/>
                <w:szCs w:val="12"/>
                <w:color w:val="auto"/>
              </w:rPr>
              <w:t>Net income attributable to NI Holdings, Inc.</w:t>
            </w: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129</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0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Loss and LAE ratio</w:t>
            </w:r>
          </w:p>
        </w:tc>
        <w:tc>
          <w:tcPr>
            <w:tcW w:w="1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57.2%</w:t>
            </w:r>
          </w:p>
        </w:tc>
        <w:tc>
          <w:tcPr>
            <w:tcW w:w="1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90.6%</w:t>
            </w:r>
          </w:p>
        </w:tc>
        <w:tc>
          <w:tcPr>
            <w:tcW w:w="12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103.6%</w:t>
            </w:r>
          </w:p>
        </w:tc>
        <w:tc>
          <w:tcPr>
            <w:tcW w:w="22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85.2%</w:t>
            </w:r>
          </w:p>
        </w:tc>
        <w:tc>
          <w:tcPr>
            <w:tcW w:w="16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25.0%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79.4%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Expense ratio</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43.8%</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31.2%</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44.5%</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-17.5%</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25.5%</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Combined ratio</w:t>
            </w:r>
          </w:p>
        </w:tc>
        <w:tc>
          <w:tcPr>
            <w:tcW w:w="1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101.0%</w:t>
            </w:r>
          </w:p>
        </w:tc>
        <w:tc>
          <w:tcPr>
            <w:tcW w:w="1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121.8%</w:t>
            </w:r>
          </w:p>
        </w:tc>
        <w:tc>
          <w:tcPr>
            <w:tcW w:w="12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148.1%</w:t>
            </w:r>
          </w:p>
        </w:tc>
        <w:tc>
          <w:tcPr>
            <w:tcW w:w="22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67.7%</w:t>
            </w:r>
          </w:p>
        </w:tc>
        <w:tc>
          <w:tcPr>
            <w:tcW w:w="16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50.5%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104.4%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Balances at June 30, 2017:</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ind w:left="140"/>
              <w:spacing w:after="0"/>
              <w:rPr>
                <w:sz w:val="20"/>
                <w:szCs w:val="20"/>
                <w:color w:val="auto"/>
              </w:rPr>
            </w:pPr>
            <w:r>
              <w:rPr>
                <w:rFonts w:ascii="Arial" w:cs="Arial" w:eastAsia="Arial" w:hAnsi="Arial"/>
                <w:sz w:val="12"/>
                <w:szCs w:val="12"/>
                <w:color w:val="auto"/>
              </w:rPr>
              <w:t>Premiums receivable</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15,600</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1,003</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8,328</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44,736</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1,215</w:t>
            </w:r>
          </w:p>
        </w:tc>
        <w:tc>
          <w:tcPr>
            <w:tcW w:w="300" w:type="dxa"/>
            <w:vAlign w:val="bottom"/>
            <w:gridSpan w:val="2"/>
          </w:tcPr>
          <w:p>
            <w:pPr>
              <w:jc w:val="right"/>
              <w:ind w:right="11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70,882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Deferred policy acquisition costs</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2,577</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277</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5,238</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5,586</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448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14,126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ind w:left="140"/>
              <w:spacing w:after="0"/>
              <w:rPr>
                <w:sz w:val="20"/>
                <w:szCs w:val="20"/>
                <w:color w:val="auto"/>
              </w:rPr>
            </w:pPr>
            <w:r>
              <w:rPr>
                <w:rFonts w:ascii="Arial" w:cs="Arial" w:eastAsia="Arial" w:hAnsi="Arial"/>
                <w:sz w:val="12"/>
                <w:szCs w:val="12"/>
                <w:color w:val="auto"/>
              </w:rPr>
              <w:t>Reinsurance recoverables</w:t>
            </w:r>
          </w:p>
        </w:tc>
        <w:tc>
          <w:tcPr>
            <w:tcW w:w="1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1,435</w:t>
            </w:r>
          </w:p>
        </w:tc>
        <w:tc>
          <w:tcPr>
            <w:tcW w:w="1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2,625</w:t>
            </w:r>
          </w:p>
        </w:tc>
        <w:tc>
          <w:tcPr>
            <w:tcW w:w="22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3,716</w:t>
            </w:r>
          </w:p>
        </w:tc>
        <w:tc>
          <w:tcPr>
            <w:tcW w:w="16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2,616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10,392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Receivable from Federal Crop Insurance Corporation</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12,496</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12,496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Unpaid losses and LAE</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24,391</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6,276</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17,162</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15,862</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8,928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72,619</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00" w:type="dxa"/>
            <w:vAlign w:val="bottom"/>
          </w:tcPr>
          <w:p>
            <w:pPr>
              <w:ind w:left="140"/>
              <w:spacing w:after="0"/>
              <w:rPr>
                <w:sz w:val="20"/>
                <w:szCs w:val="20"/>
                <w:color w:val="auto"/>
              </w:rPr>
            </w:pPr>
            <w:r>
              <w:rPr>
                <w:rFonts w:ascii="Arial" w:cs="Arial" w:eastAsia="Arial" w:hAnsi="Arial"/>
                <w:sz w:val="12"/>
                <w:szCs w:val="12"/>
                <w:color w:val="auto"/>
              </w:rPr>
              <w:t>Unearned premiums</w:t>
            </w:r>
          </w:p>
        </w:tc>
        <w:tc>
          <w:tcPr>
            <w:tcW w:w="16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25,247</w:t>
            </w:r>
          </w:p>
        </w:tc>
        <w:tc>
          <w:tcPr>
            <w:tcW w:w="16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1,579</w:t>
            </w:r>
          </w:p>
        </w:tc>
        <w:tc>
          <w:tcPr>
            <w:tcW w:w="12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33,894</w:t>
            </w:r>
          </w:p>
        </w:tc>
        <w:tc>
          <w:tcPr>
            <w:tcW w:w="22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26,718</w:t>
            </w:r>
          </w:p>
        </w:tc>
        <w:tc>
          <w:tcPr>
            <w:tcW w:w="16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4,756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92,194</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220"/>
              <w:spacing w:after="0"/>
              <w:rPr>
                <w:sz w:val="20"/>
                <w:szCs w:val="20"/>
                <w:color w:val="auto"/>
              </w:rPr>
            </w:pPr>
            <w:r>
              <w:rPr>
                <w:rFonts w:ascii="Arial" w:cs="Arial" w:eastAsia="Arial" w:hAnsi="Arial"/>
                <w:sz w:val="12"/>
                <w:szCs w:val="12"/>
                <w:color w:val="auto"/>
              </w:rPr>
              <w:t>31</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197" w:right="19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NI Holdings, Inc.</w:t>
      </w:r>
    </w:p>
    <w:p>
      <w:pPr>
        <w:spacing w:after="0" w:line="5" w:lineRule="exact"/>
        <w:rPr>
          <w:sz w:val="20"/>
          <w:szCs w:val="20"/>
          <w:color w:val="auto"/>
        </w:rPr>
      </w:pPr>
    </w:p>
    <w:p>
      <w:pPr>
        <w:ind w:left="4340"/>
        <w:spacing w:after="0"/>
        <w:rPr>
          <w:sz w:val="20"/>
          <w:szCs w:val="20"/>
          <w:color w:val="auto"/>
        </w:rPr>
      </w:pPr>
      <w:r>
        <w:rPr>
          <w:rFonts w:ascii="Arial" w:cs="Arial" w:eastAsia="Arial" w:hAnsi="Arial"/>
          <w:sz w:val="12"/>
          <w:szCs w:val="12"/>
          <w:b w:val="1"/>
          <w:bCs w:val="1"/>
          <w:color w:val="auto"/>
        </w:rPr>
        <w:t>Notes to Unaudited Consolidated Financial Statements</w:t>
      </w:r>
    </w:p>
    <w:p>
      <w:pPr>
        <w:spacing w:after="0" w:line="6" w:lineRule="exact"/>
        <w:rPr>
          <w:sz w:val="20"/>
          <w:szCs w:val="20"/>
          <w:color w:val="auto"/>
        </w:rPr>
      </w:pPr>
    </w:p>
    <w:p>
      <w:pPr>
        <w:ind w:left="4260"/>
        <w:spacing w:after="0"/>
        <w:rPr>
          <w:sz w:val="20"/>
          <w:szCs w:val="20"/>
          <w:color w:val="auto"/>
        </w:rPr>
      </w:pPr>
      <w:r>
        <w:rPr>
          <w:rFonts w:ascii="Arial" w:cs="Arial" w:eastAsia="Arial" w:hAnsi="Arial"/>
          <w:sz w:val="12"/>
          <w:szCs w:val="12"/>
          <w:b w:val="1"/>
          <w:bCs w:val="1"/>
          <w:color w:val="auto"/>
        </w:rPr>
        <w:t>(dollar amounts in thousands, except per share amounts)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2"/>
                <w:szCs w:val="12"/>
                <w:b w:val="1"/>
                <w:bCs w:val="1"/>
                <w:color w:val="auto"/>
                <w:w w:val="97"/>
              </w:rPr>
              <w:t>Six Months Ended June 30, 2018</w:t>
            </w: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center"/>
              <w:ind w:right="400"/>
              <w:spacing w:after="0" w:line="121" w:lineRule="exact"/>
              <w:rPr>
                <w:sz w:val="20"/>
                <w:szCs w:val="20"/>
                <w:color w:val="auto"/>
              </w:rPr>
            </w:pPr>
            <w:r>
              <w:rPr>
                <w:rFonts w:ascii="Arial" w:cs="Arial" w:eastAsia="Arial" w:hAnsi="Arial"/>
                <w:sz w:val="12"/>
                <w:szCs w:val="12"/>
                <w:b w:val="1"/>
                <w:bCs w:val="1"/>
                <w:color w:val="auto"/>
                <w:w w:val="89"/>
              </w:rPr>
              <w:t>Private</w:t>
            </w:r>
          </w:p>
        </w:tc>
        <w:tc>
          <w:tcPr>
            <w:tcW w:w="160" w:type="dxa"/>
            <w:vAlign w:val="bottom"/>
          </w:tcPr>
          <w:p>
            <w:pPr>
              <w:spacing w:after="0"/>
              <w:rPr>
                <w:sz w:val="10"/>
                <w:szCs w:val="10"/>
                <w:color w:val="auto"/>
              </w:rPr>
            </w:pPr>
          </w:p>
        </w:tc>
        <w:tc>
          <w:tcPr>
            <w:tcW w:w="1120" w:type="dxa"/>
            <w:vAlign w:val="bottom"/>
            <w:gridSpan w:val="2"/>
          </w:tcPr>
          <w:p>
            <w:pPr>
              <w:jc w:val="center"/>
              <w:ind w:right="400"/>
              <w:spacing w:after="0" w:line="121" w:lineRule="exact"/>
              <w:rPr>
                <w:sz w:val="20"/>
                <w:szCs w:val="20"/>
                <w:color w:val="auto"/>
              </w:rPr>
            </w:pPr>
            <w:r>
              <w:rPr>
                <w:rFonts w:ascii="Arial" w:cs="Arial" w:eastAsia="Arial" w:hAnsi="Arial"/>
                <w:sz w:val="12"/>
                <w:szCs w:val="12"/>
                <w:b w:val="1"/>
                <w:bCs w:val="1"/>
                <w:color w:val="auto"/>
                <w:w w:val="87"/>
              </w:rPr>
              <w:t>Non-</w:t>
            </w: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85"/>
              </w:rPr>
              <w:t>Passenger</w:t>
            </w:r>
          </w:p>
        </w:tc>
        <w:tc>
          <w:tcPr>
            <w:tcW w:w="160" w:type="dxa"/>
            <w:vAlign w:val="bottom"/>
          </w:tcPr>
          <w:p>
            <w:pPr>
              <w:spacing w:after="0"/>
              <w:rPr>
                <w:sz w:val="12"/>
                <w:szCs w:val="12"/>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92"/>
              </w:rPr>
              <w:t>Standard</w:t>
            </w:r>
          </w:p>
        </w:tc>
        <w:tc>
          <w:tcPr>
            <w:tcW w:w="140" w:type="dxa"/>
            <w:vAlign w:val="bottom"/>
          </w:tcPr>
          <w:p>
            <w:pPr>
              <w:spacing w:after="0"/>
              <w:rPr>
                <w:sz w:val="12"/>
                <w:szCs w:val="12"/>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Home and</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7"/>
              </w:rPr>
              <w:t>Auto</w:t>
            </w:r>
          </w:p>
        </w:tc>
        <w:tc>
          <w:tcPr>
            <w:tcW w:w="160" w:type="dxa"/>
            <w:vAlign w:val="bottom"/>
          </w:tcPr>
          <w:p>
            <w:pPr>
              <w:spacing w:after="0"/>
              <w:rPr>
                <w:sz w:val="13"/>
                <w:szCs w:val="13"/>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7"/>
              </w:rPr>
              <w:t>Auto</w:t>
            </w:r>
          </w:p>
        </w:tc>
        <w:tc>
          <w:tcPr>
            <w:tcW w:w="140" w:type="dxa"/>
            <w:vAlign w:val="bottom"/>
          </w:tcPr>
          <w:p>
            <w:pPr>
              <w:spacing w:after="0"/>
              <w:rPr>
                <w:sz w:val="13"/>
                <w:szCs w:val="13"/>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2"/>
                <w:szCs w:val="12"/>
                <w:b w:val="1"/>
                <w:bCs w:val="1"/>
                <w:color w:val="auto"/>
              </w:rPr>
              <w:t>Farm</w:t>
            </w:r>
          </w:p>
        </w:tc>
        <w:tc>
          <w:tcPr>
            <w:tcW w:w="220" w:type="dxa"/>
            <w:vAlign w:val="bottom"/>
          </w:tcPr>
          <w:p>
            <w:pPr>
              <w:spacing w:after="0"/>
              <w:rPr>
                <w:sz w:val="13"/>
                <w:szCs w:val="13"/>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2"/>
                <w:szCs w:val="12"/>
                <w:b w:val="1"/>
                <w:bCs w:val="1"/>
                <w:color w:val="auto"/>
              </w:rPr>
              <w:t>Crop</w:t>
            </w:r>
          </w:p>
        </w:tc>
        <w:tc>
          <w:tcPr>
            <w:tcW w:w="16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All Other</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0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Direct premiums earned</w:t>
            </w: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31,718</w:t>
            </w:r>
          </w:p>
        </w:tc>
        <w:tc>
          <w:tcPr>
            <w:tcW w:w="2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6,467</w:t>
            </w:r>
          </w:p>
        </w:tc>
        <w:tc>
          <w:tcPr>
            <w:tcW w:w="2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33,862</w:t>
            </w: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15,084</w:t>
            </w: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4,048</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91,179</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Assumed premiums earned</w:t>
            </w:r>
          </w:p>
        </w:tc>
        <w:tc>
          <w:tcPr>
            <w:tcW w:w="1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8</w:t>
            </w:r>
          </w:p>
        </w:tc>
        <w:tc>
          <w:tcPr>
            <w:tcW w:w="1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(8)</w:t>
            </w:r>
          </w:p>
        </w:tc>
        <w:tc>
          <w:tcPr>
            <w:tcW w:w="22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2,283</w:t>
            </w:r>
          </w:p>
        </w:tc>
        <w:tc>
          <w:tcPr>
            <w:tcW w:w="16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2,205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4,488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Ceded premiums earned</w:t>
            </w: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(1,591)</w:t>
            </w: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(3,115)</w:t>
            </w:r>
          </w:p>
        </w:tc>
        <w:tc>
          <w:tcPr>
            <w:tcW w:w="2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(3,825)</w:t>
            </w:r>
          </w:p>
        </w:tc>
        <w:tc>
          <w:tcPr>
            <w:tcW w:w="1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(347)</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(8,878)</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000" w:type="dxa"/>
            <w:vAlign w:val="bottom"/>
          </w:tcPr>
          <w:p>
            <w:pPr>
              <w:ind w:left="140"/>
              <w:spacing w:after="0" w:line="133" w:lineRule="exact"/>
              <w:rPr>
                <w:sz w:val="20"/>
                <w:szCs w:val="20"/>
                <w:color w:val="auto"/>
              </w:rPr>
            </w:pPr>
            <w:r>
              <w:rPr>
                <w:rFonts w:ascii="Arial" w:cs="Arial" w:eastAsia="Arial" w:hAnsi="Arial"/>
                <w:sz w:val="12"/>
                <w:szCs w:val="12"/>
                <w:color w:val="auto"/>
              </w:rPr>
              <w:t>Net premiums earned</w:t>
            </w: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30,135</w:t>
            </w: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6,467</w:t>
            </w: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30,739</w:t>
            </w:r>
          </w:p>
        </w:tc>
        <w:tc>
          <w:tcPr>
            <w:tcW w:w="2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13,542</w:t>
            </w: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5,906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86,789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Direct losses and LAE</w:t>
            </w:r>
          </w:p>
        </w:tc>
        <w:tc>
          <w:tcPr>
            <w:tcW w:w="1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21,364</w:t>
            </w:r>
          </w:p>
        </w:tc>
        <w:tc>
          <w:tcPr>
            <w:tcW w:w="1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4,937</w:t>
            </w:r>
          </w:p>
        </w:tc>
        <w:tc>
          <w:tcPr>
            <w:tcW w:w="14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21,958</w:t>
            </w:r>
          </w:p>
        </w:tc>
        <w:tc>
          <w:tcPr>
            <w:tcW w:w="22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10,063</w:t>
            </w:r>
          </w:p>
        </w:tc>
        <w:tc>
          <w:tcPr>
            <w:tcW w:w="16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1,436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59,758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Assumed losses and LAE</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47</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(49)</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164</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914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1,076</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Ceded losses and LAE</w:t>
            </w:r>
          </w:p>
        </w:tc>
        <w:tc>
          <w:tcPr>
            <w:tcW w:w="160" w:type="dxa"/>
            <w:vAlign w:val="bottom"/>
          </w:tcPr>
          <w:p>
            <w:pPr>
              <w:spacing w:after="0"/>
              <w:rPr>
                <w:sz w:val="13"/>
                <w:szCs w:val="1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(114)</w:t>
            </w:r>
          </w:p>
        </w:tc>
        <w:tc>
          <w:tcPr>
            <w:tcW w:w="16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(60)</w:t>
            </w:r>
          </w:p>
        </w:tc>
        <w:tc>
          <w:tcPr>
            <w:tcW w:w="220" w:type="dxa"/>
            <w:vAlign w:val="bottom"/>
          </w:tcPr>
          <w:p>
            <w:pPr>
              <w:spacing w:after="0"/>
              <w:rPr>
                <w:sz w:val="13"/>
                <w:szCs w:val="13"/>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2"/>
                <w:szCs w:val="12"/>
                <w:color w:val="auto"/>
              </w:rPr>
              <w:t>(905)</w:t>
            </w:r>
          </w:p>
        </w:tc>
        <w:tc>
          <w:tcPr>
            <w:tcW w:w="160" w:type="dxa"/>
            <w:vAlign w:val="bottom"/>
          </w:tcPr>
          <w:p>
            <w:pPr>
              <w:spacing w:after="0"/>
              <w:rPr>
                <w:sz w:val="13"/>
                <w:szCs w:val="1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2"/>
                <w:szCs w:val="12"/>
                <w:color w:val="auto"/>
              </w:rPr>
              <w:t>(185)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(1,264)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000" w:type="dxa"/>
            <w:vAlign w:val="bottom"/>
            <w:tcBorders>
              <w:top w:val="single" w:sz="8" w:color="CCEEFF"/>
            </w:tcBorders>
            <w:shd w:val="clear" w:color="auto" w:fill="CCEEFF"/>
          </w:tcPr>
          <w:p>
            <w:pPr>
              <w:ind w:left="140"/>
              <w:spacing w:after="0" w:line="133" w:lineRule="exact"/>
              <w:rPr>
                <w:sz w:val="20"/>
                <w:szCs w:val="20"/>
                <w:color w:val="auto"/>
              </w:rPr>
            </w:pPr>
            <w:r>
              <w:rPr>
                <w:rFonts w:ascii="Arial" w:cs="Arial" w:eastAsia="Arial" w:hAnsi="Arial"/>
                <w:sz w:val="12"/>
                <w:szCs w:val="12"/>
                <w:color w:val="auto"/>
              </w:rPr>
              <w:t>Net losses and LAE</w:t>
            </w:r>
          </w:p>
        </w:tc>
        <w:tc>
          <w:tcPr>
            <w:tcW w:w="16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21,297</w:t>
            </w:r>
          </w:p>
        </w:tc>
        <w:tc>
          <w:tcPr>
            <w:tcW w:w="2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4,937</w:t>
            </w:r>
          </w:p>
        </w:tc>
        <w:tc>
          <w:tcPr>
            <w:tcW w:w="2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21,849</w:t>
            </w: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9,322</w:t>
            </w: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2,165</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59,570</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0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Gross margin</w:t>
            </w:r>
          </w:p>
        </w:tc>
        <w:tc>
          <w:tcPr>
            <w:tcW w:w="16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8,838</w:t>
            </w:r>
          </w:p>
        </w:tc>
        <w:tc>
          <w:tcPr>
            <w:tcW w:w="2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1,530</w:t>
            </w:r>
          </w:p>
        </w:tc>
        <w:tc>
          <w:tcPr>
            <w:tcW w:w="2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8,890</w:t>
            </w:r>
          </w:p>
        </w:tc>
        <w:tc>
          <w:tcPr>
            <w:tcW w:w="24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4,220</w:t>
            </w: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3,741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27,219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4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Underwriting and general expenses</w:t>
            </w: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9,122</w:t>
            </w: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1,925</w:t>
            </w: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10,092</w:t>
            </w:r>
          </w:p>
        </w:tc>
        <w:tc>
          <w:tcPr>
            <w:tcW w:w="2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651</w:t>
            </w:r>
          </w:p>
        </w:tc>
        <w:tc>
          <w:tcPr>
            <w:tcW w:w="1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1,889</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23,679</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000" w:type="dxa"/>
            <w:vAlign w:val="bottom"/>
            <w:tcBorders>
              <w:bottom w:val="single" w:sz="8" w:color="CCEEFF"/>
            </w:tcBorders>
          </w:tcPr>
          <w:p>
            <w:pPr>
              <w:ind w:left="140"/>
              <w:spacing w:after="0" w:line="133" w:lineRule="exact"/>
              <w:rPr>
                <w:sz w:val="20"/>
                <w:szCs w:val="20"/>
                <w:color w:val="auto"/>
              </w:rPr>
            </w:pPr>
            <w:r>
              <w:rPr>
                <w:rFonts w:ascii="Arial" w:cs="Arial" w:eastAsia="Arial" w:hAnsi="Arial"/>
                <w:sz w:val="12"/>
                <w:szCs w:val="12"/>
                <w:color w:val="auto"/>
              </w:rPr>
              <w:t>Underwriting gain (loss)</w:t>
            </w:r>
          </w:p>
        </w:tc>
        <w:tc>
          <w:tcPr>
            <w:tcW w:w="16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(284)</w:t>
            </w:r>
          </w:p>
        </w:tc>
        <w:tc>
          <w:tcPr>
            <w:tcW w:w="2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(395)</w:t>
            </w:r>
          </w:p>
        </w:tc>
        <w:tc>
          <w:tcPr>
            <w:tcW w:w="2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(1,202)</w:t>
            </w:r>
          </w:p>
        </w:tc>
        <w:tc>
          <w:tcPr>
            <w:tcW w:w="24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3,569</w:t>
            </w:r>
          </w:p>
        </w:tc>
        <w:tc>
          <w:tcPr>
            <w:tcW w:w="2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1,852</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3,540</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4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Fee and other income</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651</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847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0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256</w:t>
            </w:r>
          </w:p>
        </w:tc>
        <w:tc>
          <w:tcPr>
            <w:tcW w:w="2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80"/>
          </w:cols>
          <w:pgMar w:left="220" w:top="197" w:right="199" w:bottom="1440" w:gutter="0" w:footer="0" w:header="0"/>
        </w:sectPr>
      </w:pPr>
    </w:p>
    <w:p>
      <w:pPr>
        <w:spacing w:after="0"/>
        <w:rPr>
          <w:sz w:val="20"/>
          <w:szCs w:val="20"/>
          <w:color w:val="auto"/>
        </w:rPr>
      </w:pPr>
      <w:r>
        <w:rPr>
          <w:rFonts w:ascii="Arial" w:cs="Arial" w:eastAsia="Arial" w:hAnsi="Arial"/>
          <w:sz w:val="12"/>
          <w:szCs w:val="12"/>
          <w:color w:val="auto"/>
        </w:rPr>
        <w:t>Net investment income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Net realized capital gain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7292340" cy="971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2340" cy="9715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2"/>
          <w:szCs w:val="12"/>
          <w:color w:val="auto"/>
        </w:rPr>
        <w:t>Income before income taxes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7292340" cy="971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2340" cy="9715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2"/>
          <w:szCs w:val="12"/>
          <w:color w:val="auto"/>
        </w:rPr>
        <w:t>Net income</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Net income attributable to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292340" cy="971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2340" cy="9715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1"/>
          <w:szCs w:val="11"/>
          <w:color w:val="auto"/>
        </w:rPr>
        <w:t>Net income attributable to NI Holdings, Inc.</w:t>
      </w:r>
    </w:p>
    <w:p>
      <w:pPr>
        <w:spacing w:after="0" w:line="20" w:lineRule="exact"/>
        <w:rPr>
          <w:sz w:val="20"/>
          <w:szCs w:val="20"/>
          <w:color w:val="auto"/>
        </w:rPr>
      </w:pPr>
      <w:r>
        <w:rPr>
          <w:sz w:val="20"/>
          <w:szCs w:val="20"/>
          <w:color w:val="auto"/>
        </w:rPr>
        <w:br w:type="column"/>
      </w:r>
    </w:p>
    <w:p>
      <w:pPr>
        <w:jc w:val="right"/>
        <w:ind w:right="120"/>
        <w:spacing w:after="0"/>
        <w:rPr>
          <w:sz w:val="20"/>
          <w:szCs w:val="20"/>
          <w:color w:val="auto"/>
        </w:rPr>
      </w:pPr>
      <w:r>
        <w:rPr>
          <w:rFonts w:ascii="Arial" w:cs="Arial" w:eastAsia="Arial" w:hAnsi="Arial"/>
          <w:sz w:val="12"/>
          <w:szCs w:val="12"/>
          <w:color w:val="auto"/>
        </w:rPr>
        <w:t>2,892</w:t>
      </w:r>
    </w:p>
    <w:p>
      <w:pPr>
        <w:spacing w:after="0" w:line="6" w:lineRule="exact"/>
        <w:rPr>
          <w:sz w:val="20"/>
          <w:szCs w:val="20"/>
          <w:color w:val="auto"/>
        </w:rPr>
      </w:pPr>
    </w:p>
    <w:p>
      <w:pPr>
        <w:jc w:val="right"/>
        <w:ind w:right="120"/>
        <w:spacing w:after="0"/>
        <w:rPr>
          <w:sz w:val="20"/>
          <w:szCs w:val="20"/>
          <w:color w:val="auto"/>
        </w:rPr>
      </w:pPr>
      <w:r>
        <w:rPr>
          <w:rFonts w:ascii="Arial" w:cs="Arial" w:eastAsia="Arial" w:hAnsi="Arial"/>
          <w:sz w:val="12"/>
          <w:szCs w:val="12"/>
          <w:color w:val="auto"/>
        </w:rPr>
        <w:t>719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65214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2145" cy="5715"/>
                    </a:xfrm>
                    <a:prstGeom prst="rect">
                      <a:avLst/>
                    </a:prstGeom>
                    <a:noFill/>
                  </pic:spPr>
                </pic:pic>
              </a:graphicData>
            </a:graphic>
          </wp:anchor>
        </w:drawing>
      </w:r>
    </w:p>
    <w:p>
      <w:pPr>
        <w:jc w:val="right"/>
        <w:ind w:right="120"/>
        <w:spacing w:after="0"/>
        <w:rPr>
          <w:sz w:val="20"/>
          <w:szCs w:val="20"/>
          <w:color w:val="auto"/>
        </w:rPr>
      </w:pPr>
      <w:r>
        <w:rPr>
          <w:rFonts w:ascii="Arial" w:cs="Arial" w:eastAsia="Arial" w:hAnsi="Arial"/>
          <w:sz w:val="12"/>
          <w:szCs w:val="12"/>
          <w:color w:val="auto"/>
        </w:rPr>
        <w:t>7,998</w:t>
      </w:r>
    </w:p>
    <w:p>
      <w:pPr>
        <w:spacing w:after="0" w:line="15" w:lineRule="exact"/>
        <w:rPr>
          <w:sz w:val="20"/>
          <w:szCs w:val="20"/>
          <w:color w:val="auto"/>
        </w:rPr>
      </w:pPr>
    </w:p>
    <w:p>
      <w:pPr>
        <w:jc w:val="right"/>
        <w:ind w:right="120"/>
        <w:spacing w:after="0"/>
        <w:rPr>
          <w:sz w:val="20"/>
          <w:szCs w:val="20"/>
          <w:color w:val="auto"/>
        </w:rPr>
      </w:pPr>
      <w:r>
        <w:rPr>
          <w:rFonts w:ascii="Arial" w:cs="Arial" w:eastAsia="Arial" w:hAnsi="Arial"/>
          <w:sz w:val="12"/>
          <w:szCs w:val="12"/>
          <w:color w:val="auto"/>
        </w:rPr>
        <w:t>1,590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652145"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2145" cy="5715"/>
                    </a:xfrm>
                    <a:prstGeom prst="rect">
                      <a:avLst/>
                    </a:prstGeom>
                    <a:noFill/>
                  </pic:spPr>
                </pic:pic>
              </a:graphicData>
            </a:graphic>
          </wp:anchor>
        </w:drawing>
      </w:r>
    </w:p>
    <w:p>
      <w:pPr>
        <w:jc w:val="right"/>
        <w:ind w:right="120"/>
        <w:spacing w:after="0"/>
        <w:rPr>
          <w:sz w:val="20"/>
          <w:szCs w:val="20"/>
          <w:color w:val="auto"/>
        </w:rPr>
      </w:pPr>
      <w:r>
        <w:rPr>
          <w:rFonts w:ascii="Arial" w:cs="Arial" w:eastAsia="Arial" w:hAnsi="Arial"/>
          <w:sz w:val="12"/>
          <w:szCs w:val="12"/>
          <w:color w:val="auto"/>
        </w:rPr>
        <w:t>6,408</w:t>
      </w:r>
    </w:p>
    <w:p>
      <w:pPr>
        <w:spacing w:after="0" w:line="15" w:lineRule="exact"/>
        <w:rPr>
          <w:sz w:val="20"/>
          <w:szCs w:val="20"/>
          <w:color w:val="auto"/>
        </w:rPr>
      </w:pPr>
    </w:p>
    <w:p>
      <w:pPr>
        <w:jc w:val="right"/>
        <w:ind w:right="120"/>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652145"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2145" cy="5715"/>
                    </a:xfrm>
                    <a:prstGeom prst="rect">
                      <a:avLst/>
                    </a:prstGeom>
                    <a:noFill/>
                  </pic:spPr>
                </pic:pic>
              </a:graphicData>
            </a:graphic>
          </wp:anchor>
        </w:drawing>
      </w:r>
    </w:p>
    <w:p>
      <w:pPr>
        <w:spacing w:after="0" w:line="4" w:lineRule="exact"/>
        <w:rPr>
          <w:sz w:val="20"/>
          <w:szCs w:val="20"/>
          <w:color w:val="auto"/>
        </w:rPr>
      </w:pPr>
    </w:p>
    <w:p>
      <w:pPr>
        <w:ind w:left="760" w:hanging="759"/>
        <w:spacing w:after="0"/>
        <w:tabs>
          <w:tab w:leader="none" w:pos="760" w:val="left"/>
        </w:tabs>
        <w:numPr>
          <w:ilvl w:val="0"/>
          <w:numId w:val="26"/>
        </w:numPr>
        <w:rPr>
          <w:rFonts w:ascii="Arial" w:cs="Arial" w:eastAsia="Arial" w:hAnsi="Arial"/>
          <w:sz w:val="10"/>
          <w:szCs w:val="10"/>
          <w:color w:val="auto"/>
        </w:rPr>
      </w:pPr>
      <w:r>
        <w:rPr>
          <w:rFonts w:ascii="Arial" w:cs="Arial" w:eastAsia="Arial" w:hAnsi="Arial"/>
          <w:sz w:val="10"/>
          <w:szCs w:val="10"/>
          <w:color w:val="auto"/>
        </w:rPr>
        <w:t>6,348</w:t>
      </w:r>
    </w:p>
    <w:p>
      <w:pPr>
        <w:spacing w:after="0" w:line="38" w:lineRule="exact"/>
        <w:rPr>
          <w:sz w:val="20"/>
          <w:szCs w:val="20"/>
          <w:color w:val="auto"/>
        </w:rPr>
      </w:pPr>
    </w:p>
    <w:p>
      <w:pPr>
        <w:sectPr>
          <w:pgSz w:w="11900" w:h="16838" w:orient="portrait"/>
          <w:cols w:equalWidth="0" w:num="2">
            <w:col w:w="9620" w:space="720"/>
            <w:col w:w="1140"/>
          </w:cols>
          <w:pgMar w:left="220" w:top="197" w:right="199" w:bottom="1440" w:gutter="0" w:footer="0" w:header="0"/>
          <w:type w:val="continuous"/>
        </w:sectPr>
      </w:pP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336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380" w:type="dxa"/>
            <w:vAlign w:val="bottom"/>
            <w:gridSpan w:val="2"/>
          </w:tcPr>
          <w:p>
            <w:pPr>
              <w:spacing w:after="0"/>
              <w:rPr>
                <w:sz w:val="20"/>
                <w:szCs w:val="20"/>
                <w:color w:val="auto"/>
              </w:rPr>
            </w:pPr>
            <w:r>
              <w:rPr>
                <w:rFonts w:ascii="Arial" w:cs="Arial" w:eastAsia="Arial" w:hAnsi="Arial"/>
                <w:sz w:val="12"/>
                <w:szCs w:val="12"/>
                <w:color w:val="auto"/>
              </w:rPr>
              <w:t>Loss and LAE ratio</w:t>
            </w:r>
          </w:p>
        </w:tc>
        <w:tc>
          <w:tcPr>
            <w:tcW w:w="1000" w:type="dxa"/>
            <w:vAlign w:val="bottom"/>
          </w:tcPr>
          <w:p>
            <w:pPr>
              <w:spacing w:after="0"/>
              <w:rPr>
                <w:sz w:val="12"/>
                <w:szCs w:val="12"/>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70.7%</w:t>
            </w:r>
          </w:p>
        </w:tc>
        <w:tc>
          <w:tcPr>
            <w:tcW w:w="340" w:type="dxa"/>
            <w:vAlign w:val="bottom"/>
          </w:tcPr>
          <w:p>
            <w:pPr>
              <w:spacing w:after="0"/>
              <w:rPr>
                <w:sz w:val="12"/>
                <w:szCs w:val="12"/>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76.3%</w:t>
            </w:r>
          </w:p>
        </w:tc>
        <w:tc>
          <w:tcPr>
            <w:tcW w:w="480" w:type="dxa"/>
            <w:vAlign w:val="bottom"/>
          </w:tcPr>
          <w:p>
            <w:pPr>
              <w:spacing w:after="0"/>
              <w:rPr>
                <w:sz w:val="12"/>
                <w:szCs w:val="12"/>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71.1%</w:t>
            </w:r>
          </w:p>
        </w:tc>
        <w:tc>
          <w:tcPr>
            <w:tcW w:w="500" w:type="dxa"/>
            <w:vAlign w:val="bottom"/>
          </w:tcPr>
          <w:p>
            <w:pPr>
              <w:spacing w:after="0"/>
              <w:rPr>
                <w:sz w:val="12"/>
                <w:szCs w:val="12"/>
                <w:color w:val="auto"/>
              </w:rPr>
            </w:pPr>
          </w:p>
        </w:tc>
        <w:tc>
          <w:tcPr>
            <w:tcW w:w="760" w:type="dxa"/>
            <w:vAlign w:val="bottom"/>
          </w:tcPr>
          <w:p>
            <w:pPr>
              <w:jc w:val="right"/>
              <w:ind w:right="60"/>
              <w:spacing w:after="0"/>
              <w:rPr>
                <w:sz w:val="20"/>
                <w:szCs w:val="20"/>
                <w:color w:val="auto"/>
              </w:rPr>
            </w:pPr>
            <w:r>
              <w:rPr>
                <w:rFonts w:ascii="Arial" w:cs="Arial" w:eastAsia="Arial" w:hAnsi="Arial"/>
                <w:sz w:val="12"/>
                <w:szCs w:val="12"/>
                <w:color w:val="auto"/>
              </w:rPr>
              <w:t>68.8%</w:t>
            </w:r>
          </w:p>
        </w:tc>
        <w:tc>
          <w:tcPr>
            <w:tcW w:w="480" w:type="dxa"/>
            <w:vAlign w:val="bottom"/>
          </w:tcPr>
          <w:p>
            <w:pPr>
              <w:spacing w:after="0"/>
              <w:rPr>
                <w:sz w:val="12"/>
                <w:szCs w:val="12"/>
                <w:color w:val="auto"/>
              </w:rPr>
            </w:pPr>
          </w:p>
        </w:tc>
        <w:tc>
          <w:tcPr>
            <w:tcW w:w="760" w:type="dxa"/>
            <w:vAlign w:val="bottom"/>
          </w:tcPr>
          <w:p>
            <w:pPr>
              <w:jc w:val="right"/>
              <w:ind w:right="60"/>
              <w:spacing w:after="0"/>
              <w:rPr>
                <w:sz w:val="20"/>
                <w:szCs w:val="20"/>
                <w:color w:val="auto"/>
              </w:rPr>
            </w:pPr>
            <w:r>
              <w:rPr>
                <w:rFonts w:ascii="Arial" w:cs="Arial" w:eastAsia="Arial" w:hAnsi="Arial"/>
                <w:sz w:val="12"/>
                <w:szCs w:val="12"/>
                <w:color w:val="auto"/>
              </w:rPr>
              <w:t>36.7%</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68.6%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2"/>
                <w:szCs w:val="12"/>
                <w:color w:val="auto"/>
              </w:rPr>
              <w:t>Expense ratio</w:t>
            </w:r>
          </w:p>
        </w:tc>
        <w:tc>
          <w:tcPr>
            <w:tcW w:w="10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30.3%</w:t>
            </w:r>
          </w:p>
        </w:tc>
        <w:tc>
          <w:tcPr>
            <w:tcW w:w="3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29.8%</w:t>
            </w: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32.8%</w:t>
            </w:r>
          </w:p>
        </w:tc>
        <w:tc>
          <w:tcPr>
            <w:tcW w:w="5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4.8%</w:t>
            </w: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32.0%</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27.3%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60" w:type="dxa"/>
            <w:vAlign w:val="bottom"/>
          </w:tcPr>
          <w:p>
            <w:pPr>
              <w:spacing w:after="0"/>
              <w:rPr>
                <w:sz w:val="20"/>
                <w:szCs w:val="20"/>
                <w:color w:val="auto"/>
              </w:rPr>
            </w:pPr>
            <w:r>
              <w:rPr>
                <w:rFonts w:ascii="Arial" w:cs="Arial" w:eastAsia="Arial" w:hAnsi="Arial"/>
                <w:sz w:val="12"/>
                <w:szCs w:val="12"/>
                <w:color w:val="auto"/>
              </w:rPr>
              <w:t>Combined ratio</w:t>
            </w:r>
          </w:p>
        </w:tc>
        <w:tc>
          <w:tcPr>
            <w:tcW w:w="1000" w:type="dxa"/>
            <w:vAlign w:val="bottom"/>
          </w:tcPr>
          <w:p>
            <w:pPr>
              <w:spacing w:after="0"/>
              <w:rPr>
                <w:sz w:val="12"/>
                <w:szCs w:val="12"/>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100.9%</w:t>
            </w:r>
          </w:p>
        </w:tc>
        <w:tc>
          <w:tcPr>
            <w:tcW w:w="340" w:type="dxa"/>
            <w:vAlign w:val="bottom"/>
          </w:tcPr>
          <w:p>
            <w:pPr>
              <w:spacing w:after="0"/>
              <w:rPr>
                <w:sz w:val="12"/>
                <w:szCs w:val="12"/>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106.1%</w:t>
            </w:r>
          </w:p>
        </w:tc>
        <w:tc>
          <w:tcPr>
            <w:tcW w:w="480" w:type="dxa"/>
            <w:vAlign w:val="bottom"/>
          </w:tcPr>
          <w:p>
            <w:pPr>
              <w:spacing w:after="0"/>
              <w:rPr>
                <w:sz w:val="12"/>
                <w:szCs w:val="12"/>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103.9%</w:t>
            </w:r>
          </w:p>
        </w:tc>
        <w:tc>
          <w:tcPr>
            <w:tcW w:w="500" w:type="dxa"/>
            <w:vAlign w:val="bottom"/>
          </w:tcPr>
          <w:p>
            <w:pPr>
              <w:spacing w:after="0"/>
              <w:rPr>
                <w:sz w:val="12"/>
                <w:szCs w:val="12"/>
                <w:color w:val="auto"/>
              </w:rPr>
            </w:pPr>
          </w:p>
        </w:tc>
        <w:tc>
          <w:tcPr>
            <w:tcW w:w="760" w:type="dxa"/>
            <w:vAlign w:val="bottom"/>
          </w:tcPr>
          <w:p>
            <w:pPr>
              <w:jc w:val="right"/>
              <w:ind w:right="60"/>
              <w:spacing w:after="0"/>
              <w:rPr>
                <w:sz w:val="20"/>
                <w:szCs w:val="20"/>
                <w:color w:val="auto"/>
              </w:rPr>
            </w:pPr>
            <w:r>
              <w:rPr>
                <w:rFonts w:ascii="Arial" w:cs="Arial" w:eastAsia="Arial" w:hAnsi="Arial"/>
                <w:sz w:val="12"/>
                <w:szCs w:val="12"/>
                <w:color w:val="auto"/>
              </w:rPr>
              <w:t>73.6%</w:t>
            </w:r>
          </w:p>
        </w:tc>
        <w:tc>
          <w:tcPr>
            <w:tcW w:w="480" w:type="dxa"/>
            <w:vAlign w:val="bottom"/>
          </w:tcPr>
          <w:p>
            <w:pPr>
              <w:spacing w:after="0"/>
              <w:rPr>
                <w:sz w:val="12"/>
                <w:szCs w:val="12"/>
                <w:color w:val="auto"/>
              </w:rPr>
            </w:pPr>
          </w:p>
        </w:tc>
        <w:tc>
          <w:tcPr>
            <w:tcW w:w="760" w:type="dxa"/>
            <w:vAlign w:val="bottom"/>
          </w:tcPr>
          <w:p>
            <w:pPr>
              <w:jc w:val="right"/>
              <w:ind w:right="60"/>
              <w:spacing w:after="0"/>
              <w:rPr>
                <w:sz w:val="20"/>
                <w:szCs w:val="20"/>
                <w:color w:val="auto"/>
              </w:rPr>
            </w:pPr>
            <w:r>
              <w:rPr>
                <w:rFonts w:ascii="Arial" w:cs="Arial" w:eastAsia="Arial" w:hAnsi="Arial"/>
                <w:sz w:val="12"/>
                <w:szCs w:val="12"/>
                <w:color w:val="auto"/>
              </w:rPr>
              <w:t>68.6%</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95.9%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2"/>
                <w:szCs w:val="12"/>
                <w:color w:val="auto"/>
              </w:rPr>
              <w:t>Balances at June 30, 2018:</w:t>
            </w:r>
          </w:p>
        </w:tc>
        <w:tc>
          <w:tcPr>
            <w:tcW w:w="10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60" w:type="dxa"/>
            <w:vAlign w:val="bottom"/>
          </w:tcPr>
          <w:p>
            <w:pPr>
              <w:ind w:left="140"/>
              <w:spacing w:after="0"/>
              <w:rPr>
                <w:sz w:val="20"/>
                <w:szCs w:val="20"/>
                <w:color w:val="auto"/>
              </w:rPr>
            </w:pPr>
            <w:r>
              <w:rPr>
                <w:rFonts w:ascii="Arial" w:cs="Arial" w:eastAsia="Arial" w:hAnsi="Arial"/>
                <w:sz w:val="12"/>
                <w:szCs w:val="12"/>
                <w:color w:val="auto"/>
              </w:rPr>
              <w:t>Premiums receivable</w:t>
            </w:r>
          </w:p>
        </w:tc>
        <w:tc>
          <w:tcPr>
            <w:tcW w:w="100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17,365</w:t>
            </w:r>
          </w:p>
        </w:tc>
        <w:tc>
          <w:tcPr>
            <w:tcW w:w="34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1,126</w:t>
            </w:r>
          </w:p>
        </w:tc>
        <w:tc>
          <w:tcPr>
            <w:tcW w:w="48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9,819</w:t>
            </w:r>
          </w:p>
        </w:tc>
        <w:tc>
          <w:tcPr>
            <w:tcW w:w="50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60"/>
              <w:spacing w:after="0"/>
              <w:rPr>
                <w:sz w:val="20"/>
                <w:szCs w:val="20"/>
                <w:color w:val="auto"/>
              </w:rPr>
            </w:pPr>
            <w:r>
              <w:rPr>
                <w:rFonts w:ascii="Arial" w:cs="Arial" w:eastAsia="Arial" w:hAnsi="Arial"/>
                <w:sz w:val="12"/>
                <w:szCs w:val="12"/>
                <w:color w:val="auto"/>
              </w:rPr>
              <w:t>44,397</w:t>
            </w:r>
          </w:p>
        </w:tc>
        <w:tc>
          <w:tcPr>
            <w:tcW w:w="48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60"/>
              <w:spacing w:after="0"/>
              <w:rPr>
                <w:sz w:val="20"/>
                <w:szCs w:val="20"/>
                <w:color w:val="auto"/>
              </w:rPr>
            </w:pPr>
            <w:r>
              <w:rPr>
                <w:rFonts w:ascii="Arial" w:cs="Arial" w:eastAsia="Arial" w:hAnsi="Arial"/>
                <w:sz w:val="12"/>
                <w:szCs w:val="12"/>
                <w:color w:val="auto"/>
              </w:rPr>
              <w:t>1,468</w:t>
            </w:r>
          </w:p>
        </w:tc>
        <w:tc>
          <w:tcPr>
            <w:tcW w:w="48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74,175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Deferred policy acquisition costs</w:t>
            </w:r>
          </w:p>
        </w:tc>
        <w:tc>
          <w:tcPr>
            <w:tcW w:w="10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3,754</w:t>
            </w:r>
          </w:p>
        </w:tc>
        <w:tc>
          <w:tcPr>
            <w:tcW w:w="3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322</w:t>
            </w: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5,250</w:t>
            </w:r>
          </w:p>
        </w:tc>
        <w:tc>
          <w:tcPr>
            <w:tcW w:w="5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2,267</w:t>
            </w: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597</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12,190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60" w:type="dxa"/>
            <w:vAlign w:val="bottom"/>
          </w:tcPr>
          <w:p>
            <w:pPr>
              <w:ind w:left="140"/>
              <w:spacing w:after="0"/>
              <w:rPr>
                <w:sz w:val="20"/>
                <w:szCs w:val="20"/>
                <w:color w:val="auto"/>
              </w:rPr>
            </w:pPr>
            <w:r>
              <w:rPr>
                <w:rFonts w:ascii="Arial" w:cs="Arial" w:eastAsia="Arial" w:hAnsi="Arial"/>
                <w:sz w:val="12"/>
                <w:szCs w:val="12"/>
                <w:color w:val="auto"/>
              </w:rPr>
              <w:t>Reinsurance recoverables</w:t>
            </w:r>
          </w:p>
        </w:tc>
        <w:tc>
          <w:tcPr>
            <w:tcW w:w="1000" w:type="dxa"/>
            <w:vAlign w:val="bottom"/>
          </w:tcPr>
          <w:p>
            <w:pPr>
              <w:spacing w:after="0"/>
              <w:rPr>
                <w:sz w:val="12"/>
                <w:szCs w:val="12"/>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432</w:t>
            </w:r>
          </w:p>
        </w:tc>
        <w:tc>
          <w:tcPr>
            <w:tcW w:w="340" w:type="dxa"/>
            <w:vAlign w:val="bottom"/>
          </w:tcPr>
          <w:p>
            <w:pPr>
              <w:spacing w:after="0"/>
              <w:rPr>
                <w:sz w:val="12"/>
                <w:szCs w:val="12"/>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2"/>
                <w:szCs w:val="12"/>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589</w:t>
            </w:r>
          </w:p>
        </w:tc>
        <w:tc>
          <w:tcPr>
            <w:tcW w:w="500" w:type="dxa"/>
            <w:vAlign w:val="bottom"/>
          </w:tcPr>
          <w:p>
            <w:pPr>
              <w:spacing w:after="0"/>
              <w:rPr>
                <w:sz w:val="12"/>
                <w:szCs w:val="12"/>
                <w:color w:val="auto"/>
              </w:rPr>
            </w:pPr>
          </w:p>
        </w:tc>
        <w:tc>
          <w:tcPr>
            <w:tcW w:w="760" w:type="dxa"/>
            <w:vAlign w:val="bottom"/>
          </w:tcPr>
          <w:p>
            <w:pPr>
              <w:jc w:val="right"/>
              <w:ind w:right="60"/>
              <w:spacing w:after="0"/>
              <w:rPr>
                <w:sz w:val="20"/>
                <w:szCs w:val="20"/>
                <w:color w:val="auto"/>
              </w:rPr>
            </w:pPr>
            <w:r>
              <w:rPr>
                <w:rFonts w:ascii="Arial" w:cs="Arial" w:eastAsia="Arial" w:hAnsi="Arial"/>
                <w:sz w:val="12"/>
                <w:szCs w:val="12"/>
                <w:color w:val="auto"/>
              </w:rPr>
              <w:t>899</w:t>
            </w:r>
          </w:p>
        </w:tc>
        <w:tc>
          <w:tcPr>
            <w:tcW w:w="480" w:type="dxa"/>
            <w:vAlign w:val="bottom"/>
          </w:tcPr>
          <w:p>
            <w:pPr>
              <w:spacing w:after="0"/>
              <w:rPr>
                <w:sz w:val="12"/>
                <w:szCs w:val="12"/>
                <w:color w:val="auto"/>
              </w:rPr>
            </w:pPr>
          </w:p>
        </w:tc>
        <w:tc>
          <w:tcPr>
            <w:tcW w:w="760" w:type="dxa"/>
            <w:vAlign w:val="bottom"/>
          </w:tcPr>
          <w:p>
            <w:pPr>
              <w:jc w:val="right"/>
              <w:ind w:right="60"/>
              <w:spacing w:after="0"/>
              <w:rPr>
                <w:sz w:val="20"/>
                <w:szCs w:val="20"/>
                <w:color w:val="auto"/>
              </w:rPr>
            </w:pPr>
            <w:r>
              <w:rPr>
                <w:rFonts w:ascii="Arial" w:cs="Arial" w:eastAsia="Arial" w:hAnsi="Arial"/>
                <w:sz w:val="12"/>
                <w:szCs w:val="12"/>
                <w:color w:val="auto"/>
              </w:rPr>
              <w:t>1,681</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3,601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Receivable from Federal Crop Insurance Corporation</w:t>
            </w:r>
          </w:p>
        </w:tc>
        <w:tc>
          <w:tcPr>
            <w:tcW w:w="10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11,130</w:t>
            </w: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11,130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Unpaid losses and LAE</w:t>
            </w:r>
          </w:p>
        </w:tc>
        <w:tc>
          <w:tcPr>
            <w:tcW w:w="10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18,592</w:t>
            </w:r>
          </w:p>
        </w:tc>
        <w:tc>
          <w:tcPr>
            <w:tcW w:w="3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5,942</w:t>
            </w: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18,838</w:t>
            </w:r>
          </w:p>
        </w:tc>
        <w:tc>
          <w:tcPr>
            <w:tcW w:w="5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10,020</w:t>
            </w: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9,984</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63,376</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360" w:type="dxa"/>
            <w:vAlign w:val="bottom"/>
          </w:tcPr>
          <w:p>
            <w:pPr>
              <w:ind w:left="140"/>
              <w:spacing w:after="0"/>
              <w:rPr>
                <w:sz w:val="20"/>
                <w:szCs w:val="20"/>
                <w:color w:val="auto"/>
              </w:rPr>
            </w:pPr>
            <w:r>
              <w:rPr>
                <w:rFonts w:ascii="Arial" w:cs="Arial" w:eastAsia="Arial" w:hAnsi="Arial"/>
                <w:sz w:val="12"/>
                <w:szCs w:val="12"/>
                <w:color w:val="auto"/>
              </w:rPr>
              <w:t>Unearned premiums</w:t>
            </w:r>
          </w:p>
        </w:tc>
        <w:tc>
          <w:tcPr>
            <w:tcW w:w="1000" w:type="dxa"/>
            <w:vAlign w:val="bottom"/>
          </w:tcPr>
          <w:p>
            <w:pPr>
              <w:spacing w:after="0"/>
              <w:rPr>
                <w:sz w:val="13"/>
                <w:szCs w:val="13"/>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27,248</w:t>
            </w:r>
          </w:p>
        </w:tc>
        <w:tc>
          <w:tcPr>
            <w:tcW w:w="340" w:type="dxa"/>
            <w:vAlign w:val="bottom"/>
          </w:tcPr>
          <w:p>
            <w:pPr>
              <w:spacing w:after="0"/>
              <w:rPr>
                <w:sz w:val="13"/>
                <w:szCs w:val="13"/>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color w:val="auto"/>
              </w:rPr>
              <w:t>1,860</w:t>
            </w:r>
          </w:p>
        </w:tc>
        <w:tc>
          <w:tcPr>
            <w:tcW w:w="480" w:type="dxa"/>
            <w:vAlign w:val="bottom"/>
          </w:tcPr>
          <w:p>
            <w:pPr>
              <w:spacing w:after="0"/>
              <w:rPr>
                <w:sz w:val="13"/>
                <w:szCs w:val="13"/>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37,473</w:t>
            </w:r>
          </w:p>
        </w:tc>
        <w:tc>
          <w:tcPr>
            <w:tcW w:w="500" w:type="dxa"/>
            <w:vAlign w:val="bottom"/>
          </w:tcPr>
          <w:p>
            <w:pPr>
              <w:spacing w:after="0"/>
              <w:rPr>
                <w:sz w:val="13"/>
                <w:szCs w:val="13"/>
                <w:color w:val="auto"/>
              </w:rPr>
            </w:pPr>
          </w:p>
        </w:tc>
        <w:tc>
          <w:tcPr>
            <w:tcW w:w="760" w:type="dxa"/>
            <w:vAlign w:val="bottom"/>
          </w:tcPr>
          <w:p>
            <w:pPr>
              <w:jc w:val="right"/>
              <w:ind w:right="60"/>
              <w:spacing w:after="0"/>
              <w:rPr>
                <w:sz w:val="20"/>
                <w:szCs w:val="20"/>
                <w:color w:val="auto"/>
              </w:rPr>
            </w:pPr>
            <w:r>
              <w:rPr>
                <w:rFonts w:ascii="Arial" w:cs="Arial" w:eastAsia="Arial" w:hAnsi="Arial"/>
                <w:sz w:val="12"/>
                <w:szCs w:val="12"/>
                <w:color w:val="auto"/>
              </w:rPr>
              <w:t>28,310</w:t>
            </w:r>
          </w:p>
        </w:tc>
        <w:tc>
          <w:tcPr>
            <w:tcW w:w="480" w:type="dxa"/>
            <w:vAlign w:val="bottom"/>
          </w:tcPr>
          <w:p>
            <w:pPr>
              <w:spacing w:after="0"/>
              <w:rPr>
                <w:sz w:val="13"/>
                <w:szCs w:val="13"/>
                <w:color w:val="auto"/>
              </w:rPr>
            </w:pPr>
          </w:p>
        </w:tc>
        <w:tc>
          <w:tcPr>
            <w:tcW w:w="760" w:type="dxa"/>
            <w:vAlign w:val="bottom"/>
          </w:tcPr>
          <w:p>
            <w:pPr>
              <w:jc w:val="right"/>
              <w:ind w:right="60"/>
              <w:spacing w:after="0"/>
              <w:rPr>
                <w:sz w:val="20"/>
                <w:szCs w:val="20"/>
                <w:color w:val="auto"/>
              </w:rPr>
            </w:pPr>
            <w:r>
              <w:rPr>
                <w:rFonts w:ascii="Arial" w:cs="Arial" w:eastAsia="Arial" w:hAnsi="Arial"/>
                <w:sz w:val="12"/>
                <w:szCs w:val="12"/>
                <w:color w:val="auto"/>
              </w:rPr>
              <w:t>5,063</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99,954</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color w:val="auto"/>
              </w:rPr>
              <w:t>32</w:t>
            </w:r>
          </w:p>
        </w:tc>
        <w:tc>
          <w:tcPr>
            <w:tcW w:w="4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197" w:right="199" w:bottom="1440" w:gutter="0" w:footer="0" w:header="0"/>
          <w:type w:val="continuous"/>
        </w:sectPr>
      </w:pPr>
    </w:p>
    <w:bookmarkStart w:id="34" w:name="page35"/>
    <w:bookmarkEnd w:id="3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NI Holdings, Inc.</w:t>
      </w:r>
    </w:p>
    <w:p>
      <w:pPr>
        <w:spacing w:after="0" w:line="5" w:lineRule="exact"/>
        <w:rPr>
          <w:sz w:val="20"/>
          <w:szCs w:val="20"/>
          <w:color w:val="auto"/>
        </w:rPr>
      </w:pPr>
    </w:p>
    <w:p>
      <w:pPr>
        <w:ind w:left="4340"/>
        <w:spacing w:after="0"/>
        <w:rPr>
          <w:sz w:val="20"/>
          <w:szCs w:val="20"/>
          <w:color w:val="auto"/>
        </w:rPr>
      </w:pPr>
      <w:r>
        <w:rPr>
          <w:rFonts w:ascii="Arial" w:cs="Arial" w:eastAsia="Arial" w:hAnsi="Arial"/>
          <w:sz w:val="12"/>
          <w:szCs w:val="12"/>
          <w:b w:val="1"/>
          <w:bCs w:val="1"/>
          <w:color w:val="auto"/>
        </w:rPr>
        <w:t>Notes to Unaudited Consolidated Financial Statements</w:t>
      </w:r>
    </w:p>
    <w:p>
      <w:pPr>
        <w:spacing w:after="0" w:line="6" w:lineRule="exact"/>
        <w:rPr>
          <w:sz w:val="20"/>
          <w:szCs w:val="20"/>
          <w:color w:val="auto"/>
        </w:rPr>
      </w:pPr>
    </w:p>
    <w:p>
      <w:pPr>
        <w:ind w:left="4260"/>
        <w:spacing w:after="0"/>
        <w:rPr>
          <w:sz w:val="20"/>
          <w:szCs w:val="20"/>
          <w:color w:val="auto"/>
        </w:rPr>
      </w:pPr>
      <w:r>
        <w:rPr>
          <w:rFonts w:ascii="Arial" w:cs="Arial" w:eastAsia="Arial" w:hAnsi="Arial"/>
          <w:sz w:val="12"/>
          <w:szCs w:val="12"/>
          <w:b w:val="1"/>
          <w:bCs w:val="1"/>
          <w:color w:val="auto"/>
        </w:rPr>
        <w:t>(dollar amounts in thousands, except per share amounts)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2"/>
                <w:szCs w:val="12"/>
                <w:b w:val="1"/>
                <w:bCs w:val="1"/>
                <w:color w:val="auto"/>
                <w:w w:val="97"/>
              </w:rPr>
              <w:t>Six Months Ended June 30, 2017</w:t>
            </w: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center"/>
              <w:ind w:right="400"/>
              <w:spacing w:after="0" w:line="121" w:lineRule="exact"/>
              <w:rPr>
                <w:sz w:val="20"/>
                <w:szCs w:val="20"/>
                <w:color w:val="auto"/>
              </w:rPr>
            </w:pPr>
            <w:r>
              <w:rPr>
                <w:rFonts w:ascii="Arial" w:cs="Arial" w:eastAsia="Arial" w:hAnsi="Arial"/>
                <w:sz w:val="12"/>
                <w:szCs w:val="12"/>
                <w:b w:val="1"/>
                <w:bCs w:val="1"/>
                <w:color w:val="auto"/>
                <w:w w:val="89"/>
              </w:rPr>
              <w:t>Private</w:t>
            </w:r>
          </w:p>
        </w:tc>
        <w:tc>
          <w:tcPr>
            <w:tcW w:w="160" w:type="dxa"/>
            <w:vAlign w:val="bottom"/>
          </w:tcPr>
          <w:p>
            <w:pPr>
              <w:spacing w:after="0"/>
              <w:rPr>
                <w:sz w:val="10"/>
                <w:szCs w:val="10"/>
                <w:color w:val="auto"/>
              </w:rPr>
            </w:pPr>
          </w:p>
        </w:tc>
        <w:tc>
          <w:tcPr>
            <w:tcW w:w="1120" w:type="dxa"/>
            <w:vAlign w:val="bottom"/>
            <w:gridSpan w:val="2"/>
          </w:tcPr>
          <w:p>
            <w:pPr>
              <w:jc w:val="center"/>
              <w:ind w:right="400"/>
              <w:spacing w:after="0" w:line="121" w:lineRule="exact"/>
              <w:rPr>
                <w:sz w:val="20"/>
                <w:szCs w:val="20"/>
                <w:color w:val="auto"/>
              </w:rPr>
            </w:pPr>
            <w:r>
              <w:rPr>
                <w:rFonts w:ascii="Arial" w:cs="Arial" w:eastAsia="Arial" w:hAnsi="Arial"/>
                <w:sz w:val="12"/>
                <w:szCs w:val="12"/>
                <w:b w:val="1"/>
                <w:bCs w:val="1"/>
                <w:color w:val="auto"/>
                <w:w w:val="87"/>
              </w:rPr>
              <w:t>Non-</w:t>
            </w: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85"/>
              </w:rPr>
              <w:t>Passenger</w:t>
            </w:r>
          </w:p>
        </w:tc>
        <w:tc>
          <w:tcPr>
            <w:tcW w:w="160" w:type="dxa"/>
            <w:vAlign w:val="bottom"/>
          </w:tcPr>
          <w:p>
            <w:pPr>
              <w:spacing w:after="0"/>
              <w:rPr>
                <w:sz w:val="12"/>
                <w:szCs w:val="12"/>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92"/>
              </w:rPr>
              <w:t>Standard</w:t>
            </w:r>
          </w:p>
        </w:tc>
        <w:tc>
          <w:tcPr>
            <w:tcW w:w="140" w:type="dxa"/>
            <w:vAlign w:val="bottom"/>
          </w:tcPr>
          <w:p>
            <w:pPr>
              <w:spacing w:after="0"/>
              <w:rPr>
                <w:sz w:val="12"/>
                <w:szCs w:val="12"/>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Home and</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7"/>
              </w:rPr>
              <w:t>Auto</w:t>
            </w:r>
          </w:p>
        </w:tc>
        <w:tc>
          <w:tcPr>
            <w:tcW w:w="160" w:type="dxa"/>
            <w:vAlign w:val="bottom"/>
          </w:tcPr>
          <w:p>
            <w:pPr>
              <w:spacing w:after="0"/>
              <w:rPr>
                <w:sz w:val="13"/>
                <w:szCs w:val="13"/>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7"/>
              </w:rPr>
              <w:t>Auto</w:t>
            </w:r>
          </w:p>
        </w:tc>
        <w:tc>
          <w:tcPr>
            <w:tcW w:w="140" w:type="dxa"/>
            <w:vAlign w:val="bottom"/>
          </w:tcPr>
          <w:p>
            <w:pPr>
              <w:spacing w:after="0"/>
              <w:rPr>
                <w:sz w:val="13"/>
                <w:szCs w:val="13"/>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2"/>
                <w:szCs w:val="12"/>
                <w:b w:val="1"/>
                <w:bCs w:val="1"/>
                <w:color w:val="auto"/>
              </w:rPr>
              <w:t>Farm</w:t>
            </w:r>
          </w:p>
        </w:tc>
        <w:tc>
          <w:tcPr>
            <w:tcW w:w="220" w:type="dxa"/>
            <w:vAlign w:val="bottom"/>
          </w:tcPr>
          <w:p>
            <w:pPr>
              <w:spacing w:after="0"/>
              <w:rPr>
                <w:sz w:val="13"/>
                <w:szCs w:val="13"/>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2"/>
                <w:szCs w:val="12"/>
                <w:b w:val="1"/>
                <w:bCs w:val="1"/>
                <w:color w:val="auto"/>
              </w:rPr>
              <w:t>Crop</w:t>
            </w:r>
          </w:p>
        </w:tc>
        <w:tc>
          <w:tcPr>
            <w:tcW w:w="16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All Other</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0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Direct premiums earned</w:t>
            </w: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27,877</w:t>
            </w:r>
          </w:p>
        </w:tc>
        <w:tc>
          <w:tcPr>
            <w:tcW w:w="2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5,121</w:t>
            </w:r>
          </w:p>
        </w:tc>
        <w:tc>
          <w:tcPr>
            <w:tcW w:w="2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30,721</w:t>
            </w: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15,164</w:t>
            </w: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3,797</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82,680</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Assumed premiums earned</w:t>
            </w:r>
          </w:p>
        </w:tc>
        <w:tc>
          <w:tcPr>
            <w:tcW w:w="1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8</w:t>
            </w:r>
          </w:p>
        </w:tc>
        <w:tc>
          <w:tcPr>
            <w:tcW w:w="1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2</w:t>
            </w:r>
          </w:p>
        </w:tc>
        <w:tc>
          <w:tcPr>
            <w:tcW w:w="22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2,437</w:t>
            </w:r>
          </w:p>
        </w:tc>
        <w:tc>
          <w:tcPr>
            <w:tcW w:w="16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2,092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4,539</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Ceded premiums earned</w:t>
            </w: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(1,721)</w:t>
            </w: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(3,014)</w:t>
            </w:r>
          </w:p>
        </w:tc>
        <w:tc>
          <w:tcPr>
            <w:tcW w:w="2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(3,687)</w:t>
            </w:r>
          </w:p>
        </w:tc>
        <w:tc>
          <w:tcPr>
            <w:tcW w:w="1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(335)</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(8,757)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000" w:type="dxa"/>
            <w:vAlign w:val="bottom"/>
          </w:tcPr>
          <w:p>
            <w:pPr>
              <w:ind w:left="140"/>
              <w:spacing w:after="0" w:line="133" w:lineRule="exact"/>
              <w:rPr>
                <w:sz w:val="20"/>
                <w:szCs w:val="20"/>
                <w:color w:val="auto"/>
              </w:rPr>
            </w:pPr>
            <w:r>
              <w:rPr>
                <w:rFonts w:ascii="Arial" w:cs="Arial" w:eastAsia="Arial" w:hAnsi="Arial"/>
                <w:sz w:val="12"/>
                <w:szCs w:val="12"/>
                <w:color w:val="auto"/>
              </w:rPr>
              <w:t>Net premiums earned</w:t>
            </w: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26,164</w:t>
            </w: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5,121</w:t>
            </w: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27,709</w:t>
            </w:r>
          </w:p>
        </w:tc>
        <w:tc>
          <w:tcPr>
            <w:tcW w:w="2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13,914</w:t>
            </w: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5,554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78,462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Direct losses and LAE</w:t>
            </w:r>
          </w:p>
        </w:tc>
        <w:tc>
          <w:tcPr>
            <w:tcW w:w="1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17,461</w:t>
            </w:r>
          </w:p>
        </w:tc>
        <w:tc>
          <w:tcPr>
            <w:tcW w:w="1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4,719</w:t>
            </w:r>
          </w:p>
        </w:tc>
        <w:tc>
          <w:tcPr>
            <w:tcW w:w="14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19,509</w:t>
            </w:r>
          </w:p>
        </w:tc>
        <w:tc>
          <w:tcPr>
            <w:tcW w:w="22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12,106</w:t>
            </w:r>
          </w:p>
        </w:tc>
        <w:tc>
          <w:tcPr>
            <w:tcW w:w="16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1,940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55,735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Assumed losses and LAE</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310</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1,403</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900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2,613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Ceded losses and LAE</w:t>
            </w:r>
          </w:p>
        </w:tc>
        <w:tc>
          <w:tcPr>
            <w:tcW w:w="160" w:type="dxa"/>
            <w:vAlign w:val="bottom"/>
          </w:tcPr>
          <w:p>
            <w:pPr>
              <w:spacing w:after="0"/>
              <w:rPr>
                <w:sz w:val="13"/>
                <w:szCs w:val="1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(51)</w:t>
            </w:r>
          </w:p>
        </w:tc>
        <w:tc>
          <w:tcPr>
            <w:tcW w:w="16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(506)</w:t>
            </w:r>
          </w:p>
        </w:tc>
        <w:tc>
          <w:tcPr>
            <w:tcW w:w="220" w:type="dxa"/>
            <w:vAlign w:val="bottom"/>
          </w:tcPr>
          <w:p>
            <w:pPr>
              <w:spacing w:after="0"/>
              <w:rPr>
                <w:sz w:val="13"/>
                <w:szCs w:val="13"/>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2"/>
                <w:szCs w:val="12"/>
                <w:color w:val="auto"/>
              </w:rPr>
              <w:t>(2,015)</w:t>
            </w:r>
          </w:p>
        </w:tc>
        <w:tc>
          <w:tcPr>
            <w:tcW w:w="160" w:type="dxa"/>
            <w:vAlign w:val="bottom"/>
          </w:tcPr>
          <w:p>
            <w:pPr>
              <w:spacing w:after="0"/>
              <w:rPr>
                <w:sz w:val="13"/>
                <w:szCs w:val="1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2"/>
                <w:szCs w:val="12"/>
                <w:color w:val="auto"/>
              </w:rPr>
              <w:t>(1,825)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(4,397)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000" w:type="dxa"/>
            <w:vAlign w:val="bottom"/>
            <w:tcBorders>
              <w:top w:val="single" w:sz="8" w:color="CCEEFF"/>
            </w:tcBorders>
            <w:shd w:val="clear" w:color="auto" w:fill="CCEEFF"/>
          </w:tcPr>
          <w:p>
            <w:pPr>
              <w:ind w:left="140"/>
              <w:spacing w:after="0" w:line="133" w:lineRule="exact"/>
              <w:rPr>
                <w:sz w:val="20"/>
                <w:szCs w:val="20"/>
                <w:color w:val="auto"/>
              </w:rPr>
            </w:pPr>
            <w:r>
              <w:rPr>
                <w:rFonts w:ascii="Arial" w:cs="Arial" w:eastAsia="Arial" w:hAnsi="Arial"/>
                <w:sz w:val="12"/>
                <w:szCs w:val="12"/>
                <w:color w:val="auto"/>
              </w:rPr>
              <w:t>Net losses and LAE</w:t>
            </w:r>
          </w:p>
        </w:tc>
        <w:tc>
          <w:tcPr>
            <w:tcW w:w="16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17,720</w:t>
            </w:r>
          </w:p>
        </w:tc>
        <w:tc>
          <w:tcPr>
            <w:tcW w:w="2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4,719</w:t>
            </w:r>
          </w:p>
        </w:tc>
        <w:tc>
          <w:tcPr>
            <w:tcW w:w="2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19,003</w:t>
            </w: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11,494</w:t>
            </w: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1,015</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53,951</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0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Gross margin</w:t>
            </w:r>
          </w:p>
        </w:tc>
        <w:tc>
          <w:tcPr>
            <w:tcW w:w="16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8,444</w:t>
            </w:r>
          </w:p>
        </w:tc>
        <w:tc>
          <w:tcPr>
            <w:tcW w:w="2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402</w:t>
            </w:r>
          </w:p>
        </w:tc>
        <w:tc>
          <w:tcPr>
            <w:tcW w:w="2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8,706</w:t>
            </w:r>
          </w:p>
        </w:tc>
        <w:tc>
          <w:tcPr>
            <w:tcW w:w="24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2,420</w:t>
            </w: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4,539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24,511</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4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Underwriting and general expenses</w:t>
            </w: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10,128</w:t>
            </w: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1,492</w:t>
            </w: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9,777</w:t>
            </w:r>
          </w:p>
        </w:tc>
        <w:tc>
          <w:tcPr>
            <w:tcW w:w="2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(1,392)</w:t>
            </w:r>
          </w:p>
        </w:tc>
        <w:tc>
          <w:tcPr>
            <w:tcW w:w="1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1,439</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21,444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000" w:type="dxa"/>
            <w:vAlign w:val="bottom"/>
            <w:tcBorders>
              <w:bottom w:val="single" w:sz="8" w:color="CCEEFF"/>
            </w:tcBorders>
          </w:tcPr>
          <w:p>
            <w:pPr>
              <w:ind w:left="140"/>
              <w:spacing w:after="0" w:line="133" w:lineRule="exact"/>
              <w:rPr>
                <w:sz w:val="20"/>
                <w:szCs w:val="20"/>
                <w:color w:val="auto"/>
              </w:rPr>
            </w:pPr>
            <w:r>
              <w:rPr>
                <w:rFonts w:ascii="Arial" w:cs="Arial" w:eastAsia="Arial" w:hAnsi="Arial"/>
                <w:sz w:val="12"/>
                <w:szCs w:val="12"/>
                <w:color w:val="auto"/>
              </w:rPr>
              <w:t>Underwriting gain (loss)</w:t>
            </w:r>
          </w:p>
        </w:tc>
        <w:tc>
          <w:tcPr>
            <w:tcW w:w="16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(1,684)</w:t>
            </w:r>
          </w:p>
        </w:tc>
        <w:tc>
          <w:tcPr>
            <w:tcW w:w="2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(1,090)</w:t>
            </w:r>
          </w:p>
        </w:tc>
        <w:tc>
          <w:tcPr>
            <w:tcW w:w="2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(1,071)</w:t>
            </w:r>
          </w:p>
        </w:tc>
        <w:tc>
          <w:tcPr>
            <w:tcW w:w="24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3,812</w:t>
            </w:r>
          </w:p>
        </w:tc>
        <w:tc>
          <w:tcPr>
            <w:tcW w:w="2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3,100</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3,067</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4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4000" w:type="dxa"/>
            <w:vAlign w:val="bottom"/>
          </w:tcPr>
          <w:p>
            <w:pPr>
              <w:spacing w:after="0"/>
              <w:rPr>
                <w:sz w:val="20"/>
                <w:szCs w:val="20"/>
                <w:color w:val="auto"/>
              </w:rPr>
            </w:pPr>
            <w:r>
              <w:rPr>
                <w:rFonts w:ascii="Arial" w:cs="Arial" w:eastAsia="Arial" w:hAnsi="Arial"/>
                <w:sz w:val="12"/>
                <w:szCs w:val="12"/>
                <w:color w:val="auto"/>
              </w:rPr>
              <w:t>Fee and other income</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526</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668</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0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(564)</w:t>
            </w:r>
          </w:p>
        </w:tc>
        <w:tc>
          <w:tcPr>
            <w:tcW w:w="2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80"/>
          </w:cols>
          <w:pgMar w:left="220" w:top="197" w:right="199" w:bottom="1440" w:gutter="0" w:footer="0" w:header="0"/>
        </w:sectPr>
      </w:pPr>
    </w:p>
    <w:p>
      <w:pPr>
        <w:spacing w:after="0"/>
        <w:rPr>
          <w:sz w:val="20"/>
          <w:szCs w:val="20"/>
          <w:color w:val="auto"/>
        </w:rPr>
      </w:pPr>
      <w:r>
        <w:rPr>
          <w:rFonts w:ascii="Arial" w:cs="Arial" w:eastAsia="Arial" w:hAnsi="Arial"/>
          <w:sz w:val="12"/>
          <w:szCs w:val="12"/>
          <w:color w:val="auto"/>
        </w:rPr>
        <w:t>Net investment income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Net realized capital gain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7292340" cy="971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2340" cy="9715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2"/>
          <w:szCs w:val="12"/>
          <w:color w:val="auto"/>
        </w:rPr>
        <w:t>Income before income taxes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7292340" cy="971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2340" cy="9715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2"/>
          <w:szCs w:val="12"/>
          <w:color w:val="auto"/>
        </w:rPr>
        <w:t>Net income</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Net income attributable to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7292340" cy="971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2340" cy="9715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1"/>
          <w:szCs w:val="11"/>
          <w:color w:val="auto"/>
        </w:rPr>
        <w:t>Net income attributable to NI Holdings, Inc.</w:t>
      </w:r>
    </w:p>
    <w:p>
      <w:pPr>
        <w:spacing w:after="0" w:line="20" w:lineRule="exact"/>
        <w:rPr>
          <w:sz w:val="20"/>
          <w:szCs w:val="20"/>
          <w:color w:val="auto"/>
        </w:rPr>
      </w:pPr>
      <w:r>
        <w:rPr>
          <w:sz w:val="20"/>
          <w:szCs w:val="20"/>
          <w:color w:val="auto"/>
        </w:rPr>
        <w:br w:type="column"/>
      </w:r>
    </w:p>
    <w:p>
      <w:pPr>
        <w:jc w:val="right"/>
        <w:ind w:right="120"/>
        <w:spacing w:after="0"/>
        <w:rPr>
          <w:sz w:val="20"/>
          <w:szCs w:val="20"/>
          <w:color w:val="auto"/>
        </w:rPr>
      </w:pPr>
      <w:r>
        <w:rPr>
          <w:rFonts w:ascii="Arial" w:cs="Arial" w:eastAsia="Arial" w:hAnsi="Arial"/>
          <w:sz w:val="12"/>
          <w:szCs w:val="12"/>
          <w:color w:val="auto"/>
        </w:rPr>
        <w:t>2,302</w:t>
      </w:r>
    </w:p>
    <w:p>
      <w:pPr>
        <w:spacing w:after="0" w:line="6" w:lineRule="exact"/>
        <w:rPr>
          <w:sz w:val="20"/>
          <w:szCs w:val="20"/>
          <w:color w:val="auto"/>
        </w:rPr>
      </w:pPr>
    </w:p>
    <w:p>
      <w:pPr>
        <w:jc w:val="right"/>
        <w:ind w:right="120"/>
        <w:spacing w:after="0"/>
        <w:rPr>
          <w:sz w:val="20"/>
          <w:szCs w:val="20"/>
          <w:color w:val="auto"/>
        </w:rPr>
      </w:pPr>
      <w:r>
        <w:rPr>
          <w:rFonts w:ascii="Arial" w:cs="Arial" w:eastAsia="Arial" w:hAnsi="Arial"/>
          <w:sz w:val="12"/>
          <w:szCs w:val="12"/>
          <w:color w:val="auto"/>
        </w:rPr>
        <w:t>955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652145"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2145" cy="5715"/>
                    </a:xfrm>
                    <a:prstGeom prst="rect">
                      <a:avLst/>
                    </a:prstGeom>
                    <a:noFill/>
                  </pic:spPr>
                </pic:pic>
              </a:graphicData>
            </a:graphic>
          </wp:anchor>
        </w:drawing>
      </w:r>
    </w:p>
    <w:p>
      <w:pPr>
        <w:jc w:val="right"/>
        <w:ind w:right="120"/>
        <w:spacing w:after="0"/>
        <w:rPr>
          <w:sz w:val="20"/>
          <w:szCs w:val="20"/>
          <w:color w:val="auto"/>
        </w:rPr>
      </w:pPr>
      <w:r>
        <w:rPr>
          <w:rFonts w:ascii="Arial" w:cs="Arial" w:eastAsia="Arial" w:hAnsi="Arial"/>
          <w:sz w:val="12"/>
          <w:szCs w:val="12"/>
          <w:color w:val="auto"/>
        </w:rPr>
        <w:t>6,992</w:t>
      </w:r>
    </w:p>
    <w:p>
      <w:pPr>
        <w:spacing w:after="0" w:line="15" w:lineRule="exact"/>
        <w:rPr>
          <w:sz w:val="20"/>
          <w:szCs w:val="20"/>
          <w:color w:val="auto"/>
        </w:rPr>
      </w:pPr>
    </w:p>
    <w:p>
      <w:pPr>
        <w:jc w:val="right"/>
        <w:ind w:right="120"/>
        <w:spacing w:after="0"/>
        <w:rPr>
          <w:sz w:val="20"/>
          <w:szCs w:val="20"/>
          <w:color w:val="auto"/>
        </w:rPr>
      </w:pPr>
      <w:r>
        <w:rPr>
          <w:rFonts w:ascii="Arial" w:cs="Arial" w:eastAsia="Arial" w:hAnsi="Arial"/>
          <w:sz w:val="12"/>
          <w:szCs w:val="12"/>
          <w:color w:val="auto"/>
        </w:rPr>
        <w:t>2,126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652145"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2145" cy="5715"/>
                    </a:xfrm>
                    <a:prstGeom prst="rect">
                      <a:avLst/>
                    </a:prstGeom>
                    <a:noFill/>
                  </pic:spPr>
                </pic:pic>
              </a:graphicData>
            </a:graphic>
          </wp:anchor>
        </w:drawing>
      </w:r>
    </w:p>
    <w:p>
      <w:pPr>
        <w:jc w:val="right"/>
        <w:ind w:right="120"/>
        <w:spacing w:after="0"/>
        <w:rPr>
          <w:sz w:val="20"/>
          <w:szCs w:val="20"/>
          <w:color w:val="auto"/>
        </w:rPr>
      </w:pPr>
      <w:r>
        <w:rPr>
          <w:rFonts w:ascii="Arial" w:cs="Arial" w:eastAsia="Arial" w:hAnsi="Arial"/>
          <w:sz w:val="12"/>
          <w:szCs w:val="12"/>
          <w:color w:val="auto"/>
        </w:rPr>
        <w:t>4,866</w:t>
      </w:r>
    </w:p>
    <w:p>
      <w:pPr>
        <w:spacing w:after="0" w:line="15" w:lineRule="exact"/>
        <w:rPr>
          <w:sz w:val="20"/>
          <w:szCs w:val="20"/>
          <w:color w:val="auto"/>
        </w:rPr>
      </w:pPr>
    </w:p>
    <w:p>
      <w:pPr>
        <w:jc w:val="right"/>
        <w:ind w:right="120"/>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652145"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2145" cy="5715"/>
                    </a:xfrm>
                    <a:prstGeom prst="rect">
                      <a:avLst/>
                    </a:prstGeom>
                    <a:noFill/>
                  </pic:spPr>
                </pic:pic>
              </a:graphicData>
            </a:graphic>
          </wp:anchor>
        </w:drawing>
      </w:r>
    </w:p>
    <w:p>
      <w:pPr>
        <w:spacing w:after="0" w:line="4" w:lineRule="exact"/>
        <w:rPr>
          <w:sz w:val="20"/>
          <w:szCs w:val="20"/>
          <w:color w:val="auto"/>
        </w:rPr>
      </w:pPr>
    </w:p>
    <w:p>
      <w:pPr>
        <w:ind w:left="760" w:hanging="759"/>
        <w:spacing w:after="0"/>
        <w:tabs>
          <w:tab w:leader="none" w:pos="760" w:val="left"/>
        </w:tabs>
        <w:numPr>
          <w:ilvl w:val="0"/>
          <w:numId w:val="27"/>
        </w:numPr>
        <w:rPr>
          <w:rFonts w:ascii="Arial" w:cs="Arial" w:eastAsia="Arial" w:hAnsi="Arial"/>
          <w:sz w:val="10"/>
          <w:szCs w:val="10"/>
          <w:color w:val="auto"/>
        </w:rPr>
      </w:pPr>
      <w:r>
        <w:rPr>
          <w:rFonts w:ascii="Arial" w:cs="Arial" w:eastAsia="Arial" w:hAnsi="Arial"/>
          <w:sz w:val="10"/>
          <w:szCs w:val="10"/>
          <w:color w:val="auto"/>
        </w:rPr>
        <w:t>4,818</w:t>
      </w:r>
    </w:p>
    <w:p>
      <w:pPr>
        <w:spacing w:after="0" w:line="38" w:lineRule="exact"/>
        <w:rPr>
          <w:sz w:val="20"/>
          <w:szCs w:val="20"/>
          <w:color w:val="auto"/>
        </w:rPr>
      </w:pPr>
    </w:p>
    <w:p>
      <w:pPr>
        <w:sectPr>
          <w:pgSz w:w="11900" w:h="16838" w:orient="portrait"/>
          <w:cols w:equalWidth="0" w:num="2">
            <w:col w:w="9620" w:space="720"/>
            <w:col w:w="1140"/>
          </w:cols>
          <w:pgMar w:left="220" w:top="197" w:right="199" w:bottom="1440" w:gutter="0" w:footer="0" w:header="0"/>
          <w:type w:val="continuous"/>
        </w:sectPr>
      </w:pP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336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380" w:type="dxa"/>
            <w:vAlign w:val="bottom"/>
            <w:gridSpan w:val="2"/>
          </w:tcPr>
          <w:p>
            <w:pPr>
              <w:spacing w:after="0"/>
              <w:rPr>
                <w:sz w:val="20"/>
                <w:szCs w:val="20"/>
                <w:color w:val="auto"/>
              </w:rPr>
            </w:pPr>
            <w:r>
              <w:rPr>
                <w:rFonts w:ascii="Arial" w:cs="Arial" w:eastAsia="Arial" w:hAnsi="Arial"/>
                <w:sz w:val="12"/>
                <w:szCs w:val="12"/>
                <w:color w:val="auto"/>
              </w:rPr>
              <w:t>Loss and LAE ratio</w:t>
            </w:r>
          </w:p>
        </w:tc>
        <w:tc>
          <w:tcPr>
            <w:tcW w:w="1000" w:type="dxa"/>
            <w:vAlign w:val="bottom"/>
          </w:tcPr>
          <w:p>
            <w:pPr>
              <w:spacing w:after="0"/>
              <w:rPr>
                <w:sz w:val="12"/>
                <w:szCs w:val="12"/>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67.7%</w:t>
            </w:r>
          </w:p>
        </w:tc>
        <w:tc>
          <w:tcPr>
            <w:tcW w:w="480" w:type="dxa"/>
            <w:vAlign w:val="bottom"/>
          </w:tcPr>
          <w:p>
            <w:pPr>
              <w:spacing w:after="0"/>
              <w:rPr>
                <w:sz w:val="12"/>
                <w:szCs w:val="12"/>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92.1%</w:t>
            </w:r>
          </w:p>
        </w:tc>
        <w:tc>
          <w:tcPr>
            <w:tcW w:w="480" w:type="dxa"/>
            <w:vAlign w:val="bottom"/>
          </w:tcPr>
          <w:p>
            <w:pPr>
              <w:spacing w:after="0"/>
              <w:rPr>
                <w:sz w:val="12"/>
                <w:szCs w:val="12"/>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68.6%</w:t>
            </w:r>
          </w:p>
        </w:tc>
        <w:tc>
          <w:tcPr>
            <w:tcW w:w="480" w:type="dxa"/>
            <w:vAlign w:val="bottom"/>
          </w:tcPr>
          <w:p>
            <w:pPr>
              <w:spacing w:after="0"/>
              <w:rPr>
                <w:sz w:val="12"/>
                <w:szCs w:val="12"/>
                <w:color w:val="auto"/>
              </w:rPr>
            </w:pP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82.6%</w:t>
            </w:r>
          </w:p>
        </w:tc>
        <w:tc>
          <w:tcPr>
            <w:tcW w:w="480" w:type="dxa"/>
            <w:vAlign w:val="bottom"/>
          </w:tcPr>
          <w:p>
            <w:pPr>
              <w:spacing w:after="0"/>
              <w:rPr>
                <w:sz w:val="12"/>
                <w:szCs w:val="12"/>
                <w:color w:val="auto"/>
              </w:rPr>
            </w:pPr>
          </w:p>
        </w:tc>
        <w:tc>
          <w:tcPr>
            <w:tcW w:w="760" w:type="dxa"/>
            <w:vAlign w:val="bottom"/>
          </w:tcPr>
          <w:p>
            <w:pPr>
              <w:jc w:val="right"/>
              <w:ind w:right="60"/>
              <w:spacing w:after="0"/>
              <w:rPr>
                <w:sz w:val="20"/>
                <w:szCs w:val="20"/>
                <w:color w:val="auto"/>
              </w:rPr>
            </w:pPr>
            <w:r>
              <w:rPr>
                <w:rFonts w:ascii="Arial" w:cs="Arial" w:eastAsia="Arial" w:hAnsi="Arial"/>
                <w:sz w:val="12"/>
                <w:szCs w:val="12"/>
                <w:color w:val="auto"/>
              </w:rPr>
              <w:t>18.3%</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68.8%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2"/>
                <w:szCs w:val="12"/>
                <w:color w:val="auto"/>
              </w:rPr>
              <w:t>Expense ratio</w:t>
            </w:r>
          </w:p>
        </w:tc>
        <w:tc>
          <w:tcPr>
            <w:tcW w:w="10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38.7%</w:t>
            </w: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29.1%</w:t>
            </w: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35.3%</w:t>
            </w: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-10.0%</w:t>
            </w: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25.9%</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27.3%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60" w:type="dxa"/>
            <w:vAlign w:val="bottom"/>
          </w:tcPr>
          <w:p>
            <w:pPr>
              <w:spacing w:after="0"/>
              <w:rPr>
                <w:sz w:val="20"/>
                <w:szCs w:val="20"/>
                <w:color w:val="auto"/>
              </w:rPr>
            </w:pPr>
            <w:r>
              <w:rPr>
                <w:rFonts w:ascii="Arial" w:cs="Arial" w:eastAsia="Arial" w:hAnsi="Arial"/>
                <w:sz w:val="12"/>
                <w:szCs w:val="12"/>
                <w:color w:val="auto"/>
              </w:rPr>
              <w:t>Combined ratio</w:t>
            </w:r>
          </w:p>
        </w:tc>
        <w:tc>
          <w:tcPr>
            <w:tcW w:w="1000" w:type="dxa"/>
            <w:vAlign w:val="bottom"/>
          </w:tcPr>
          <w:p>
            <w:pPr>
              <w:spacing w:after="0"/>
              <w:rPr>
                <w:sz w:val="12"/>
                <w:szCs w:val="12"/>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106.4%</w:t>
            </w:r>
          </w:p>
        </w:tc>
        <w:tc>
          <w:tcPr>
            <w:tcW w:w="480" w:type="dxa"/>
            <w:vAlign w:val="bottom"/>
          </w:tcPr>
          <w:p>
            <w:pPr>
              <w:spacing w:after="0"/>
              <w:rPr>
                <w:sz w:val="12"/>
                <w:szCs w:val="12"/>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121.3%</w:t>
            </w:r>
          </w:p>
        </w:tc>
        <w:tc>
          <w:tcPr>
            <w:tcW w:w="480" w:type="dxa"/>
            <w:vAlign w:val="bottom"/>
          </w:tcPr>
          <w:p>
            <w:pPr>
              <w:spacing w:after="0"/>
              <w:rPr>
                <w:sz w:val="12"/>
                <w:szCs w:val="12"/>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103.9%</w:t>
            </w:r>
          </w:p>
        </w:tc>
        <w:tc>
          <w:tcPr>
            <w:tcW w:w="480" w:type="dxa"/>
            <w:vAlign w:val="bottom"/>
          </w:tcPr>
          <w:p>
            <w:pPr>
              <w:spacing w:after="0"/>
              <w:rPr>
                <w:sz w:val="12"/>
                <w:szCs w:val="12"/>
                <w:color w:val="auto"/>
              </w:rPr>
            </w:pP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72.6%</w:t>
            </w:r>
          </w:p>
        </w:tc>
        <w:tc>
          <w:tcPr>
            <w:tcW w:w="480" w:type="dxa"/>
            <w:vAlign w:val="bottom"/>
          </w:tcPr>
          <w:p>
            <w:pPr>
              <w:spacing w:after="0"/>
              <w:rPr>
                <w:sz w:val="12"/>
                <w:szCs w:val="12"/>
                <w:color w:val="auto"/>
              </w:rPr>
            </w:pPr>
          </w:p>
        </w:tc>
        <w:tc>
          <w:tcPr>
            <w:tcW w:w="760" w:type="dxa"/>
            <w:vAlign w:val="bottom"/>
          </w:tcPr>
          <w:p>
            <w:pPr>
              <w:jc w:val="right"/>
              <w:ind w:right="60"/>
              <w:spacing w:after="0"/>
              <w:rPr>
                <w:sz w:val="20"/>
                <w:szCs w:val="20"/>
                <w:color w:val="auto"/>
              </w:rPr>
            </w:pPr>
            <w:r>
              <w:rPr>
                <w:rFonts w:ascii="Arial" w:cs="Arial" w:eastAsia="Arial" w:hAnsi="Arial"/>
                <w:sz w:val="12"/>
                <w:szCs w:val="12"/>
                <w:color w:val="auto"/>
              </w:rPr>
              <w:t>44.2%</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96.1%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2"/>
                <w:szCs w:val="12"/>
                <w:color w:val="auto"/>
              </w:rPr>
              <w:t>Balances at June 30, 2017:</w:t>
            </w:r>
          </w:p>
        </w:tc>
        <w:tc>
          <w:tcPr>
            <w:tcW w:w="10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60" w:type="dxa"/>
            <w:vAlign w:val="bottom"/>
          </w:tcPr>
          <w:p>
            <w:pPr>
              <w:ind w:left="140"/>
              <w:spacing w:after="0"/>
              <w:rPr>
                <w:sz w:val="20"/>
                <w:szCs w:val="20"/>
                <w:color w:val="auto"/>
              </w:rPr>
            </w:pPr>
            <w:r>
              <w:rPr>
                <w:rFonts w:ascii="Arial" w:cs="Arial" w:eastAsia="Arial" w:hAnsi="Arial"/>
                <w:sz w:val="12"/>
                <w:szCs w:val="12"/>
                <w:color w:val="auto"/>
              </w:rPr>
              <w:t>Premiums receivable</w:t>
            </w:r>
          </w:p>
        </w:tc>
        <w:tc>
          <w:tcPr>
            <w:tcW w:w="100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15,600</w:t>
            </w:r>
          </w:p>
        </w:tc>
        <w:tc>
          <w:tcPr>
            <w:tcW w:w="48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1,003</w:t>
            </w:r>
          </w:p>
        </w:tc>
        <w:tc>
          <w:tcPr>
            <w:tcW w:w="48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8,328</w:t>
            </w:r>
          </w:p>
        </w:tc>
        <w:tc>
          <w:tcPr>
            <w:tcW w:w="48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44,736</w:t>
            </w:r>
          </w:p>
        </w:tc>
        <w:tc>
          <w:tcPr>
            <w:tcW w:w="48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60"/>
              <w:spacing w:after="0"/>
              <w:rPr>
                <w:sz w:val="20"/>
                <w:szCs w:val="20"/>
                <w:color w:val="auto"/>
              </w:rPr>
            </w:pPr>
            <w:r>
              <w:rPr>
                <w:rFonts w:ascii="Arial" w:cs="Arial" w:eastAsia="Arial" w:hAnsi="Arial"/>
                <w:sz w:val="12"/>
                <w:szCs w:val="12"/>
                <w:color w:val="auto"/>
              </w:rPr>
              <w:t>1,215</w:t>
            </w:r>
          </w:p>
        </w:tc>
        <w:tc>
          <w:tcPr>
            <w:tcW w:w="48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70,882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Deferred policy acquisition costs</w:t>
            </w:r>
          </w:p>
        </w:tc>
        <w:tc>
          <w:tcPr>
            <w:tcW w:w="10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2,577</w:t>
            </w: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277</w:t>
            </w: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5,238</w:t>
            </w: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5,586</w:t>
            </w: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448</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14,126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60" w:type="dxa"/>
            <w:vAlign w:val="bottom"/>
          </w:tcPr>
          <w:p>
            <w:pPr>
              <w:ind w:left="140"/>
              <w:spacing w:after="0"/>
              <w:rPr>
                <w:sz w:val="20"/>
                <w:szCs w:val="20"/>
                <w:color w:val="auto"/>
              </w:rPr>
            </w:pPr>
            <w:r>
              <w:rPr>
                <w:rFonts w:ascii="Arial" w:cs="Arial" w:eastAsia="Arial" w:hAnsi="Arial"/>
                <w:sz w:val="12"/>
                <w:szCs w:val="12"/>
                <w:color w:val="auto"/>
              </w:rPr>
              <w:t>Reinsurance recoverables</w:t>
            </w:r>
          </w:p>
        </w:tc>
        <w:tc>
          <w:tcPr>
            <w:tcW w:w="1000" w:type="dxa"/>
            <w:vAlign w:val="bottom"/>
          </w:tcPr>
          <w:p>
            <w:pPr>
              <w:spacing w:after="0"/>
              <w:rPr>
                <w:sz w:val="12"/>
                <w:szCs w:val="12"/>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1,435</w:t>
            </w:r>
          </w:p>
        </w:tc>
        <w:tc>
          <w:tcPr>
            <w:tcW w:w="480" w:type="dxa"/>
            <w:vAlign w:val="bottom"/>
          </w:tcPr>
          <w:p>
            <w:pPr>
              <w:spacing w:after="0"/>
              <w:rPr>
                <w:sz w:val="12"/>
                <w:szCs w:val="12"/>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2"/>
                <w:szCs w:val="12"/>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2,625</w:t>
            </w:r>
          </w:p>
        </w:tc>
        <w:tc>
          <w:tcPr>
            <w:tcW w:w="480" w:type="dxa"/>
            <w:vAlign w:val="bottom"/>
          </w:tcPr>
          <w:p>
            <w:pPr>
              <w:spacing w:after="0"/>
              <w:rPr>
                <w:sz w:val="12"/>
                <w:szCs w:val="12"/>
                <w:color w:val="auto"/>
              </w:rPr>
            </w:pP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3,716</w:t>
            </w:r>
          </w:p>
        </w:tc>
        <w:tc>
          <w:tcPr>
            <w:tcW w:w="480" w:type="dxa"/>
            <w:vAlign w:val="bottom"/>
          </w:tcPr>
          <w:p>
            <w:pPr>
              <w:spacing w:after="0"/>
              <w:rPr>
                <w:sz w:val="12"/>
                <w:szCs w:val="12"/>
                <w:color w:val="auto"/>
              </w:rPr>
            </w:pPr>
          </w:p>
        </w:tc>
        <w:tc>
          <w:tcPr>
            <w:tcW w:w="760" w:type="dxa"/>
            <w:vAlign w:val="bottom"/>
          </w:tcPr>
          <w:p>
            <w:pPr>
              <w:jc w:val="right"/>
              <w:ind w:right="60"/>
              <w:spacing w:after="0"/>
              <w:rPr>
                <w:sz w:val="20"/>
                <w:szCs w:val="20"/>
                <w:color w:val="auto"/>
              </w:rPr>
            </w:pPr>
            <w:r>
              <w:rPr>
                <w:rFonts w:ascii="Arial" w:cs="Arial" w:eastAsia="Arial" w:hAnsi="Arial"/>
                <w:sz w:val="12"/>
                <w:szCs w:val="12"/>
                <w:color w:val="auto"/>
              </w:rPr>
              <w:t>2,616</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10,392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Receivable from Federal Crop Insurance Corporation</w:t>
            </w:r>
          </w:p>
        </w:tc>
        <w:tc>
          <w:tcPr>
            <w:tcW w:w="10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12,496</w:t>
            </w: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12,496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Unpaid losses and LAE</w:t>
            </w:r>
          </w:p>
        </w:tc>
        <w:tc>
          <w:tcPr>
            <w:tcW w:w="10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24,391</w:t>
            </w: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6,276</w:t>
            </w: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17,162</w:t>
            </w:r>
          </w:p>
        </w:tc>
        <w:tc>
          <w:tcPr>
            <w:tcW w:w="4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15,862</w:t>
            </w: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8,928</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72,619</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360" w:type="dxa"/>
            <w:vAlign w:val="bottom"/>
          </w:tcPr>
          <w:p>
            <w:pPr>
              <w:ind w:left="140"/>
              <w:spacing w:after="0"/>
              <w:rPr>
                <w:sz w:val="20"/>
                <w:szCs w:val="20"/>
                <w:color w:val="auto"/>
              </w:rPr>
            </w:pPr>
            <w:r>
              <w:rPr>
                <w:rFonts w:ascii="Arial" w:cs="Arial" w:eastAsia="Arial" w:hAnsi="Arial"/>
                <w:sz w:val="12"/>
                <w:szCs w:val="12"/>
                <w:color w:val="auto"/>
              </w:rPr>
              <w:t>Unearned premiums</w:t>
            </w:r>
          </w:p>
        </w:tc>
        <w:tc>
          <w:tcPr>
            <w:tcW w:w="1000" w:type="dxa"/>
            <w:vAlign w:val="bottom"/>
          </w:tcPr>
          <w:p>
            <w:pPr>
              <w:spacing w:after="0"/>
              <w:rPr>
                <w:sz w:val="13"/>
                <w:szCs w:val="13"/>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25,247</w:t>
            </w:r>
          </w:p>
        </w:tc>
        <w:tc>
          <w:tcPr>
            <w:tcW w:w="480" w:type="dxa"/>
            <w:vAlign w:val="bottom"/>
          </w:tcPr>
          <w:p>
            <w:pPr>
              <w:spacing w:after="0"/>
              <w:rPr>
                <w:sz w:val="13"/>
                <w:szCs w:val="13"/>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1,579</w:t>
            </w:r>
          </w:p>
        </w:tc>
        <w:tc>
          <w:tcPr>
            <w:tcW w:w="480" w:type="dxa"/>
            <w:vAlign w:val="bottom"/>
          </w:tcPr>
          <w:p>
            <w:pPr>
              <w:spacing w:after="0"/>
              <w:rPr>
                <w:sz w:val="13"/>
                <w:szCs w:val="13"/>
                <w:color w:val="auto"/>
              </w:rPr>
            </w:pPr>
          </w:p>
        </w:tc>
        <w:tc>
          <w:tcPr>
            <w:tcW w:w="800" w:type="dxa"/>
            <w:vAlign w:val="bottom"/>
          </w:tcPr>
          <w:p>
            <w:pPr>
              <w:jc w:val="right"/>
              <w:ind w:right="60"/>
              <w:spacing w:after="0"/>
              <w:rPr>
                <w:sz w:val="20"/>
                <w:szCs w:val="20"/>
                <w:color w:val="auto"/>
              </w:rPr>
            </w:pPr>
            <w:r>
              <w:rPr>
                <w:rFonts w:ascii="Arial" w:cs="Arial" w:eastAsia="Arial" w:hAnsi="Arial"/>
                <w:sz w:val="12"/>
                <w:szCs w:val="12"/>
                <w:color w:val="auto"/>
              </w:rPr>
              <w:t>33,894</w:t>
            </w:r>
          </w:p>
        </w:tc>
        <w:tc>
          <w:tcPr>
            <w:tcW w:w="480" w:type="dxa"/>
            <w:vAlign w:val="bottom"/>
          </w:tcPr>
          <w:p>
            <w:pPr>
              <w:spacing w:after="0"/>
              <w:rPr>
                <w:sz w:val="13"/>
                <w:szCs w:val="13"/>
                <w:color w:val="auto"/>
              </w:rPr>
            </w:pPr>
          </w:p>
        </w:tc>
        <w:tc>
          <w:tcPr>
            <w:tcW w:w="780" w:type="dxa"/>
            <w:vAlign w:val="bottom"/>
          </w:tcPr>
          <w:p>
            <w:pPr>
              <w:jc w:val="right"/>
              <w:ind w:right="60"/>
              <w:spacing w:after="0"/>
              <w:rPr>
                <w:sz w:val="20"/>
                <w:szCs w:val="20"/>
                <w:color w:val="auto"/>
              </w:rPr>
            </w:pPr>
            <w:r>
              <w:rPr>
                <w:rFonts w:ascii="Arial" w:cs="Arial" w:eastAsia="Arial" w:hAnsi="Arial"/>
                <w:sz w:val="12"/>
                <w:szCs w:val="12"/>
                <w:color w:val="auto"/>
              </w:rPr>
              <w:t>26,718</w:t>
            </w:r>
          </w:p>
        </w:tc>
        <w:tc>
          <w:tcPr>
            <w:tcW w:w="480" w:type="dxa"/>
            <w:vAlign w:val="bottom"/>
          </w:tcPr>
          <w:p>
            <w:pPr>
              <w:spacing w:after="0"/>
              <w:rPr>
                <w:sz w:val="13"/>
                <w:szCs w:val="13"/>
                <w:color w:val="auto"/>
              </w:rPr>
            </w:pPr>
          </w:p>
        </w:tc>
        <w:tc>
          <w:tcPr>
            <w:tcW w:w="760" w:type="dxa"/>
            <w:vAlign w:val="bottom"/>
          </w:tcPr>
          <w:p>
            <w:pPr>
              <w:jc w:val="right"/>
              <w:ind w:right="60"/>
              <w:spacing w:after="0"/>
              <w:rPr>
                <w:sz w:val="20"/>
                <w:szCs w:val="20"/>
                <w:color w:val="auto"/>
              </w:rPr>
            </w:pPr>
            <w:r>
              <w:rPr>
                <w:rFonts w:ascii="Arial" w:cs="Arial" w:eastAsia="Arial" w:hAnsi="Arial"/>
                <w:sz w:val="12"/>
                <w:szCs w:val="12"/>
                <w:color w:val="auto"/>
              </w:rPr>
              <w:t>4,756</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92,194</w:t>
            </w:r>
          </w:p>
        </w:tc>
        <w:tc>
          <w:tcPr>
            <w:tcW w:w="0" w:type="dxa"/>
            <w:vAlign w:val="bottom"/>
          </w:tcPr>
          <w:p>
            <w:pPr>
              <w:spacing w:after="0"/>
              <w:rPr>
                <w:sz w:val="1"/>
                <w:szCs w:val="1"/>
                <w:color w:val="auto"/>
              </w:rPr>
            </w:pPr>
          </w:p>
        </w:tc>
      </w:tr>
    </w:tbl>
    <w:p>
      <w:pPr>
        <w:spacing w:after="0" w:line="243" w:lineRule="exact"/>
        <w:rPr>
          <w:sz w:val="20"/>
          <w:szCs w:val="20"/>
          <w:color w:val="auto"/>
        </w:rPr>
      </w:pPr>
    </w:p>
    <w:p>
      <w:pPr>
        <w:ind w:right="60" w:firstLine="432"/>
        <w:spacing w:after="0" w:line="276" w:lineRule="auto"/>
        <w:rPr>
          <w:sz w:val="20"/>
          <w:szCs w:val="20"/>
          <w:color w:val="auto"/>
        </w:rPr>
      </w:pPr>
      <w:r>
        <w:rPr>
          <w:rFonts w:ascii="Arial" w:cs="Arial" w:eastAsia="Arial" w:hAnsi="Arial"/>
          <w:sz w:val="12"/>
          <w:szCs w:val="12"/>
          <w:color w:val="auto"/>
        </w:rPr>
        <w:t>For purposes of evaluating profitability of the non-standard auto segment, management combines the policy fees paid by the insured with the underwriting gain or loss as its primary measure. As a result, these fees are allocated to the non-standard auto segment (included in fee and other income) in the above tables. The remaining fee and other income amounts are not allocated to any segment.</w:t>
      </w:r>
    </w:p>
    <w:p>
      <w:pPr>
        <w:spacing w:after="0" w:line="97" w:lineRule="exact"/>
        <w:rPr>
          <w:sz w:val="20"/>
          <w:szCs w:val="20"/>
          <w:color w:val="auto"/>
        </w:rPr>
      </w:pPr>
    </w:p>
    <w:p>
      <w:pPr>
        <w:ind w:right="240" w:firstLine="432"/>
        <w:spacing w:after="0" w:line="263" w:lineRule="auto"/>
        <w:rPr>
          <w:sz w:val="20"/>
          <w:szCs w:val="20"/>
          <w:color w:val="auto"/>
        </w:rPr>
      </w:pPr>
      <w:r>
        <w:rPr>
          <w:rFonts w:ascii="Arial" w:cs="Arial" w:eastAsia="Arial" w:hAnsi="Arial"/>
          <w:sz w:val="12"/>
          <w:szCs w:val="12"/>
          <w:color w:val="auto"/>
        </w:rPr>
        <w:t>We do not assign or allocate all Consolidated Statement of Operations or Consolidated Balance Sheet line items to our operating segments. Those line items include investment income, net realized capital gain on investments, other income excluding non-standard auto insurance fees, and income taxes for the Consolidated Statement of Operations. For the Consolidated Balance Sheet, those items include cash and investments, property and equipment, other assets, accrued expenses, federal income taxes recoverable or payable, and equity.</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29234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2340" cy="1714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type w:val="continuous"/>
        </w:sectPr>
      </w:pPr>
    </w:p>
    <w:bookmarkStart w:id="35" w:name="page36"/>
    <w:bookmarkEnd w:id="35"/>
    <w:p>
      <w:pPr>
        <w:ind w:left="8"/>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7" w:lineRule="exact"/>
        <w:rPr>
          <w:sz w:val="20"/>
          <w:szCs w:val="20"/>
          <w:color w:val="auto"/>
        </w:rPr>
      </w:pPr>
    </w:p>
    <w:p>
      <w:pPr>
        <w:jc w:val="center"/>
        <w:ind w:right="-1248"/>
        <w:spacing w:after="0"/>
        <w:rPr>
          <w:sz w:val="20"/>
          <w:szCs w:val="20"/>
          <w:color w:val="auto"/>
        </w:rPr>
      </w:pPr>
      <w:r>
        <w:rPr>
          <w:rFonts w:ascii="Arial" w:cs="Arial" w:eastAsia="Arial" w:hAnsi="Arial"/>
          <w:sz w:val="12"/>
          <w:szCs w:val="12"/>
          <w:b w:val="1"/>
          <w:bCs w:val="1"/>
          <w:color w:val="auto"/>
        </w:rPr>
        <w:t>NI Holdings, Inc.</w:t>
      </w:r>
    </w:p>
    <w:p>
      <w:pPr>
        <w:spacing w:after="0" w:line="5" w:lineRule="exact"/>
        <w:rPr>
          <w:sz w:val="20"/>
          <w:szCs w:val="20"/>
          <w:color w:val="auto"/>
        </w:rPr>
      </w:pPr>
    </w:p>
    <w:p>
      <w:pPr>
        <w:ind w:left="4348"/>
        <w:spacing w:after="0"/>
        <w:rPr>
          <w:sz w:val="20"/>
          <w:szCs w:val="20"/>
          <w:color w:val="auto"/>
        </w:rPr>
      </w:pPr>
      <w:r>
        <w:rPr>
          <w:rFonts w:ascii="Arial" w:cs="Arial" w:eastAsia="Arial" w:hAnsi="Arial"/>
          <w:sz w:val="10"/>
          <w:szCs w:val="10"/>
          <w:b w:val="1"/>
          <w:bCs w:val="1"/>
          <w:color w:val="auto"/>
        </w:rPr>
        <w:t>Notes to Unaudited Consolidated Financial Statements</w:t>
      </w:r>
    </w:p>
    <w:p>
      <w:pPr>
        <w:spacing w:after="0" w:line="29" w:lineRule="exact"/>
        <w:rPr>
          <w:sz w:val="20"/>
          <w:szCs w:val="20"/>
          <w:color w:val="auto"/>
        </w:rPr>
      </w:pPr>
    </w:p>
    <w:p>
      <w:pPr>
        <w:ind w:left="4268"/>
        <w:spacing w:after="0"/>
        <w:rPr>
          <w:sz w:val="20"/>
          <w:szCs w:val="20"/>
          <w:color w:val="auto"/>
        </w:rPr>
      </w:pPr>
      <w:r>
        <w:rPr>
          <w:rFonts w:ascii="Arial" w:cs="Arial" w:eastAsia="Arial" w:hAnsi="Arial"/>
          <w:sz w:val="10"/>
          <w:szCs w:val="10"/>
          <w:b w:val="1"/>
          <w:bCs w:val="1"/>
          <w:color w:val="auto"/>
        </w:rPr>
        <w:t>(dollar amounts in thousands, except per share amounts)</w:t>
      </w:r>
    </w:p>
    <w:p>
      <w:pPr>
        <w:spacing w:after="0" w:line="304" w:lineRule="exact"/>
        <w:rPr>
          <w:sz w:val="20"/>
          <w:szCs w:val="20"/>
          <w:color w:val="auto"/>
        </w:rPr>
      </w:pPr>
    </w:p>
    <w:p>
      <w:pPr>
        <w:ind w:left="428" w:hanging="428"/>
        <w:spacing w:after="0"/>
        <w:tabs>
          <w:tab w:leader="none" w:pos="428" w:val="left"/>
        </w:tabs>
        <w:numPr>
          <w:ilvl w:val="0"/>
          <w:numId w:val="28"/>
        </w:numPr>
        <w:rPr>
          <w:rFonts w:ascii="Arial" w:cs="Arial" w:eastAsia="Arial" w:hAnsi="Arial"/>
          <w:sz w:val="12"/>
          <w:szCs w:val="12"/>
          <w:b w:val="1"/>
          <w:bCs w:val="1"/>
          <w:color w:val="auto"/>
        </w:rPr>
      </w:pPr>
      <w:r>
        <w:rPr>
          <w:rFonts w:ascii="Arial" w:cs="Arial" w:eastAsia="Arial" w:hAnsi="Arial"/>
          <w:sz w:val="12"/>
          <w:szCs w:val="12"/>
          <w:b w:val="1"/>
          <w:bCs w:val="1"/>
          <w:color w:val="auto"/>
        </w:rPr>
        <w:t>Subsequent Events</w:t>
      </w:r>
    </w:p>
    <w:p>
      <w:pPr>
        <w:spacing w:after="0" w:line="82" w:lineRule="exact"/>
        <w:rPr>
          <w:rFonts w:ascii="Arial" w:cs="Arial" w:eastAsia="Arial" w:hAnsi="Arial"/>
          <w:sz w:val="12"/>
          <w:szCs w:val="12"/>
          <w:b w:val="1"/>
          <w:bCs w:val="1"/>
          <w:color w:val="auto"/>
        </w:rPr>
      </w:pPr>
    </w:p>
    <w:p>
      <w:pPr>
        <w:ind w:left="428"/>
        <w:spacing w:after="0"/>
        <w:rPr>
          <w:rFonts w:ascii="Arial" w:cs="Arial" w:eastAsia="Arial" w:hAnsi="Arial"/>
          <w:sz w:val="12"/>
          <w:szCs w:val="12"/>
          <w:b w:val="1"/>
          <w:bCs w:val="1"/>
          <w:color w:val="auto"/>
        </w:rPr>
      </w:pPr>
      <w:r>
        <w:rPr>
          <w:rFonts w:ascii="Arial" w:cs="Arial" w:eastAsia="Arial" w:hAnsi="Arial"/>
          <w:sz w:val="10"/>
          <w:szCs w:val="10"/>
          <w:color w:val="auto"/>
        </w:rPr>
        <w:t>We have evaluated subsequent events through August 3, 2018, the date these consolidated financial statements were available for issuance.</w:t>
      </w:r>
    </w:p>
    <w:p>
      <w:pPr>
        <w:spacing w:after="0" w:line="389" w:lineRule="exact"/>
        <w:rPr>
          <w:sz w:val="20"/>
          <w:szCs w:val="20"/>
          <w:color w:val="auto"/>
        </w:rPr>
      </w:pPr>
    </w:p>
    <w:p>
      <w:pPr>
        <w:ind w:left="5688"/>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29234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2340" cy="17145"/>
                    </a:xfrm>
                    <a:prstGeom prst="rect">
                      <a:avLst/>
                    </a:prstGeom>
                    <a:noFill/>
                  </pic:spPr>
                </pic:pic>
              </a:graphicData>
            </a:graphic>
          </wp:anchor>
        </w:drawing>
      </w:r>
    </w:p>
    <w:p>
      <w:pPr>
        <w:sectPr>
          <w:pgSz w:w="11900" w:h="16838" w:orient="portrait"/>
          <w:cols w:equalWidth="0" w:num="1">
            <w:col w:w="10247"/>
          </w:cols>
          <w:pgMar w:left="212" w:top="197" w:right="1440"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 Management’s Discussion and Analysis of Financial Condition and Results of Operations</w:t>
      </w:r>
    </w:p>
    <w:p>
      <w:pPr>
        <w:spacing w:after="0" w:line="118"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The following discussion is intended to provide a more comprehensive review of the Company’s operating results and financial condition than can be obtained from reading the Unaudited Consolidated Financial Statements alone. This discussion should be read in conjunction with the Unaudited Consolidated Financial Statements and the notes thereto included in “Part I. Item 1. Financial Statements.” Some of the information contained in this discussion and analysis or set forth elsewhere in this Quarterly Report on Form 10-Q constitutes forward-looking statements that involve risks and uncertainties. Please see “Forward-Looking Statements” and “Part II. Item 1A. Risk Factors” included elsewhere in this Quarterly Report. You should also review “Risk Factors” included in the Company’s Annual Report on Form 10-K for a discussion of important factors that could cause actual results to differ materially from the results described, or implied by, the forward-looking statements contained herein.</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All dollar amounts included in Item 2 herein are in thousands.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18" w:lineRule="exact"/>
        <w:rPr>
          <w:sz w:val="20"/>
          <w:szCs w:val="20"/>
          <w:color w:val="auto"/>
        </w:rPr>
      </w:pPr>
    </w:p>
    <w:p>
      <w:pPr>
        <w:ind w:right="120" w:firstLine="432"/>
        <w:spacing w:after="0" w:line="257" w:lineRule="auto"/>
        <w:rPr>
          <w:sz w:val="20"/>
          <w:szCs w:val="20"/>
          <w:color w:val="auto"/>
        </w:rPr>
      </w:pPr>
      <w:r>
        <w:rPr>
          <w:rFonts w:ascii="Arial" w:cs="Arial" w:eastAsia="Arial" w:hAnsi="Arial"/>
          <w:sz w:val="12"/>
          <w:szCs w:val="12"/>
          <w:color w:val="auto"/>
        </w:rPr>
        <w:t>NI Holdings is a North Dakota business corporation that is the stock holding company of Nodak Insurance Company and became such in connection with the conversion of Nodak Mutual Insurance Company from a mutual to stock form of organization and the creation of a mutual holding company. The conversion was consummated on March 13, 2017. Immediately following the conversion, all of the outstanding shares of common stock of Nodak Insurance Company were issued to Nodak Mutual Group, which then contributed the shares to NI Holdings in exchange for 55% of the outstanding shares of common stock of NI Holdings. Nodak Insurance Company then became a wholly-owned stock subsidiary of NI Holdings. Prior to completion of the conversion, NI Holdings conducted no business and had no assets or liabilities. As a result of the conversion, NI Holdings became the holding company for Nodak Insurance Company and its existing subsidiaries.</w:t>
      </w:r>
    </w:p>
    <w:p>
      <w:pPr>
        <w:spacing w:after="0" w:line="90" w:lineRule="exact"/>
        <w:rPr>
          <w:sz w:val="20"/>
          <w:szCs w:val="20"/>
          <w:color w:val="auto"/>
        </w:rPr>
      </w:pPr>
    </w:p>
    <w:p>
      <w:pPr>
        <w:ind w:right="40" w:firstLine="432"/>
        <w:spacing w:after="0" w:line="298" w:lineRule="auto"/>
        <w:rPr>
          <w:sz w:val="20"/>
          <w:szCs w:val="20"/>
          <w:color w:val="auto"/>
        </w:rPr>
      </w:pPr>
      <w:r>
        <w:rPr>
          <w:rFonts w:ascii="Arial" w:cs="Arial" w:eastAsia="Arial" w:hAnsi="Arial"/>
          <w:sz w:val="11"/>
          <w:szCs w:val="11"/>
          <w:color w:val="auto"/>
        </w:rPr>
        <w:t>Nodak Insurance offers property and casualty insurance, crop hail, and multi-peril crop insurance to members of the North Dakota Farm Bureau through captive agents in North Dakota. American West and Battle Creek offer similar insurance coverage through independent agents in South Dakota and Minnesota, and Nebraska, respectively. Primero offers limited nonstandard auto insurance coverage in Arizona, Nevada, North Dakota, and South Dakota. Nodak Insurance and Battle Creek are rated an “A” by A.M. Best, which is the third highest out of a possible 15 ratings. American West is rated an “A-”, and Primero is unrated.</w:t>
      </w:r>
    </w:p>
    <w:p>
      <w:pPr>
        <w:spacing w:after="0" w:line="69" w:lineRule="exact"/>
        <w:rPr>
          <w:sz w:val="20"/>
          <w:szCs w:val="20"/>
          <w:color w:val="auto"/>
        </w:rPr>
      </w:pPr>
    </w:p>
    <w:p>
      <w:pPr>
        <w:ind w:right="40" w:firstLine="432"/>
        <w:spacing w:after="0" w:line="263" w:lineRule="auto"/>
        <w:rPr>
          <w:sz w:val="20"/>
          <w:szCs w:val="20"/>
          <w:color w:val="auto"/>
        </w:rPr>
      </w:pPr>
      <w:r>
        <w:rPr>
          <w:rFonts w:ascii="Arial" w:cs="Arial" w:eastAsia="Arial" w:hAnsi="Arial"/>
          <w:sz w:val="12"/>
          <w:szCs w:val="12"/>
          <w:color w:val="auto"/>
        </w:rPr>
        <w:t>American West is a wholly-owned subsidiary of Nodak Insurance, and Primero is an indirect wholly-owned subsidiary of Nodak Insurance. Battle Creek is managed by Nodak Insurance, and Nodak Insurance reinsures 100% of the risk on all insurance policies issued by Battle Creek. NI Holdings’ financial statements set forth herein include the consolidated financial results of NI Holdings and Nodak Insurance, including Nodak Insurance’s subsidiaries American West and Primero, and its affiliate Battle Creek.</w:t>
      </w:r>
    </w:p>
    <w:p>
      <w:pPr>
        <w:spacing w:after="0" w:line="123"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2340" cy="1714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bookmarkStart w:id="37" w:name="page38"/>
    <w:bookmarkEnd w:id="37"/>
    <w:p>
      <w:pPr>
        <w:ind w:left="2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29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 chart of the corporate structure follows:</w:t>
      </w:r>
    </w:p>
    <w:p>
      <w:pPr>
        <w:spacing w:after="0" w:line="112" w:lineRule="exact"/>
        <w:rPr>
          <w:sz w:val="20"/>
          <w:szCs w:val="20"/>
          <w:color w:val="auto"/>
        </w:rPr>
      </w:pPr>
    </w:p>
    <w:tbl>
      <w:tblPr>
        <w:tblLayout w:type="fixed"/>
        <w:tblInd w:w="10" w:type="dxa"/>
        <w:tblCellMar>
          <w:top w:w="0" w:type="dxa"/>
          <w:left w:w="0" w:type="dxa"/>
          <w:bottom w:w="0" w:type="dxa"/>
          <w:right w:w="0" w:type="dxa"/>
        </w:tblCellMar>
      </w:tblPr>
      <w:tr>
        <w:trPr>
          <w:trHeight w:val="140"/>
        </w:trPr>
        <w:tc>
          <w:tcPr>
            <w:tcW w:w="240" w:type="dxa"/>
            <w:vAlign w:val="bottom"/>
            <w:tcBorders>
              <w:top w:val="single" w:sz="8" w:color="auto"/>
              <w:left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rPr>
              <w:t>NI HOLDINGS, INC.</w:t>
            </w:r>
          </w:p>
        </w:tc>
        <w:tc>
          <w:tcPr>
            <w:tcW w:w="8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right w:val="single" w:sz="8" w:color="auto"/>
            </w:tcBorders>
          </w:tcPr>
          <w:p>
            <w:pPr>
              <w:spacing w:after="0"/>
              <w:rPr>
                <w:sz w:val="12"/>
                <w:szCs w:val="12"/>
                <w:color w:val="auto"/>
              </w:rPr>
            </w:pPr>
          </w:p>
        </w:tc>
      </w:tr>
      <w:tr>
        <w:trPr>
          <w:trHeight w:val="157"/>
        </w:trPr>
        <w:tc>
          <w:tcPr>
            <w:tcW w:w="240" w:type="dxa"/>
            <w:vAlign w:val="bottom"/>
            <w:tcBorders>
              <w:left w:val="single" w:sz="8" w:color="auto"/>
            </w:tcBorders>
          </w:tcPr>
          <w:p>
            <w:pPr>
              <w:spacing w:after="0"/>
              <w:rPr>
                <w:sz w:val="13"/>
                <w:szCs w:val="13"/>
                <w:color w:val="auto"/>
              </w:rPr>
            </w:pPr>
          </w:p>
        </w:tc>
        <w:tc>
          <w:tcPr>
            <w:tcW w:w="1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580" w:type="dxa"/>
            <w:vAlign w:val="bottom"/>
            <w:gridSpan w:val="7"/>
          </w:tcPr>
          <w:p>
            <w:pPr>
              <w:jc w:val="center"/>
              <w:ind w:left="1020"/>
              <w:spacing w:after="0"/>
              <w:rPr>
                <w:sz w:val="20"/>
                <w:szCs w:val="20"/>
                <w:color w:val="auto"/>
              </w:rPr>
            </w:pPr>
            <w:r>
              <w:rPr>
                <w:rFonts w:ascii="Arial" w:cs="Arial" w:eastAsia="Arial" w:hAnsi="Arial"/>
                <w:sz w:val="12"/>
                <w:szCs w:val="12"/>
                <w:b w:val="1"/>
                <w:bCs w:val="1"/>
                <w:color w:val="auto"/>
              </w:rPr>
              <w:t>ORGANIZATIONAL CHART</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r>
      <w:tr>
        <w:trPr>
          <w:trHeight w:val="144"/>
        </w:trPr>
        <w:tc>
          <w:tcPr>
            <w:tcW w:w="240" w:type="dxa"/>
            <w:vAlign w:val="bottom"/>
            <w:tcBorders>
              <w:left w:val="single" w:sz="8" w:color="auto"/>
            </w:tcBorders>
          </w:tcPr>
          <w:p>
            <w:pPr>
              <w:spacing w:after="0"/>
              <w:rPr>
                <w:sz w:val="12"/>
                <w:szCs w:val="12"/>
                <w:color w:val="auto"/>
              </w:rPr>
            </w:pP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3"/>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r>
      <w:tr>
        <w:trPr>
          <w:trHeight w:val="133"/>
        </w:trPr>
        <w:tc>
          <w:tcPr>
            <w:tcW w:w="240" w:type="dxa"/>
            <w:vAlign w:val="bottom"/>
            <w:tcBorders>
              <w:left w:val="single" w:sz="8" w:color="auto"/>
            </w:tcBorders>
          </w:tcPr>
          <w:p>
            <w:pPr>
              <w:spacing w:after="0"/>
              <w:rPr>
                <w:sz w:val="11"/>
                <w:szCs w:val="11"/>
                <w:color w:val="auto"/>
              </w:rPr>
            </w:pPr>
          </w:p>
        </w:tc>
        <w:tc>
          <w:tcPr>
            <w:tcW w:w="1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0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4"/>
          </w:tcPr>
          <w:p>
            <w:pPr>
              <w:jc w:val="center"/>
              <w:ind w:left="40"/>
              <w:spacing w:after="0" w:line="133" w:lineRule="exact"/>
              <w:rPr>
                <w:sz w:val="20"/>
                <w:szCs w:val="20"/>
                <w:color w:val="auto"/>
              </w:rPr>
            </w:pPr>
            <w:r>
              <w:rPr>
                <w:rFonts w:ascii="Arial" w:cs="Arial" w:eastAsia="Arial" w:hAnsi="Arial"/>
                <w:sz w:val="12"/>
                <w:szCs w:val="12"/>
                <w:color w:val="auto"/>
                <w:w w:val="93"/>
              </w:rPr>
              <w:t>Nodak Mutual Group, Inc.</w:t>
            </w:r>
          </w:p>
        </w:tc>
        <w:tc>
          <w:tcPr>
            <w:tcW w:w="8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r>
      <w:tr>
        <w:trPr>
          <w:trHeight w:val="268"/>
        </w:trPr>
        <w:tc>
          <w:tcPr>
            <w:tcW w:w="240" w:type="dxa"/>
            <w:vAlign w:val="bottom"/>
            <w:tcBorders>
              <w:left w:val="single" w:sz="8" w:color="auto"/>
            </w:tcBorders>
          </w:tcPr>
          <w:p>
            <w:pPr>
              <w:spacing w:after="0"/>
              <w:rPr>
                <w:sz w:val="23"/>
                <w:szCs w:val="23"/>
                <w:color w:val="auto"/>
              </w:rPr>
            </w:pP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40" w:type="dxa"/>
            <w:vAlign w:val="bottom"/>
            <w:tcBorders>
              <w:right w:val="single" w:sz="8" w:color="auto"/>
            </w:tcBorders>
            <w:gridSpan w:val="4"/>
          </w:tcPr>
          <w:p>
            <w:pPr>
              <w:jc w:val="center"/>
              <w:ind w:right="1400"/>
              <w:spacing w:after="0"/>
              <w:rPr>
                <w:sz w:val="20"/>
                <w:szCs w:val="20"/>
                <w:color w:val="auto"/>
              </w:rPr>
            </w:pPr>
            <w:r>
              <w:rPr>
                <w:rFonts w:ascii="Arial" w:cs="Arial" w:eastAsia="Arial" w:hAnsi="Arial"/>
                <w:sz w:val="12"/>
                <w:szCs w:val="12"/>
                <w:color w:val="auto"/>
                <w:w w:val="94"/>
              </w:rPr>
              <w:t>≥ 55%</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r>
      <w:tr>
        <w:trPr>
          <w:trHeight w:val="153"/>
        </w:trPr>
        <w:tc>
          <w:tcPr>
            <w:tcW w:w="240" w:type="dxa"/>
            <w:vAlign w:val="bottom"/>
            <w:tcBorders>
              <w:left w:val="single" w:sz="8" w:color="auto"/>
            </w:tcBorders>
          </w:tcPr>
          <w:p>
            <w:pPr>
              <w:spacing w:after="0"/>
              <w:rPr>
                <w:sz w:val="13"/>
                <w:szCs w:val="13"/>
                <w:color w:val="auto"/>
              </w:rPr>
            </w:pPr>
          </w:p>
        </w:tc>
        <w:tc>
          <w:tcPr>
            <w:tcW w:w="1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40" w:type="dxa"/>
            <w:vAlign w:val="bottom"/>
            <w:tcBorders>
              <w:bottom w:val="single" w:sz="8" w:color="auto"/>
              <w:right w:val="single" w:sz="8" w:color="auto"/>
            </w:tcBorders>
            <w:gridSpan w:val="4"/>
          </w:tcPr>
          <w:p>
            <w:pPr>
              <w:ind w:left="760"/>
              <w:spacing w:after="0"/>
              <w:rPr>
                <w:sz w:val="20"/>
                <w:szCs w:val="20"/>
                <w:color w:val="auto"/>
              </w:rPr>
            </w:pPr>
            <w:r>
              <w:rPr>
                <w:rFonts w:ascii="Arial" w:cs="Arial" w:eastAsia="Arial" w:hAnsi="Arial"/>
                <w:sz w:val="12"/>
                <w:szCs w:val="12"/>
                <w:color w:val="auto"/>
              </w:rPr>
              <w:t>ownership</w:t>
            </w: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r>
      <w:tr>
        <w:trPr>
          <w:trHeight w:val="133"/>
        </w:trPr>
        <w:tc>
          <w:tcPr>
            <w:tcW w:w="240" w:type="dxa"/>
            <w:vAlign w:val="bottom"/>
            <w:tcBorders>
              <w:left w:val="single" w:sz="8" w:color="auto"/>
            </w:tcBorders>
          </w:tcPr>
          <w:p>
            <w:pPr>
              <w:spacing w:after="0"/>
              <w:rPr>
                <w:sz w:val="11"/>
                <w:szCs w:val="11"/>
                <w:color w:val="auto"/>
              </w:rPr>
            </w:pPr>
          </w:p>
        </w:tc>
        <w:tc>
          <w:tcPr>
            <w:tcW w:w="1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0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4"/>
          </w:tcPr>
          <w:p>
            <w:pPr>
              <w:jc w:val="center"/>
              <w:ind w:left="40"/>
              <w:spacing w:after="0" w:line="133" w:lineRule="exact"/>
              <w:rPr>
                <w:sz w:val="20"/>
                <w:szCs w:val="20"/>
                <w:color w:val="auto"/>
              </w:rPr>
            </w:pPr>
            <w:r>
              <w:rPr>
                <w:rFonts w:ascii="Arial" w:cs="Arial" w:eastAsia="Arial" w:hAnsi="Arial"/>
                <w:sz w:val="12"/>
                <w:szCs w:val="12"/>
                <w:color w:val="auto"/>
                <w:w w:val="95"/>
              </w:rPr>
              <w:t>NI Holdings, Inc.</w:t>
            </w:r>
          </w:p>
        </w:tc>
        <w:tc>
          <w:tcPr>
            <w:tcW w:w="8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r>
      <w:tr>
        <w:trPr>
          <w:trHeight w:val="268"/>
        </w:trPr>
        <w:tc>
          <w:tcPr>
            <w:tcW w:w="240" w:type="dxa"/>
            <w:vAlign w:val="bottom"/>
            <w:tcBorders>
              <w:left w:val="single" w:sz="8" w:color="auto"/>
            </w:tcBorders>
          </w:tcPr>
          <w:p>
            <w:pPr>
              <w:spacing w:after="0"/>
              <w:rPr>
                <w:sz w:val="23"/>
                <w:szCs w:val="23"/>
                <w:color w:val="auto"/>
              </w:rPr>
            </w:pP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80" w:type="dxa"/>
            <w:vAlign w:val="bottom"/>
          </w:tcPr>
          <w:p>
            <w:pPr>
              <w:jc w:val="center"/>
              <w:spacing w:after="0"/>
              <w:rPr>
                <w:sz w:val="20"/>
                <w:szCs w:val="20"/>
                <w:color w:val="auto"/>
              </w:rPr>
            </w:pPr>
            <w:r>
              <w:rPr>
                <w:rFonts w:ascii="Arial" w:cs="Arial" w:eastAsia="Arial" w:hAnsi="Arial"/>
                <w:sz w:val="12"/>
                <w:szCs w:val="12"/>
                <w:color w:val="auto"/>
                <w:w w:val="91"/>
              </w:rPr>
              <w:t>100%</w:t>
            </w: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r>
      <w:tr>
        <w:trPr>
          <w:trHeight w:val="153"/>
        </w:trPr>
        <w:tc>
          <w:tcPr>
            <w:tcW w:w="240" w:type="dxa"/>
            <w:vAlign w:val="bottom"/>
            <w:tcBorders>
              <w:left w:val="single" w:sz="8" w:color="auto"/>
            </w:tcBorders>
          </w:tcPr>
          <w:p>
            <w:pPr>
              <w:spacing w:after="0"/>
              <w:rPr>
                <w:sz w:val="13"/>
                <w:szCs w:val="13"/>
                <w:color w:val="auto"/>
              </w:rPr>
            </w:pPr>
          </w:p>
        </w:tc>
        <w:tc>
          <w:tcPr>
            <w:tcW w:w="1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40" w:type="dxa"/>
            <w:vAlign w:val="bottom"/>
            <w:tcBorders>
              <w:bottom w:val="single" w:sz="8" w:color="auto"/>
              <w:right w:val="single" w:sz="8" w:color="auto"/>
            </w:tcBorders>
            <w:gridSpan w:val="4"/>
          </w:tcPr>
          <w:p>
            <w:pPr>
              <w:ind w:left="760"/>
              <w:spacing w:after="0"/>
              <w:rPr>
                <w:sz w:val="20"/>
                <w:szCs w:val="20"/>
                <w:color w:val="auto"/>
              </w:rPr>
            </w:pPr>
            <w:r>
              <w:rPr>
                <w:rFonts w:ascii="Arial" w:cs="Arial" w:eastAsia="Arial" w:hAnsi="Arial"/>
                <w:sz w:val="12"/>
                <w:szCs w:val="12"/>
                <w:color w:val="auto"/>
              </w:rPr>
              <w:t>ownership</w:t>
            </w: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r>
      <w:tr>
        <w:trPr>
          <w:trHeight w:val="133"/>
        </w:trPr>
        <w:tc>
          <w:tcPr>
            <w:tcW w:w="240" w:type="dxa"/>
            <w:vAlign w:val="bottom"/>
            <w:tcBorders>
              <w:left w:val="single" w:sz="8" w:color="auto"/>
            </w:tcBorders>
          </w:tcPr>
          <w:p>
            <w:pPr>
              <w:spacing w:after="0"/>
              <w:rPr>
                <w:sz w:val="11"/>
                <w:szCs w:val="11"/>
                <w:color w:val="auto"/>
              </w:rPr>
            </w:pPr>
          </w:p>
        </w:tc>
        <w:tc>
          <w:tcPr>
            <w:tcW w:w="1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0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4"/>
          </w:tcPr>
          <w:p>
            <w:pPr>
              <w:jc w:val="center"/>
              <w:ind w:left="20"/>
              <w:spacing w:after="0" w:line="133" w:lineRule="exact"/>
              <w:rPr>
                <w:sz w:val="20"/>
                <w:szCs w:val="20"/>
                <w:color w:val="auto"/>
              </w:rPr>
            </w:pPr>
            <w:r>
              <w:rPr>
                <w:rFonts w:ascii="Arial" w:cs="Arial" w:eastAsia="Arial" w:hAnsi="Arial"/>
                <w:sz w:val="12"/>
                <w:szCs w:val="12"/>
                <w:color w:val="auto"/>
                <w:w w:val="89"/>
              </w:rPr>
              <w:t>Nodak Insurance Company</w:t>
            </w:r>
          </w:p>
        </w:tc>
        <w:tc>
          <w:tcPr>
            <w:tcW w:w="8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r>
      <w:tr>
        <w:trPr>
          <w:trHeight w:val="277"/>
        </w:trPr>
        <w:tc>
          <w:tcPr>
            <w:tcW w:w="240" w:type="dxa"/>
            <w:vAlign w:val="bottom"/>
            <w:tcBorders>
              <w:left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r>
      <w:tr>
        <w:trPr>
          <w:trHeight w:val="268"/>
        </w:trPr>
        <w:tc>
          <w:tcPr>
            <w:tcW w:w="1520" w:type="dxa"/>
            <w:vAlign w:val="bottom"/>
            <w:tcBorders>
              <w:left w:val="single" w:sz="8" w:color="auto"/>
              <w:right w:val="single" w:sz="8" w:color="auto"/>
            </w:tcBorders>
            <w:gridSpan w:val="2"/>
          </w:tcPr>
          <w:p>
            <w:pPr>
              <w:ind w:left="720"/>
              <w:spacing w:after="0"/>
              <w:rPr>
                <w:sz w:val="20"/>
                <w:szCs w:val="20"/>
                <w:color w:val="auto"/>
              </w:rPr>
            </w:pPr>
            <w:r>
              <w:rPr>
                <w:rFonts w:ascii="Arial" w:cs="Arial" w:eastAsia="Arial" w:hAnsi="Arial"/>
                <w:sz w:val="12"/>
                <w:szCs w:val="12"/>
                <w:color w:val="auto"/>
              </w:rPr>
              <w:t>100%</w:t>
            </w:r>
          </w:p>
        </w:tc>
        <w:tc>
          <w:tcPr>
            <w:tcW w:w="1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100%</w:t>
            </w: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Borders>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center"/>
              <w:ind w:right="20"/>
              <w:spacing w:after="0"/>
              <w:rPr>
                <w:sz w:val="20"/>
                <w:szCs w:val="20"/>
                <w:color w:val="auto"/>
              </w:rPr>
            </w:pPr>
            <w:r>
              <w:rPr>
                <w:rFonts w:ascii="Arial" w:cs="Arial" w:eastAsia="Arial" w:hAnsi="Arial"/>
                <w:sz w:val="12"/>
                <w:szCs w:val="12"/>
                <w:color w:val="auto"/>
                <w:w w:val="91"/>
              </w:rPr>
              <w:t>100%</w:t>
            </w:r>
          </w:p>
        </w:tc>
        <w:tc>
          <w:tcPr>
            <w:tcW w:w="2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r>
      <w:tr>
        <w:trPr>
          <w:trHeight w:val="153"/>
        </w:trPr>
        <w:tc>
          <w:tcPr>
            <w:tcW w:w="240" w:type="dxa"/>
            <w:vAlign w:val="bottom"/>
            <w:tcBorders>
              <w:left w:val="single" w:sz="8" w:color="auto"/>
            </w:tcBorders>
          </w:tcPr>
          <w:p>
            <w:pPr>
              <w:spacing w:after="0"/>
              <w:rPr>
                <w:sz w:val="13"/>
                <w:szCs w:val="13"/>
                <w:color w:val="auto"/>
              </w:rPr>
            </w:pPr>
          </w:p>
        </w:tc>
        <w:tc>
          <w:tcPr>
            <w:tcW w:w="1280" w:type="dxa"/>
            <w:vAlign w:val="bottom"/>
            <w:tcBorders>
              <w:right w:val="single" w:sz="8" w:color="auto"/>
            </w:tcBorders>
          </w:tcPr>
          <w:p>
            <w:pPr>
              <w:ind w:left="380"/>
              <w:spacing w:after="0"/>
              <w:rPr>
                <w:sz w:val="20"/>
                <w:szCs w:val="20"/>
                <w:color w:val="auto"/>
              </w:rPr>
            </w:pPr>
            <w:r>
              <w:rPr>
                <w:rFonts w:ascii="Arial" w:cs="Arial" w:eastAsia="Arial" w:hAnsi="Arial"/>
                <w:sz w:val="12"/>
                <w:szCs w:val="12"/>
                <w:color w:val="auto"/>
              </w:rPr>
              <w:t>ownership</w:t>
            </w:r>
          </w:p>
        </w:tc>
        <w:tc>
          <w:tcPr>
            <w:tcW w:w="1380" w:type="dxa"/>
            <w:vAlign w:val="bottom"/>
            <w:gridSpan w:val="2"/>
          </w:tcPr>
          <w:p>
            <w:pPr>
              <w:spacing w:after="0"/>
              <w:rPr>
                <w:sz w:val="13"/>
                <w:szCs w:val="13"/>
                <w:color w:val="auto"/>
              </w:rPr>
            </w:pPr>
          </w:p>
        </w:tc>
        <w:tc>
          <w:tcPr>
            <w:tcW w:w="2080" w:type="dxa"/>
            <w:vAlign w:val="bottom"/>
            <w:tcBorders>
              <w:right w:val="single" w:sz="8" w:color="auto"/>
            </w:tcBorders>
          </w:tcPr>
          <w:p>
            <w:pPr>
              <w:ind w:left="760"/>
              <w:spacing w:after="0"/>
              <w:rPr>
                <w:sz w:val="20"/>
                <w:szCs w:val="20"/>
                <w:color w:val="auto"/>
              </w:rPr>
            </w:pPr>
            <w:r>
              <w:rPr>
                <w:rFonts w:ascii="Arial" w:cs="Arial" w:eastAsia="Arial" w:hAnsi="Arial"/>
                <w:sz w:val="12"/>
                <w:szCs w:val="12"/>
                <w:color w:val="auto"/>
              </w:rPr>
              <w:t>ownership</w:t>
            </w:r>
          </w:p>
        </w:tc>
        <w:tc>
          <w:tcPr>
            <w:tcW w:w="1100" w:type="dxa"/>
            <w:vAlign w:val="bottom"/>
          </w:tcPr>
          <w:p>
            <w:pPr>
              <w:spacing w:after="0"/>
              <w:rPr>
                <w:sz w:val="13"/>
                <w:szCs w:val="13"/>
                <w:color w:val="auto"/>
              </w:rPr>
            </w:pPr>
          </w:p>
        </w:tc>
        <w:tc>
          <w:tcPr>
            <w:tcW w:w="360" w:type="dxa"/>
            <w:vAlign w:val="bottom"/>
            <w:gridSpan w:val="3"/>
          </w:tcPr>
          <w:p>
            <w:pPr>
              <w:spacing w:after="0"/>
              <w:rPr>
                <w:sz w:val="13"/>
                <w:szCs w:val="13"/>
                <w:color w:val="auto"/>
              </w:rPr>
            </w:pPr>
          </w:p>
        </w:tc>
        <w:tc>
          <w:tcPr>
            <w:tcW w:w="104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2"/>
                <w:szCs w:val="12"/>
                <w:color w:val="auto"/>
              </w:rPr>
              <w:t>Affiliation</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Borders>
              <w:right w:val="single" w:sz="8" w:color="auto"/>
            </w:tcBorders>
            <w:gridSpan w:val="3"/>
          </w:tcPr>
          <w:p>
            <w:pPr>
              <w:jc w:val="center"/>
              <w:ind w:right="180"/>
              <w:spacing w:after="0"/>
              <w:rPr>
                <w:sz w:val="20"/>
                <w:szCs w:val="20"/>
                <w:color w:val="auto"/>
              </w:rPr>
            </w:pPr>
            <w:r>
              <w:rPr>
                <w:rFonts w:ascii="Arial" w:cs="Arial" w:eastAsia="Arial" w:hAnsi="Arial"/>
                <w:sz w:val="12"/>
                <w:szCs w:val="12"/>
                <w:color w:val="auto"/>
                <w:w w:val="91"/>
              </w:rPr>
              <w:t>ownership</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r>
      <w:tr>
        <w:trPr>
          <w:trHeight w:val="133"/>
        </w:trPr>
        <w:tc>
          <w:tcPr>
            <w:tcW w:w="240" w:type="dxa"/>
            <w:vAlign w:val="bottom"/>
            <w:tcBorders>
              <w:left w:val="single" w:sz="8" w:color="auto"/>
              <w:right w:val="single" w:sz="8" w:color="auto"/>
            </w:tcBorders>
          </w:tcPr>
          <w:p>
            <w:pPr>
              <w:spacing w:after="0"/>
              <w:rPr>
                <w:sz w:val="11"/>
                <w:szCs w:val="11"/>
                <w:color w:val="auto"/>
              </w:rPr>
            </w:pPr>
          </w:p>
        </w:tc>
        <w:tc>
          <w:tcPr>
            <w:tcW w:w="2420" w:type="dxa"/>
            <w:vAlign w:val="bottom"/>
            <w:tcBorders>
              <w:top w:val="single" w:sz="8" w:color="auto"/>
              <w:bottom w:val="single" w:sz="8" w:color="auto"/>
              <w:right w:val="single" w:sz="8" w:color="auto"/>
            </w:tcBorders>
            <w:gridSpan w:val="2"/>
          </w:tcPr>
          <w:p>
            <w:pPr>
              <w:ind w:left="720"/>
              <w:spacing w:after="0" w:line="133" w:lineRule="exact"/>
              <w:rPr>
                <w:sz w:val="20"/>
                <w:szCs w:val="20"/>
                <w:color w:val="auto"/>
              </w:rPr>
            </w:pPr>
            <w:r>
              <w:rPr>
                <w:rFonts w:ascii="Arial" w:cs="Arial" w:eastAsia="Arial" w:hAnsi="Arial"/>
                <w:sz w:val="12"/>
                <w:szCs w:val="12"/>
                <w:color w:val="auto"/>
              </w:rPr>
              <w:t>Nodak Agency, Inc.</w:t>
            </w:r>
          </w:p>
        </w:tc>
        <w:tc>
          <w:tcPr>
            <w:tcW w:w="240" w:type="dxa"/>
            <w:vAlign w:val="bottom"/>
            <w:tcBorders>
              <w:right w:val="single" w:sz="8" w:color="auto"/>
            </w:tcBorders>
          </w:tcPr>
          <w:p>
            <w:pPr>
              <w:spacing w:after="0"/>
              <w:rPr>
                <w:sz w:val="11"/>
                <w:szCs w:val="11"/>
                <w:color w:val="auto"/>
              </w:rPr>
            </w:pPr>
          </w:p>
        </w:tc>
        <w:tc>
          <w:tcPr>
            <w:tcW w:w="3220" w:type="dxa"/>
            <w:vAlign w:val="bottom"/>
            <w:tcBorders>
              <w:top w:val="single" w:sz="8" w:color="auto"/>
              <w:bottom w:val="single" w:sz="8" w:color="auto"/>
              <w:right w:val="single" w:sz="8" w:color="auto"/>
            </w:tcBorders>
            <w:gridSpan w:val="3"/>
          </w:tcPr>
          <w:p>
            <w:pPr>
              <w:ind w:left="720"/>
              <w:spacing w:after="0" w:line="133" w:lineRule="exact"/>
              <w:rPr>
                <w:sz w:val="20"/>
                <w:szCs w:val="20"/>
                <w:color w:val="auto"/>
              </w:rPr>
            </w:pPr>
            <w:r>
              <w:rPr>
                <w:rFonts w:ascii="Arial" w:cs="Arial" w:eastAsia="Arial" w:hAnsi="Arial"/>
                <w:sz w:val="12"/>
                <w:szCs w:val="12"/>
                <w:color w:val="auto"/>
              </w:rPr>
              <w:t>American West Insurance Company</w:t>
            </w:r>
          </w:p>
        </w:tc>
        <w:tc>
          <w:tcPr>
            <w:tcW w:w="220" w:type="dxa"/>
            <w:vAlign w:val="bottom"/>
            <w:tcBorders>
              <w:right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2200" w:type="dxa"/>
            <w:vAlign w:val="bottom"/>
            <w:tcBorders>
              <w:top w:val="single" w:sz="8" w:color="auto"/>
              <w:bottom w:val="single" w:sz="8" w:color="auto"/>
              <w:right w:val="single" w:sz="8" w:color="auto"/>
            </w:tcBorders>
            <w:gridSpan w:val="4"/>
          </w:tcPr>
          <w:p>
            <w:pPr>
              <w:jc w:val="right"/>
              <w:ind w:right="120"/>
              <w:spacing w:after="0" w:line="133" w:lineRule="exact"/>
              <w:rPr>
                <w:sz w:val="20"/>
                <w:szCs w:val="20"/>
                <w:color w:val="auto"/>
              </w:rPr>
            </w:pPr>
            <w:r>
              <w:rPr>
                <w:rFonts w:ascii="Arial" w:cs="Arial" w:eastAsia="Arial" w:hAnsi="Arial"/>
                <w:sz w:val="12"/>
                <w:szCs w:val="12"/>
                <w:color w:val="auto"/>
                <w:w w:val="92"/>
              </w:rPr>
              <w:t>Battle Creek Mutual Insurance Company</w:t>
            </w:r>
          </w:p>
        </w:tc>
        <w:tc>
          <w:tcPr>
            <w:tcW w:w="220" w:type="dxa"/>
            <w:vAlign w:val="bottom"/>
            <w:tcBorders>
              <w:right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940" w:type="dxa"/>
            <w:vAlign w:val="bottom"/>
            <w:tcBorders>
              <w:top w:val="single" w:sz="8" w:color="auto"/>
              <w:bottom w:val="single" w:sz="8" w:color="auto"/>
            </w:tcBorders>
            <w:gridSpan w:val="5"/>
          </w:tcPr>
          <w:p>
            <w:pPr>
              <w:jc w:val="right"/>
              <w:ind w:right="527"/>
              <w:spacing w:after="0" w:line="133" w:lineRule="exact"/>
              <w:rPr>
                <w:sz w:val="20"/>
                <w:szCs w:val="20"/>
                <w:color w:val="auto"/>
              </w:rPr>
            </w:pPr>
            <w:r>
              <w:rPr>
                <w:rFonts w:ascii="Arial" w:cs="Arial" w:eastAsia="Arial" w:hAnsi="Arial"/>
                <w:sz w:val="12"/>
                <w:szCs w:val="12"/>
                <w:color w:val="auto"/>
              </w:rPr>
              <w:t>Tri-State, Ltd</w:t>
            </w:r>
          </w:p>
        </w:tc>
        <w:tc>
          <w:tcPr>
            <w:tcW w:w="320" w:type="dxa"/>
            <w:vAlign w:val="bottom"/>
            <w:tcBorders>
              <w:top w:val="single" w:sz="8" w:color="auto"/>
              <w:bottom w:val="single" w:sz="8" w:color="auto"/>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r>
      <w:tr>
        <w:trPr>
          <w:trHeight w:val="268"/>
        </w:trPr>
        <w:tc>
          <w:tcPr>
            <w:tcW w:w="240" w:type="dxa"/>
            <w:vAlign w:val="bottom"/>
            <w:tcBorders>
              <w:left w:val="single" w:sz="8" w:color="auto"/>
            </w:tcBorders>
          </w:tcPr>
          <w:p>
            <w:pPr>
              <w:spacing w:after="0"/>
              <w:rPr>
                <w:sz w:val="23"/>
                <w:szCs w:val="23"/>
                <w:color w:val="auto"/>
              </w:rPr>
            </w:pP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center"/>
              <w:ind w:right="20"/>
              <w:spacing w:after="0"/>
              <w:rPr>
                <w:sz w:val="20"/>
                <w:szCs w:val="20"/>
                <w:color w:val="auto"/>
              </w:rPr>
            </w:pPr>
            <w:r>
              <w:rPr>
                <w:rFonts w:ascii="Arial" w:cs="Arial" w:eastAsia="Arial" w:hAnsi="Arial"/>
                <w:sz w:val="12"/>
                <w:szCs w:val="12"/>
                <w:color w:val="auto"/>
                <w:w w:val="91"/>
              </w:rPr>
              <w:t>100%</w:t>
            </w:r>
          </w:p>
        </w:tc>
        <w:tc>
          <w:tcPr>
            <w:tcW w:w="2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r>
      <w:tr>
        <w:trPr>
          <w:trHeight w:val="153"/>
        </w:trPr>
        <w:tc>
          <w:tcPr>
            <w:tcW w:w="240" w:type="dxa"/>
            <w:vAlign w:val="bottom"/>
            <w:tcBorders>
              <w:left w:val="single" w:sz="8" w:color="auto"/>
            </w:tcBorders>
          </w:tcPr>
          <w:p>
            <w:pPr>
              <w:spacing w:after="0"/>
              <w:rPr>
                <w:sz w:val="13"/>
                <w:szCs w:val="13"/>
                <w:color w:val="auto"/>
              </w:rPr>
            </w:pPr>
          </w:p>
        </w:tc>
        <w:tc>
          <w:tcPr>
            <w:tcW w:w="1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right w:val="single" w:sz="8" w:color="auto"/>
            </w:tcBorders>
            <w:gridSpan w:val="3"/>
          </w:tcPr>
          <w:p>
            <w:pPr>
              <w:jc w:val="center"/>
              <w:ind w:right="180"/>
              <w:spacing w:after="0"/>
              <w:rPr>
                <w:sz w:val="20"/>
                <w:szCs w:val="20"/>
                <w:color w:val="auto"/>
              </w:rPr>
            </w:pPr>
            <w:r>
              <w:rPr>
                <w:rFonts w:ascii="Arial" w:cs="Arial" w:eastAsia="Arial" w:hAnsi="Arial"/>
                <w:sz w:val="12"/>
                <w:szCs w:val="12"/>
                <w:color w:val="auto"/>
                <w:w w:val="91"/>
              </w:rPr>
              <w:t>ownership</w:t>
            </w: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r>
      <w:tr>
        <w:trPr>
          <w:trHeight w:val="133"/>
        </w:trPr>
        <w:tc>
          <w:tcPr>
            <w:tcW w:w="240" w:type="dxa"/>
            <w:vAlign w:val="bottom"/>
            <w:tcBorders>
              <w:left w:val="single" w:sz="8" w:color="auto"/>
            </w:tcBorders>
          </w:tcPr>
          <w:p>
            <w:pPr>
              <w:spacing w:after="0"/>
              <w:rPr>
                <w:sz w:val="11"/>
                <w:szCs w:val="11"/>
                <w:color w:val="auto"/>
              </w:rPr>
            </w:pPr>
          </w:p>
        </w:tc>
        <w:tc>
          <w:tcPr>
            <w:tcW w:w="1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gridSpan w:val="5"/>
          </w:tcPr>
          <w:p>
            <w:pPr>
              <w:jc w:val="right"/>
              <w:ind w:right="147"/>
              <w:spacing w:after="0" w:line="133" w:lineRule="exact"/>
              <w:rPr>
                <w:sz w:val="20"/>
                <w:szCs w:val="20"/>
                <w:color w:val="auto"/>
              </w:rPr>
            </w:pPr>
            <w:r>
              <w:rPr>
                <w:rFonts w:ascii="Arial" w:cs="Arial" w:eastAsia="Arial" w:hAnsi="Arial"/>
                <w:sz w:val="12"/>
                <w:szCs w:val="12"/>
                <w:color w:val="auto"/>
              </w:rPr>
              <w:t>Primero Insurance Company</w:t>
            </w:r>
          </w:p>
        </w:tc>
        <w:tc>
          <w:tcPr>
            <w:tcW w:w="320" w:type="dxa"/>
            <w:vAlign w:val="bottom"/>
            <w:tcBorders>
              <w:bottom w:val="single" w:sz="8" w:color="auto"/>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r>
      <w:tr>
        <w:trPr>
          <w:trHeight w:val="133"/>
        </w:trPr>
        <w:tc>
          <w:tcPr>
            <w:tcW w:w="240" w:type="dxa"/>
            <w:vAlign w:val="bottom"/>
            <w:tcBorders>
              <w:left w:val="single" w:sz="8" w:color="auto"/>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r>
      <w:tr>
        <w:trPr>
          <w:trHeight w:val="403"/>
        </w:trPr>
        <w:tc>
          <w:tcPr>
            <w:tcW w:w="240" w:type="dxa"/>
            <w:vAlign w:val="bottom"/>
          </w:tcPr>
          <w:p>
            <w:pPr>
              <w:spacing w:after="0"/>
              <w:rPr>
                <w:sz w:val="24"/>
                <w:szCs w:val="24"/>
                <w:color w:val="auto"/>
              </w:rPr>
            </w:pPr>
          </w:p>
        </w:tc>
        <w:tc>
          <w:tcPr>
            <w:tcW w:w="9880" w:type="dxa"/>
            <w:vAlign w:val="bottom"/>
            <w:gridSpan w:val="18"/>
          </w:tcPr>
          <w:p>
            <w:pPr>
              <w:ind w:left="180"/>
              <w:spacing w:after="0"/>
              <w:rPr>
                <w:sz w:val="20"/>
                <w:szCs w:val="20"/>
                <w:color w:val="auto"/>
              </w:rPr>
            </w:pPr>
            <w:r>
              <w:rPr>
                <w:rFonts w:ascii="Arial" w:cs="Arial" w:eastAsia="Arial" w:hAnsi="Arial"/>
                <w:sz w:val="12"/>
                <w:szCs w:val="12"/>
                <w:color w:val="auto"/>
                <w:w w:val="92"/>
              </w:rPr>
              <w:t>The following tables provide selected amounts from the Company’s Unaudited Consolidated Statements of Operations and Balance Sheets. Additional information can be found later in this section.</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0"/>
        </w:trPr>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20" w:type="dxa"/>
            <w:vAlign w:val="bottom"/>
            <w:gridSpan w:val="5"/>
          </w:tcPr>
          <w:p>
            <w:pPr>
              <w:ind w:left="140"/>
              <w:spacing w:after="0"/>
              <w:rPr>
                <w:sz w:val="20"/>
                <w:szCs w:val="20"/>
                <w:color w:val="auto"/>
              </w:rPr>
            </w:pPr>
            <w:r>
              <w:rPr>
                <w:rFonts w:ascii="Arial" w:cs="Arial" w:eastAsia="Arial" w:hAnsi="Arial"/>
                <w:sz w:val="12"/>
                <w:szCs w:val="12"/>
                <w:b w:val="1"/>
                <w:bCs w:val="1"/>
                <w:color w:val="auto"/>
              </w:rPr>
              <w:t>Three Months Ended June 30,</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40" w:type="dxa"/>
            <w:vAlign w:val="bottom"/>
            <w:gridSpan w:val="5"/>
          </w:tcPr>
          <w:p>
            <w:pPr>
              <w:jc w:val="right"/>
              <w:ind w:right="67"/>
              <w:spacing w:after="0"/>
              <w:rPr>
                <w:sz w:val="20"/>
                <w:szCs w:val="20"/>
                <w:color w:val="auto"/>
              </w:rPr>
            </w:pPr>
            <w:r>
              <w:rPr>
                <w:rFonts w:ascii="Arial" w:cs="Arial" w:eastAsia="Arial" w:hAnsi="Arial"/>
                <w:sz w:val="12"/>
                <w:szCs w:val="12"/>
                <w:b w:val="1"/>
                <w:bCs w:val="1"/>
                <w:color w:val="auto"/>
              </w:rPr>
              <w:t>Six Months Ended June 30,</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42"/>
        </w:trPr>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2018</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2017</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2018</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2017</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33"/>
        </w:trPr>
        <w:tc>
          <w:tcPr>
            <w:tcW w:w="2900" w:type="dxa"/>
            <w:vAlign w:val="bottom"/>
            <w:tcBorders>
              <w:top w:val="single" w:sz="8" w:color="CCEEFF"/>
              <w:left w:val="single" w:sz="8" w:color="CCEEFF"/>
              <w:right w:val="single" w:sz="8" w:color="CCEEFF"/>
            </w:tcBorders>
            <w:gridSpan w:val="4"/>
            <w:shd w:val="clear" w:color="auto" w:fill="CCEEFF"/>
          </w:tcPr>
          <w:p>
            <w:pPr>
              <w:spacing w:after="0" w:line="133" w:lineRule="exact"/>
              <w:rPr>
                <w:sz w:val="20"/>
                <w:szCs w:val="20"/>
                <w:color w:val="auto"/>
              </w:rPr>
            </w:pPr>
            <w:r>
              <w:rPr>
                <w:rFonts w:ascii="Arial" w:cs="Arial" w:eastAsia="Arial" w:hAnsi="Arial"/>
                <w:sz w:val="12"/>
                <w:szCs w:val="12"/>
                <w:color w:val="auto"/>
              </w:rPr>
              <w:t>Direct premiums written</w:t>
            </w:r>
          </w:p>
        </w:tc>
        <w:tc>
          <w:tcPr>
            <w:tcW w:w="3180" w:type="dxa"/>
            <w:vAlign w:val="bottom"/>
            <w:tcBorders>
              <w:top w:val="single" w:sz="8" w:color="CCEEFF"/>
            </w:tcBorders>
            <w:gridSpan w:val="2"/>
            <w:shd w:val="clear" w:color="auto" w:fill="CCEEFF"/>
          </w:tcPr>
          <w:p>
            <w:pPr>
              <w:spacing w:after="0"/>
              <w:rPr>
                <w:sz w:val="11"/>
                <w:szCs w:val="11"/>
                <w:color w:val="auto"/>
              </w:rPr>
            </w:pPr>
          </w:p>
        </w:tc>
        <w:tc>
          <w:tcPr>
            <w:tcW w:w="260" w:type="dxa"/>
            <w:vAlign w:val="bottom"/>
            <w:tcBorders>
              <w:top w:val="single" w:sz="8" w:color="auto"/>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88,580</w:t>
            </w:r>
          </w:p>
        </w:tc>
        <w:tc>
          <w:tcPr>
            <w:tcW w:w="240" w:type="dxa"/>
            <w:vAlign w:val="bottom"/>
            <w:tcBorders>
              <w:top w:val="single" w:sz="8" w:color="CCEEFF"/>
              <w:right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right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83,671</w:t>
            </w:r>
          </w:p>
        </w:tc>
        <w:tc>
          <w:tcPr>
            <w:tcW w:w="220" w:type="dxa"/>
            <w:vAlign w:val="bottom"/>
            <w:tcBorders>
              <w:top w:val="single" w:sz="8" w:color="CCEEFF"/>
              <w:right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5"/>
                <w:szCs w:val="5"/>
                <w:color w:val="auto"/>
                <w:w w:val="70"/>
              </w:rPr>
              <w:t>$</w:t>
            </w:r>
          </w:p>
        </w:tc>
        <w:tc>
          <w:tcPr>
            <w:tcW w:w="1020" w:type="dxa"/>
            <w:vAlign w:val="bottom"/>
            <w:tcBorders>
              <w:top w:val="single" w:sz="8" w:color="auto"/>
            </w:tcBorders>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127,854</w:t>
            </w:r>
          </w:p>
        </w:tc>
        <w:tc>
          <w:tcPr>
            <w:tcW w:w="100" w:type="dxa"/>
            <w:vAlign w:val="bottom"/>
            <w:tcBorders>
              <w:top w:val="single" w:sz="8" w:color="CCEEFF"/>
              <w:right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ind w:right="587"/>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w w:val="92"/>
              </w:rPr>
              <w:t>120,051</w:t>
            </w:r>
          </w:p>
        </w:tc>
        <w:tc>
          <w:tcPr>
            <w:tcW w:w="120" w:type="dxa"/>
            <w:vAlign w:val="bottom"/>
            <w:tcBorders>
              <w:top w:val="single" w:sz="8" w:color="CCEEFF"/>
              <w:right w:val="single" w:sz="8" w:color="CCEEFF"/>
            </w:tcBorders>
            <w:shd w:val="clear" w:color="auto" w:fill="CCEEFF"/>
          </w:tcPr>
          <w:p>
            <w:pPr>
              <w:spacing w:after="0"/>
              <w:rPr>
                <w:sz w:val="11"/>
                <w:szCs w:val="11"/>
                <w:color w:val="auto"/>
              </w:rPr>
            </w:pPr>
          </w:p>
        </w:tc>
      </w:tr>
      <w:tr>
        <w:trPr>
          <w:trHeight w:val="144"/>
        </w:trPr>
        <w:tc>
          <w:tcPr>
            <w:tcW w:w="2900" w:type="dxa"/>
            <w:vAlign w:val="bottom"/>
            <w:gridSpan w:val="4"/>
          </w:tcPr>
          <w:p>
            <w:pPr>
              <w:spacing w:after="0"/>
              <w:rPr>
                <w:sz w:val="20"/>
                <w:szCs w:val="20"/>
                <w:color w:val="auto"/>
              </w:rPr>
            </w:pPr>
            <w:r>
              <w:rPr>
                <w:rFonts w:ascii="Arial" w:cs="Arial" w:eastAsia="Arial" w:hAnsi="Arial"/>
                <w:sz w:val="12"/>
                <w:szCs w:val="12"/>
                <w:color w:val="auto"/>
              </w:rPr>
              <w:t>Net premiums earned</w:t>
            </w:r>
          </w:p>
        </w:tc>
        <w:tc>
          <w:tcPr>
            <w:tcW w:w="2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50,677</w:t>
            </w: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45,653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2"/>
                <w:szCs w:val="12"/>
                <w:color w:val="auto"/>
              </w:rPr>
              <w:t>86,789</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2"/>
                <w:szCs w:val="12"/>
                <w:color w:val="auto"/>
              </w:rPr>
              <w:t>78,462</w:t>
            </w:r>
          </w:p>
        </w:tc>
      </w:tr>
      <w:tr>
        <w:trPr>
          <w:trHeight w:val="144"/>
        </w:trPr>
        <w:tc>
          <w:tcPr>
            <w:tcW w:w="2900" w:type="dxa"/>
            <w:vAlign w:val="bottom"/>
            <w:tcBorders>
              <w:left w:val="single" w:sz="8" w:color="CCEEFF"/>
              <w:right w:val="single" w:sz="8" w:color="CCEEFF"/>
            </w:tcBorders>
            <w:gridSpan w:val="4"/>
            <w:shd w:val="clear" w:color="auto" w:fill="CCEEFF"/>
          </w:tcPr>
          <w:p>
            <w:pPr>
              <w:spacing w:after="0"/>
              <w:rPr>
                <w:sz w:val="20"/>
                <w:szCs w:val="20"/>
                <w:color w:val="auto"/>
              </w:rPr>
            </w:pPr>
            <w:r>
              <w:rPr>
                <w:rFonts w:ascii="Arial" w:cs="Arial" w:eastAsia="Arial" w:hAnsi="Arial"/>
                <w:sz w:val="12"/>
                <w:szCs w:val="12"/>
                <w:color w:val="auto"/>
              </w:rPr>
              <w:t>Net income before non-controlling interest</w:t>
            </w:r>
          </w:p>
        </w:tc>
        <w:tc>
          <w:tcPr>
            <w:tcW w:w="2080" w:type="dxa"/>
            <w:vAlign w:val="bottom"/>
            <w:tcBorders>
              <w:right w:val="single" w:sz="8" w:color="CCEEFF"/>
            </w:tcBorders>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256</w:t>
            </w:r>
          </w:p>
        </w:tc>
        <w:tc>
          <w:tcPr>
            <w:tcW w:w="260" w:type="dxa"/>
            <w:vAlign w:val="bottom"/>
            <w:shd w:val="clear" w:color="auto" w:fill="CCEEFF"/>
          </w:tcPr>
          <w:p>
            <w:pPr>
              <w:spacing w:after="0"/>
              <w:rPr>
                <w:sz w:val="12"/>
                <w:szCs w:val="12"/>
                <w:color w:val="auto"/>
              </w:rPr>
            </w:pPr>
          </w:p>
        </w:tc>
        <w:tc>
          <w:tcPr>
            <w:tcW w:w="11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117</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6,408</w:t>
            </w:r>
          </w:p>
        </w:tc>
        <w:tc>
          <w:tcPr>
            <w:tcW w:w="1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4,866</w:t>
            </w:r>
          </w:p>
        </w:tc>
      </w:tr>
      <w:tr>
        <w:trPr>
          <w:trHeight w:val="414"/>
        </w:trPr>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June 30, 2018</w:t>
            </w:r>
          </w:p>
        </w:tc>
        <w:tc>
          <w:tcPr>
            <w:tcW w:w="120" w:type="dxa"/>
            <w:vAlign w:val="bottom"/>
          </w:tcPr>
          <w:p>
            <w:pPr>
              <w:spacing w:after="0"/>
              <w:rPr>
                <w:sz w:val="24"/>
                <w:szCs w:val="24"/>
                <w:color w:val="auto"/>
              </w:rPr>
            </w:pPr>
          </w:p>
        </w:tc>
        <w:tc>
          <w:tcPr>
            <w:tcW w:w="1240" w:type="dxa"/>
            <w:vAlign w:val="bottom"/>
            <w:gridSpan w:val="4"/>
          </w:tcPr>
          <w:p>
            <w:pPr>
              <w:jc w:val="right"/>
              <w:ind w:right="200"/>
              <w:spacing w:after="0"/>
              <w:rPr>
                <w:sz w:val="20"/>
                <w:szCs w:val="20"/>
                <w:color w:val="auto"/>
              </w:rPr>
            </w:pPr>
            <w:r>
              <w:rPr>
                <w:rFonts w:ascii="Arial" w:cs="Arial" w:eastAsia="Arial" w:hAnsi="Arial"/>
                <w:sz w:val="12"/>
                <w:szCs w:val="12"/>
                <w:b w:val="1"/>
                <w:bCs w:val="1"/>
                <w:color w:val="auto"/>
                <w:w w:val="94"/>
              </w:rPr>
              <w:t>December 31, 2017</w:t>
            </w:r>
          </w:p>
        </w:tc>
      </w:tr>
      <w:tr>
        <w:trPr>
          <w:trHeight w:val="133"/>
        </w:trPr>
        <w:tc>
          <w:tcPr>
            <w:tcW w:w="2900" w:type="dxa"/>
            <w:vAlign w:val="bottom"/>
            <w:tcBorders>
              <w:top w:val="single" w:sz="8" w:color="CCEEFF"/>
              <w:left w:val="single" w:sz="8" w:color="CCEEFF"/>
              <w:right w:val="single" w:sz="8" w:color="CCEEFF"/>
            </w:tcBorders>
            <w:gridSpan w:val="4"/>
            <w:shd w:val="clear" w:color="auto" w:fill="CCEEFF"/>
          </w:tcPr>
          <w:p>
            <w:pPr>
              <w:spacing w:after="0" w:line="133" w:lineRule="exact"/>
              <w:rPr>
                <w:sz w:val="20"/>
                <w:szCs w:val="20"/>
                <w:color w:val="auto"/>
              </w:rPr>
            </w:pPr>
            <w:r>
              <w:rPr>
                <w:rFonts w:ascii="Arial" w:cs="Arial" w:eastAsia="Arial" w:hAnsi="Arial"/>
                <w:sz w:val="12"/>
                <w:szCs w:val="12"/>
                <w:color w:val="auto"/>
              </w:rPr>
              <w:t>Total assets</w:t>
            </w:r>
          </w:p>
        </w:tc>
        <w:tc>
          <w:tcPr>
            <w:tcW w:w="2080" w:type="dxa"/>
            <w:vAlign w:val="bottom"/>
            <w:tcBorders>
              <w:top w:val="single" w:sz="8" w:color="CCEEFF"/>
              <w:right w:val="single" w:sz="8" w:color="CCEEFF"/>
            </w:tcBorders>
            <w:shd w:val="clear" w:color="auto" w:fill="CCEEFF"/>
          </w:tcPr>
          <w:p>
            <w:pPr>
              <w:spacing w:after="0"/>
              <w:rPr>
                <w:sz w:val="11"/>
                <w:szCs w:val="11"/>
                <w:color w:val="auto"/>
              </w:rPr>
            </w:pPr>
          </w:p>
        </w:tc>
        <w:tc>
          <w:tcPr>
            <w:tcW w:w="1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right w:val="single" w:sz="8" w:color="CCEEFF"/>
            </w:tcBorders>
            <w:shd w:val="clear" w:color="auto" w:fill="CCEEFF"/>
          </w:tcPr>
          <w:p>
            <w:pPr>
              <w:spacing w:after="0"/>
              <w:rPr>
                <w:sz w:val="11"/>
                <w:szCs w:val="11"/>
                <w:color w:val="auto"/>
              </w:rPr>
            </w:pPr>
          </w:p>
        </w:tc>
        <w:tc>
          <w:tcPr>
            <w:tcW w:w="220" w:type="dxa"/>
            <w:vAlign w:val="bottom"/>
            <w:tcBorders>
              <w:top w:val="single" w:sz="8" w:color="CCEEFF"/>
              <w:right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right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CCEEFF"/>
              <w:right w:val="single" w:sz="8" w:color="CCEEFF"/>
            </w:tcBorders>
            <w:shd w:val="clear" w:color="auto" w:fill="CCEEFF"/>
          </w:tcPr>
          <w:p>
            <w:pPr>
              <w:spacing w:after="0"/>
              <w:rPr>
                <w:sz w:val="11"/>
                <w:szCs w:val="11"/>
                <w:color w:val="auto"/>
              </w:rPr>
            </w:pPr>
          </w:p>
        </w:tc>
        <w:tc>
          <w:tcPr>
            <w:tcW w:w="220" w:type="dxa"/>
            <w:vAlign w:val="bottom"/>
            <w:tcBorders>
              <w:top w:val="single" w:sz="8" w:color="CCEEFF"/>
              <w:right w:val="single" w:sz="8" w:color="CCEEFF"/>
            </w:tcBorders>
            <w:shd w:val="clear" w:color="auto" w:fill="CCEEFF"/>
          </w:tcPr>
          <w:p>
            <w:pPr>
              <w:spacing w:after="0"/>
              <w:rPr>
                <w:sz w:val="11"/>
                <w:szCs w:val="11"/>
                <w:color w:val="auto"/>
              </w:rPr>
            </w:pPr>
          </w:p>
        </w:tc>
        <w:tc>
          <w:tcPr>
            <w:tcW w:w="140" w:type="dxa"/>
            <w:vAlign w:val="bottom"/>
            <w:tcBorders>
              <w:top w:val="single" w:sz="8" w:color="auto"/>
            </w:tcBorders>
            <w:gridSpan w:val="2"/>
            <w:shd w:val="clear" w:color="auto" w:fill="CCEEFF"/>
          </w:tcPr>
          <w:p>
            <w:pPr>
              <w:jc w:val="right"/>
              <w:ind w:right="75"/>
              <w:spacing w:after="0"/>
              <w:rPr>
                <w:sz w:val="20"/>
                <w:szCs w:val="20"/>
                <w:color w:val="auto"/>
              </w:rPr>
            </w:pPr>
            <w:r>
              <w:rPr>
                <w:rFonts w:ascii="Arial" w:cs="Arial" w:eastAsia="Arial" w:hAnsi="Arial"/>
                <w:sz w:val="5"/>
                <w:szCs w:val="5"/>
                <w:color w:val="auto"/>
                <w:w w:val="70"/>
              </w:rPr>
              <w:t>$</w:t>
            </w:r>
          </w:p>
        </w:tc>
        <w:tc>
          <w:tcPr>
            <w:tcW w:w="10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441,398</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right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ind w:right="587"/>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w w:val="92"/>
              </w:rPr>
              <w:t>376,988</w:t>
            </w:r>
          </w:p>
        </w:tc>
        <w:tc>
          <w:tcPr>
            <w:tcW w:w="120" w:type="dxa"/>
            <w:vAlign w:val="bottom"/>
            <w:tcBorders>
              <w:top w:val="single" w:sz="8" w:color="CCEEFF"/>
              <w:right w:val="single" w:sz="8" w:color="CCEEFF"/>
            </w:tcBorders>
            <w:shd w:val="clear" w:color="auto" w:fill="CCEEFF"/>
          </w:tcPr>
          <w:p>
            <w:pPr>
              <w:spacing w:after="0"/>
              <w:rPr>
                <w:sz w:val="11"/>
                <w:szCs w:val="11"/>
                <w:color w:val="auto"/>
              </w:rPr>
            </w:pPr>
          </w:p>
        </w:tc>
      </w:tr>
      <w:tr>
        <w:trPr>
          <w:trHeight w:val="153"/>
        </w:trPr>
        <w:tc>
          <w:tcPr>
            <w:tcW w:w="2900" w:type="dxa"/>
            <w:vAlign w:val="bottom"/>
            <w:gridSpan w:val="4"/>
          </w:tcPr>
          <w:p>
            <w:pPr>
              <w:spacing w:after="0"/>
              <w:rPr>
                <w:sz w:val="20"/>
                <w:szCs w:val="20"/>
                <w:color w:val="auto"/>
              </w:rPr>
            </w:pPr>
            <w:r>
              <w:rPr>
                <w:rFonts w:ascii="Arial" w:cs="Arial" w:eastAsia="Arial" w:hAnsi="Arial"/>
                <w:sz w:val="12"/>
                <w:szCs w:val="12"/>
                <w:color w:val="auto"/>
              </w:rPr>
              <w:t>Equity</w:t>
            </w:r>
          </w:p>
        </w:tc>
        <w:tc>
          <w:tcPr>
            <w:tcW w:w="2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259,566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2"/>
                <w:szCs w:val="12"/>
                <w:color w:val="auto"/>
                <w:w w:val="92"/>
              </w:rPr>
              <w:t>255,573</w:t>
            </w:r>
          </w:p>
        </w:tc>
      </w:tr>
    </w:tbl>
    <w:p>
      <w:pPr>
        <w:spacing w:after="0" w:line="2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Marketplace Conditions and Trends</w:t>
      </w:r>
    </w:p>
    <w:p>
      <w:pPr>
        <w:spacing w:after="0" w:line="127" w:lineRule="exact"/>
        <w:rPr>
          <w:sz w:val="20"/>
          <w:szCs w:val="20"/>
          <w:color w:val="auto"/>
        </w:rPr>
      </w:pPr>
    </w:p>
    <w:p>
      <w:pPr>
        <w:ind w:right="20" w:firstLine="432"/>
        <w:spacing w:after="0" w:line="263" w:lineRule="auto"/>
        <w:rPr>
          <w:sz w:val="20"/>
          <w:szCs w:val="20"/>
          <w:color w:val="auto"/>
        </w:rPr>
      </w:pPr>
      <w:r>
        <w:rPr>
          <w:rFonts w:ascii="Arial" w:cs="Arial" w:eastAsia="Arial" w:hAnsi="Arial"/>
          <w:sz w:val="12"/>
          <w:szCs w:val="12"/>
          <w:color w:val="auto"/>
        </w:rPr>
        <w:t>The property and casualty insurance industry is affected by recurring industry cycles known as “hard” and “soft” markets. A soft cycle is characterized by intense competition resulting in lower pricing in order to compete for business. A hard market, generally considered a beneficial industry trend, is characterized by reduced competition that results in higher pricing. We believe that the market is in a “firming” phase in response to higher frequency and severity of weather-related events in our markets as well as the rest of the world.</w:t>
      </w:r>
    </w:p>
    <w:p>
      <w:pPr>
        <w:spacing w:after="0" w:line="96" w:lineRule="exact"/>
        <w:rPr>
          <w:sz w:val="20"/>
          <w:szCs w:val="20"/>
          <w:color w:val="auto"/>
        </w:rPr>
      </w:pPr>
    </w:p>
    <w:p>
      <w:pPr>
        <w:ind w:right="40" w:firstLine="432"/>
        <w:spacing w:after="0" w:line="263" w:lineRule="auto"/>
        <w:rPr>
          <w:sz w:val="20"/>
          <w:szCs w:val="20"/>
          <w:color w:val="auto"/>
        </w:rPr>
      </w:pPr>
      <w:r>
        <w:rPr>
          <w:rFonts w:ascii="Arial" w:cs="Arial" w:eastAsia="Arial" w:hAnsi="Arial"/>
          <w:sz w:val="12"/>
          <w:szCs w:val="12"/>
          <w:color w:val="auto"/>
        </w:rPr>
        <w:t>Unlike property and casualty insurance, the total crop insurance premiums written each year vary mainly based on prevailing commodity prices for the type of crops planted, because the aggregate number of acres planted does not vary much from year to year. Because the premiums that are charged for crop insurance are established by the Risk Management Agency (“RMA”), which is a division of the United States Department of Agriculture, and the policy forms and terms are also established by the RMA, insurers do</w:t>
      </w:r>
    </w:p>
    <w:p>
      <w:pPr>
        <w:spacing w:after="0" w:line="123"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2340" cy="17145"/>
                    </a:xfrm>
                    <a:prstGeom prst="rect">
                      <a:avLst/>
                    </a:prstGeom>
                    <a:noFill/>
                  </pic:spPr>
                </pic:pic>
              </a:graphicData>
            </a:graphic>
          </wp:anchor>
        </w:drawing>
      </w:r>
    </w:p>
    <w:p>
      <w:pPr>
        <w:sectPr>
          <w:pgSz w:w="11900" w:h="16838" w:orient="portrait"/>
          <w:cols w:equalWidth="0" w:num="1">
            <w:col w:w="11480"/>
          </w:cols>
          <w:pgMar w:left="220" w:top="203" w:right="199" w:bottom="1440" w:gutter="0" w:footer="0" w:header="0"/>
        </w:sectPr>
      </w:pPr>
    </w:p>
    <w:bookmarkStart w:id="38" w:name="page39"/>
    <w:bookmarkEnd w:id="38"/>
    <w:p>
      <w:pPr>
        <w:ind w:left="2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50"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not compete on price or policy terms and conditions. Moreover, because participation in other federal farm programs by a farmer is conditioned upon participation in the federal crop insurance program, most farmers obtain crop insurance on their plantings each year.</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Principal Revenue Items</w:t>
      </w:r>
    </w:p>
    <w:p>
      <w:pPr>
        <w:spacing w:after="0" w:line="13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Company derives its revenue primarily from net premiums earned, net investment income, and net realized capital gain (loss) on investments.</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Gross and net premiums written</w:t>
      </w:r>
    </w:p>
    <w:p>
      <w:pPr>
        <w:spacing w:after="0" w:line="123" w:lineRule="exact"/>
        <w:rPr>
          <w:sz w:val="20"/>
          <w:szCs w:val="20"/>
          <w:color w:val="auto"/>
        </w:rPr>
      </w:pPr>
    </w:p>
    <w:p>
      <w:pPr>
        <w:ind w:right="340" w:firstLine="432"/>
        <w:spacing w:after="0" w:line="276" w:lineRule="auto"/>
        <w:rPr>
          <w:sz w:val="20"/>
          <w:szCs w:val="20"/>
          <w:color w:val="auto"/>
        </w:rPr>
      </w:pPr>
      <w:r>
        <w:rPr>
          <w:rFonts w:ascii="Arial" w:cs="Arial" w:eastAsia="Arial" w:hAnsi="Arial"/>
          <w:sz w:val="12"/>
          <w:szCs w:val="12"/>
          <w:color w:val="auto"/>
        </w:rPr>
        <w:t>Gross premiums written is equal to direct premiums written and assumed premiums before the effect of ceded reinsurance. Gross premiums written are recognized upon sale of new insurance contracts or renewal of existing contracts. Net premiums written is equal to gross premiums written less premiums ceded or paid to reinsurers (ceded premiums written).</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Premiums earned</w:t>
      </w:r>
    </w:p>
    <w:p>
      <w:pPr>
        <w:spacing w:after="0" w:line="123" w:lineRule="exact"/>
        <w:rPr>
          <w:sz w:val="20"/>
          <w:szCs w:val="20"/>
          <w:color w:val="auto"/>
        </w:rPr>
      </w:pPr>
    </w:p>
    <w:p>
      <w:pPr>
        <w:ind w:right="40" w:firstLine="432"/>
        <w:spacing w:after="0" w:line="290" w:lineRule="auto"/>
        <w:rPr>
          <w:sz w:val="20"/>
          <w:szCs w:val="20"/>
          <w:color w:val="auto"/>
        </w:rPr>
      </w:pPr>
      <w:r>
        <w:rPr>
          <w:rFonts w:ascii="Arial" w:cs="Arial" w:eastAsia="Arial" w:hAnsi="Arial"/>
          <w:sz w:val="11"/>
          <w:szCs w:val="11"/>
          <w:color w:val="auto"/>
        </w:rPr>
        <w:t>Premiums earned is the earned portion of net premiums written. Gross premiums written include all premiums recorded by an insurance company during a specified policy period. Insurance premiums on property and casualty policies are recognized in proportion to the underlying risk insured and are earned ratably over the duration of the policies or, in the case of crop insurance, over the period of risk to the Company. At the end of each accounting period, the portion of the premiums that is not yet earned is included in unearned premiums and is realized as revenue in subsequent periods over the remaining term of the policy or period of risk. NI Holdings’ property and casualty policies typically have a term of twelve months. For example, for a policy that is written on July 1, 2018, one-half of the premiums would be earned in 2018 and the other half would be earned in 2019.</w:t>
      </w:r>
    </w:p>
    <w:p>
      <w:pPr>
        <w:spacing w:after="0" w:line="82" w:lineRule="exact"/>
        <w:rPr>
          <w:sz w:val="20"/>
          <w:szCs w:val="20"/>
          <w:color w:val="auto"/>
        </w:rPr>
      </w:pPr>
    </w:p>
    <w:p>
      <w:pPr>
        <w:ind w:right="80" w:firstLine="432"/>
        <w:spacing w:after="0" w:line="316" w:lineRule="auto"/>
        <w:rPr>
          <w:sz w:val="20"/>
          <w:szCs w:val="20"/>
          <w:color w:val="auto"/>
        </w:rPr>
      </w:pPr>
      <w:r>
        <w:rPr>
          <w:rFonts w:ascii="Arial" w:cs="Arial" w:eastAsia="Arial" w:hAnsi="Arial"/>
          <w:sz w:val="10"/>
          <w:szCs w:val="10"/>
          <w:color w:val="auto"/>
        </w:rPr>
        <w:t>Due to the nature of the crop planting and harvesting cycle and the deadlines for filing and processing claims under the federal crop insurance program, insurance premiums for crop insurance are generally recognized and earned during the period of risk, which usually begins in spring and ends with harvest in the fall. Under the federal crop insurance program, farmers must purchase crop insurance with respect to spring planted crops by March 15. By July 15, the farmer must report the number of acres he has planted in each crop. On September 1, the insurer bills the farmer for the insurance premium, which is due and payable by the farmer by October 1. If the farmer does not pay the premium by such date, the insurer must essentially provide a loan to the farmer in an amount equal to the premium at an annual interest rate of 15% because the insurer is required to pay the farmer’s portion of the premium to the Federal Crop Insurance Corporation (“FCIC”) by November 15, regardless of whether the farmer pays the premium to the insurer. Except for claims occurring in the spring (primarily for prevented planting and required replanting claims), claims are required to be filed with the FCIC by December 15. A different cycle exists for crops planted in the fall, such as winter wheat, but the vast majority of crop insurance written by NI Holdings covers crops planted in the spring.</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Net investment income and net realized capital gain (loss) on investments</w:t>
      </w:r>
    </w:p>
    <w:p>
      <w:pPr>
        <w:spacing w:after="0" w:line="123" w:lineRule="exact"/>
        <w:rPr>
          <w:sz w:val="20"/>
          <w:szCs w:val="20"/>
          <w:color w:val="auto"/>
        </w:rPr>
      </w:pPr>
    </w:p>
    <w:p>
      <w:pPr>
        <w:ind w:firstLine="432"/>
        <w:spacing w:after="0" w:line="257" w:lineRule="auto"/>
        <w:rPr>
          <w:sz w:val="20"/>
          <w:szCs w:val="20"/>
          <w:color w:val="auto"/>
        </w:rPr>
      </w:pPr>
      <w:r>
        <w:rPr>
          <w:rFonts w:ascii="Arial" w:cs="Arial" w:eastAsia="Arial" w:hAnsi="Arial"/>
          <w:sz w:val="12"/>
          <w:szCs w:val="12"/>
          <w:color w:val="auto"/>
        </w:rPr>
        <w:t>NI Holdings invests its surplus and the funds supporting its insurance liabilities (including unearned premiums and unpaid loss and loss adjustment expenses) in cash, cash equivalents, equity securities, and fixed income securities. Investment income includes interest and dividends earned on invested assets. Net realized capital gains and losses on investments are reported separately from net investment income. NI Holdings recognizes realized capital gains when investments are sold for an amount greater than their cost or amortized cost (in the case of fixed income securities) and recognizes realized capital losses when investments are written down as a result of an other-than-temporary impairment or sold for an amount less than their cost or amortized cost, as applicable. NI Holdings’ portfolio of investments is managed by Conning, Inc. and Disciplined Growth Investors, who have discretion to buy and sell securities in accordance with the investment policy approved by our Board of Directors.</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Principal Expense Items</w:t>
      </w:r>
    </w:p>
    <w:p>
      <w:pPr>
        <w:spacing w:after="0" w:line="136" w:lineRule="exact"/>
        <w:rPr>
          <w:sz w:val="20"/>
          <w:szCs w:val="20"/>
          <w:color w:val="auto"/>
        </w:rPr>
      </w:pPr>
    </w:p>
    <w:p>
      <w:pPr>
        <w:ind w:left="420" w:right="1440"/>
        <w:spacing w:after="0" w:line="454" w:lineRule="auto"/>
        <w:rPr>
          <w:sz w:val="20"/>
          <w:szCs w:val="20"/>
          <w:color w:val="auto"/>
        </w:rPr>
      </w:pPr>
      <w:r>
        <w:rPr>
          <w:rFonts w:ascii="Arial" w:cs="Arial" w:eastAsia="Arial" w:hAnsi="Arial"/>
          <w:sz w:val="12"/>
          <w:szCs w:val="12"/>
          <w:color w:val="auto"/>
        </w:rPr>
        <w:t xml:space="preserve">NI Holdings’ expenses consist primarily of losses and loss adjustment expenses (“LAE”), amortization of deferred policy acquisition costs, other underwriting and general expenses, and income taxes. </w:t>
      </w:r>
      <w:r>
        <w:rPr>
          <w:rFonts w:ascii="Arial" w:cs="Arial" w:eastAsia="Arial" w:hAnsi="Arial"/>
          <w:sz w:val="12"/>
          <w:szCs w:val="12"/>
          <w:i w:val="1"/>
          <w:iCs w:val="1"/>
          <w:color w:val="auto"/>
        </w:rPr>
        <w:t>Losses and Loss Adjustment Expenses</w:t>
      </w:r>
    </w:p>
    <w:p>
      <w:pPr>
        <w:ind w:right="280" w:firstLine="432"/>
        <w:spacing w:after="0" w:line="276" w:lineRule="auto"/>
        <w:rPr>
          <w:sz w:val="20"/>
          <w:szCs w:val="20"/>
          <w:color w:val="auto"/>
        </w:rPr>
      </w:pPr>
      <w:r>
        <w:rPr>
          <w:rFonts w:ascii="Arial" w:cs="Arial" w:eastAsia="Arial" w:hAnsi="Arial"/>
          <w:sz w:val="12"/>
          <w:szCs w:val="12"/>
          <w:color w:val="auto"/>
        </w:rPr>
        <w:t>Losses and LAE represent the largest expense item and include (1) claim payments made, (2) estimates for future claim payments and changes in those estimates from prior periods, and (3) costs associated with investigating, defending and adjusting claims, including legal fees.</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Amortization of deferred policy acquisition costs and other underwriting and general expenses</w:t>
      </w:r>
    </w:p>
    <w:p>
      <w:pPr>
        <w:spacing w:after="0" w:line="123" w:lineRule="exact"/>
        <w:rPr>
          <w:sz w:val="20"/>
          <w:szCs w:val="20"/>
          <w:color w:val="auto"/>
        </w:rPr>
      </w:pPr>
    </w:p>
    <w:p>
      <w:pPr>
        <w:jc w:val="both"/>
        <w:ind w:right="160" w:firstLine="432"/>
        <w:spacing w:after="0" w:line="263" w:lineRule="auto"/>
        <w:rPr>
          <w:sz w:val="20"/>
          <w:szCs w:val="20"/>
          <w:color w:val="auto"/>
        </w:rPr>
      </w:pPr>
      <w:r>
        <w:rPr>
          <w:rFonts w:ascii="Arial" w:cs="Arial" w:eastAsia="Arial" w:hAnsi="Arial"/>
          <w:sz w:val="12"/>
          <w:szCs w:val="12"/>
          <w:color w:val="auto"/>
        </w:rPr>
        <w:t>Expenses incurred to underwrite risks are referred to as policy acquisition costs. Policy acquisition costs consist of commission expenses, premium taxes, and certain other underwriting expenses that vary with and are primarily related to the writing and acquisition of new and renewal business. These policy acquisition costs are deferred and amortized over the effective period of the related insurance policies. Other underwriting and general expenses consist of salaries, professional fees, office supplies,</w:t>
      </w:r>
    </w:p>
    <w:p>
      <w:pPr>
        <w:spacing w:after="0" w:line="12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2340" cy="17145"/>
                    </a:xfrm>
                    <a:prstGeom prst="rect">
                      <a:avLst/>
                    </a:prstGeom>
                    <a:noFill/>
                  </pic:spPr>
                </pic:pic>
              </a:graphicData>
            </a:graphic>
          </wp:anchor>
        </w:drawing>
      </w:r>
    </w:p>
    <w:p>
      <w:pPr>
        <w:sectPr>
          <w:pgSz w:w="11900" w:h="16838" w:orient="portrait"/>
          <w:cols w:equalWidth="0" w:num="1">
            <w:col w:w="11460"/>
          </w:cols>
          <w:pgMar w:left="220" w:top="203" w:right="219" w:bottom="1440" w:gutter="0" w:footer="0" w:header="0"/>
        </w:sectPr>
      </w:pPr>
    </w:p>
    <w:bookmarkStart w:id="39" w:name="page40"/>
    <w:bookmarkEnd w:id="39"/>
    <w:p>
      <w:pPr>
        <w:ind w:left="2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50"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depreciation, and all other operating expenses not otherwise classified separately, as well as payments to bureaus and assessments of statistical agencies for policy service and administration items such as rating manuals, rating plans, and experience data.</w:t>
      </w:r>
    </w:p>
    <w:p>
      <w:pPr>
        <w:spacing w:after="0" w:line="88"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Income taxes</w:t>
      </w:r>
    </w:p>
    <w:p>
      <w:pPr>
        <w:spacing w:after="0" w:line="132" w:lineRule="exact"/>
        <w:rPr>
          <w:sz w:val="20"/>
          <w:szCs w:val="20"/>
          <w:color w:val="auto"/>
        </w:rPr>
      </w:pPr>
    </w:p>
    <w:p>
      <w:pPr>
        <w:ind w:firstLine="432"/>
        <w:spacing w:after="0" w:line="298" w:lineRule="auto"/>
        <w:rPr>
          <w:sz w:val="20"/>
          <w:szCs w:val="20"/>
          <w:color w:val="auto"/>
        </w:rPr>
      </w:pPr>
      <w:r>
        <w:rPr>
          <w:rFonts w:ascii="Arial" w:cs="Arial" w:eastAsia="Arial" w:hAnsi="Arial"/>
          <w:sz w:val="11"/>
          <w:szCs w:val="11"/>
          <w:color w:val="auto"/>
        </w:rPr>
        <w:t>NI Holdings uses the asset and liability method of accounting for deferred income taxes. Deferred income taxes arise from the recognition of temporary differences between financial statement carrying amounts and the income tax bases of its assets and liabilities. A valuation allowance is provided when it is more likely than not that some portion of the deferred income tax asset will not be realized. At both June 30, 2018 and December 31, 2017, the Company had recorded valuation allowances with respect to its deferred income tax assets of $628. The effect of a change in tax rates is recognized in the period of the enactment date.</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Key Financial Measures</w:t>
      </w:r>
    </w:p>
    <w:p>
      <w:pPr>
        <w:spacing w:after="0" w:line="127"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NI Holdings evaluates its insurance operations by monitoring certain key measures of growth and profitability. In addition to reviewing its financial performance based on results determined in accordance with accounting principles generally accepted in the United States of America (“GAAP”), NI Holdings utilizes certain non-GAAP financial measures that are used widely in the property and casualty insurance industry and which it believes are valuable in managing its business and for comparison to its peers. These non-GAAP measures are the expense ratio, loss and LAE ratio, combined ratio, written premiums, ratio of net written premiums to statutory surplus, underwriting gain, return on average equity, and risk based capital.</w:t>
      </w:r>
    </w:p>
    <w:p>
      <w:pPr>
        <w:spacing w:after="0" w:line="107" w:lineRule="exact"/>
        <w:rPr>
          <w:sz w:val="20"/>
          <w:szCs w:val="20"/>
          <w:color w:val="auto"/>
        </w:rPr>
      </w:pPr>
    </w:p>
    <w:p>
      <w:pPr>
        <w:ind w:right="240" w:firstLine="432"/>
        <w:spacing w:after="0" w:line="276" w:lineRule="auto"/>
        <w:rPr>
          <w:sz w:val="20"/>
          <w:szCs w:val="20"/>
          <w:color w:val="auto"/>
        </w:rPr>
      </w:pPr>
      <w:r>
        <w:rPr>
          <w:rFonts w:ascii="Arial" w:cs="Arial" w:eastAsia="Arial" w:hAnsi="Arial"/>
          <w:sz w:val="12"/>
          <w:szCs w:val="12"/>
          <w:color w:val="auto"/>
        </w:rPr>
        <w:t>NI Holdings measures growth by monitoring changes in gross premiums written and net premiums written. The Company measures underwriting profitability by examining its loss and LAE ratio, expense ratio, and combined ratio. It also measures profitability by examining underwriting gain (loss), net income (loss), and return on average equity.</w:t>
      </w:r>
    </w:p>
    <w:p>
      <w:pPr>
        <w:spacing w:after="0" w:line="88"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Loss and LAE ratio</w:t>
      </w:r>
    </w:p>
    <w:p>
      <w:pPr>
        <w:spacing w:after="0" w:line="123" w:lineRule="exact"/>
        <w:rPr>
          <w:sz w:val="20"/>
          <w:szCs w:val="20"/>
          <w:color w:val="auto"/>
        </w:rPr>
      </w:pPr>
    </w:p>
    <w:p>
      <w:pPr>
        <w:ind w:right="160" w:firstLine="432"/>
        <w:spacing w:after="0" w:line="298" w:lineRule="auto"/>
        <w:rPr>
          <w:sz w:val="20"/>
          <w:szCs w:val="20"/>
          <w:color w:val="auto"/>
        </w:rPr>
      </w:pPr>
      <w:r>
        <w:rPr>
          <w:rFonts w:ascii="Arial" w:cs="Arial" w:eastAsia="Arial" w:hAnsi="Arial"/>
          <w:sz w:val="11"/>
          <w:szCs w:val="11"/>
          <w:color w:val="auto"/>
        </w:rPr>
        <w:t>The loss and LAE ratio is the ratio (expressed as a percentage) of losses and LAE incurred to premiums earned. NI Holdings measures the loss and LAE ratio on an accident year and calendar year loss basis to measure underwriting profitability. An accident year loss ratio measures losses and LAE for insured events occurring in a particular year, regardless of when they are reported, as a percentage of premiums earned during that year. A calendar year loss ratio measures losses and LAE for insured events occurring during a particular year and the change in loss reserves from prior policy years as a percentage of premiums earned during that year.</w:t>
      </w:r>
    </w:p>
    <w:p>
      <w:pPr>
        <w:spacing w:after="0" w:line="87"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Expense ratio</w:t>
      </w:r>
    </w:p>
    <w:p>
      <w:pPr>
        <w:spacing w:after="0" w:line="123" w:lineRule="exact"/>
        <w:rPr>
          <w:sz w:val="20"/>
          <w:szCs w:val="20"/>
          <w:color w:val="auto"/>
        </w:rPr>
      </w:pPr>
    </w:p>
    <w:p>
      <w:pPr>
        <w:ind w:right="140" w:firstLine="432"/>
        <w:spacing w:after="0" w:line="276" w:lineRule="auto"/>
        <w:rPr>
          <w:sz w:val="20"/>
          <w:szCs w:val="20"/>
          <w:color w:val="auto"/>
        </w:rPr>
      </w:pPr>
      <w:r>
        <w:rPr>
          <w:rFonts w:ascii="Arial" w:cs="Arial" w:eastAsia="Arial" w:hAnsi="Arial"/>
          <w:sz w:val="12"/>
          <w:szCs w:val="12"/>
          <w:color w:val="auto"/>
        </w:rPr>
        <w:t>The expense ratio is the ratio (expressed as a percentage) of amortization of deferred policy acquisition costs and other underwriting and general expenses (attributable to insurance operations) to premiums earned, and measures our operational efficiency in producing, underwriting, and administering the Company’s insurance business.</w:t>
      </w:r>
    </w:p>
    <w:p>
      <w:pPr>
        <w:spacing w:after="0" w:line="88"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Combined ratio</w:t>
      </w:r>
    </w:p>
    <w:p>
      <w:pPr>
        <w:spacing w:after="0" w:line="132" w:lineRule="exact"/>
        <w:rPr>
          <w:sz w:val="20"/>
          <w:szCs w:val="20"/>
          <w:color w:val="auto"/>
        </w:rPr>
      </w:pPr>
    </w:p>
    <w:p>
      <w:pPr>
        <w:ind w:right="240" w:firstLine="432"/>
        <w:spacing w:after="0" w:line="323" w:lineRule="auto"/>
        <w:rPr>
          <w:sz w:val="20"/>
          <w:szCs w:val="20"/>
          <w:color w:val="auto"/>
        </w:rPr>
      </w:pPr>
      <w:r>
        <w:rPr>
          <w:rFonts w:ascii="Arial" w:cs="Arial" w:eastAsia="Arial" w:hAnsi="Arial"/>
          <w:sz w:val="11"/>
          <w:szCs w:val="11"/>
          <w:color w:val="auto"/>
        </w:rPr>
        <w:t>The Company’s combined ratio is the ratio (expressed as a percentage) of the sum of losses and LAE incurred and expenses to premiums earned, and measures its overall underwriting profit. Generally, if the combined ratio is below 100%, NI Holdings is making an underwriting profit. If the combined ratio is above 100%, it is not profitable without investment income and may not be profitable if investment income is insufficient.</w:t>
      </w:r>
    </w:p>
    <w:p>
      <w:pPr>
        <w:spacing w:after="0" w:line="65"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Net premiums written to statutory surplus ratio</w:t>
      </w:r>
    </w:p>
    <w:p>
      <w:pPr>
        <w:spacing w:after="0" w:line="123" w:lineRule="exact"/>
        <w:rPr>
          <w:sz w:val="20"/>
          <w:szCs w:val="20"/>
          <w:color w:val="auto"/>
        </w:rPr>
      </w:pPr>
    </w:p>
    <w:p>
      <w:pPr>
        <w:ind w:right="80" w:firstLine="432"/>
        <w:spacing w:after="0" w:line="263" w:lineRule="auto"/>
        <w:rPr>
          <w:sz w:val="20"/>
          <w:szCs w:val="20"/>
          <w:color w:val="auto"/>
        </w:rPr>
      </w:pPr>
      <w:r>
        <w:rPr>
          <w:rFonts w:ascii="Arial" w:cs="Arial" w:eastAsia="Arial" w:hAnsi="Arial"/>
          <w:sz w:val="12"/>
          <w:szCs w:val="12"/>
          <w:color w:val="auto"/>
        </w:rPr>
        <w:t>The net premiums written to statutory surplus ratio represents the ratio of net premiums written to statutory surplus. This ratio is designed to measure the ability of the Company to absorb above-average losses and the Company’s financial strength. In general, a low premium to surplus ratio is considered a sign of financial strength because the Company is theoretically using its capacity to write more policies. Statutory surplus is determined using accounting principles prescribed or permitted by the insurance subsidiaries’ state of domicile and differs from GAAP equity.</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Underwriting gain (loss)</w:t>
      </w:r>
    </w:p>
    <w:p>
      <w:pPr>
        <w:spacing w:after="0" w:line="123" w:lineRule="exact"/>
        <w:rPr>
          <w:sz w:val="20"/>
          <w:szCs w:val="20"/>
          <w:color w:val="auto"/>
        </w:rPr>
      </w:pPr>
    </w:p>
    <w:p>
      <w:pPr>
        <w:ind w:right="100" w:firstLine="432"/>
        <w:spacing w:after="0" w:line="276" w:lineRule="auto"/>
        <w:rPr>
          <w:sz w:val="20"/>
          <w:szCs w:val="20"/>
          <w:color w:val="auto"/>
        </w:rPr>
      </w:pPr>
      <w:r>
        <w:rPr>
          <w:rFonts w:ascii="Arial" w:cs="Arial" w:eastAsia="Arial" w:hAnsi="Arial"/>
          <w:sz w:val="12"/>
          <w:szCs w:val="12"/>
          <w:color w:val="auto"/>
        </w:rPr>
        <w:t>Underwriting gain (loss) measures the pre-tax profitability of insurance operations. It is derived by subtracting losses and LAE, amortization of deferred policy acquisition costs, and other underwriting and general expenses from net premiums earned. Each of these items is presented as a caption in NI Holdings’ Consolidated Statements of Operations.</w:t>
      </w:r>
    </w:p>
    <w:p>
      <w:pPr>
        <w:spacing w:after="0" w:line="88"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Net income (loss) and return on average equity</w:t>
      </w:r>
    </w:p>
    <w:p>
      <w:pPr>
        <w:spacing w:after="0" w:line="132"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NI Holdings uses net income (loss) to measure its profit and uses return on average equity to measure its effectiveness in utilizing equity to generate net income. In determining return on average equity for a given year, net income (loss) is divided by the average of the beginning and ending equity for that year.</w:t>
      </w:r>
    </w:p>
    <w:p>
      <w:pPr>
        <w:spacing w:after="0" w:line="1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29234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2340" cy="17145"/>
                    </a:xfrm>
                    <a:prstGeom prst="rect">
                      <a:avLst/>
                    </a:prstGeom>
                    <a:noFill/>
                  </pic:spPr>
                </pic:pic>
              </a:graphicData>
            </a:graphic>
          </wp:anchor>
        </w:drawing>
      </w:r>
    </w:p>
    <w:p>
      <w:pPr>
        <w:sectPr>
          <w:pgSz w:w="11900" w:h="16838" w:orient="portrait"/>
          <w:cols w:equalWidth="0" w:num="1">
            <w:col w:w="11460"/>
          </w:cols>
          <w:pgMar w:left="220" w:top="203" w:right="219" w:bottom="1440" w:gutter="0" w:footer="0" w:header="0"/>
        </w:sectPr>
      </w:pPr>
    </w:p>
    <w:bookmarkStart w:id="40" w:name="page41"/>
    <w:bookmarkEnd w:id="40"/>
    <w:p>
      <w:pPr>
        <w:ind w:left="2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General</w:t>
      </w:r>
    </w:p>
    <w:p>
      <w:pPr>
        <w:spacing w:after="0" w:line="132" w:lineRule="exact"/>
        <w:rPr>
          <w:sz w:val="20"/>
          <w:szCs w:val="20"/>
          <w:color w:val="auto"/>
        </w:rPr>
      </w:pPr>
    </w:p>
    <w:p>
      <w:pPr>
        <w:ind w:right="40" w:firstLine="432"/>
        <w:spacing w:after="0" w:line="257" w:lineRule="auto"/>
        <w:rPr>
          <w:sz w:val="20"/>
          <w:szCs w:val="20"/>
          <w:color w:val="auto"/>
        </w:rPr>
      </w:pPr>
      <w:r>
        <w:rPr>
          <w:rFonts w:ascii="Arial" w:cs="Arial" w:eastAsia="Arial" w:hAnsi="Arial"/>
          <w:sz w:val="12"/>
          <w:szCs w:val="12"/>
          <w:color w:val="auto"/>
        </w:rPr>
        <w:t>The preparation of financial statements in accordance with GAAP requires both the use of estimates and judgment relative to the application of appropriate accounting policies. NI Holdings is required to make estimates and assumptions in certain circumstances that affect amounts reported in its financial statements and related footnotes. NI Holdings evaluates these estimates and assumptions on an ongoing basis based on historical developments, market conditions, industry trends, and other information that it believes to be reasonable under the circumstances. There can be no assurance that actual results will conform to its estimates and assumptions and that reported results of operations will not be materially adversely affected by the need to make accounting adjustments to reflect changes in these estimates and assumptions from time to time. The Company believes the following policies are the most sensitive to estimates and judgments.</w:t>
      </w:r>
    </w:p>
    <w:p>
      <w:pPr>
        <w:spacing w:after="0" w:line="99"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Unpaid Losses and Loss Adjustment Expenses</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How reserves are established</w:t>
      </w:r>
    </w:p>
    <w:p>
      <w:pPr>
        <w:spacing w:after="0" w:line="132" w:lineRule="exact"/>
        <w:rPr>
          <w:sz w:val="20"/>
          <w:szCs w:val="20"/>
          <w:color w:val="auto"/>
        </w:rPr>
      </w:pPr>
    </w:p>
    <w:p>
      <w:pPr>
        <w:ind w:right="40" w:firstLine="432"/>
        <w:spacing w:after="0" w:line="263" w:lineRule="auto"/>
        <w:rPr>
          <w:sz w:val="20"/>
          <w:szCs w:val="20"/>
          <w:color w:val="auto"/>
        </w:rPr>
      </w:pPr>
      <w:r>
        <w:rPr>
          <w:rFonts w:ascii="Arial" w:cs="Arial" w:eastAsia="Arial" w:hAnsi="Arial"/>
          <w:sz w:val="12"/>
          <w:szCs w:val="12"/>
          <w:color w:val="auto"/>
        </w:rPr>
        <w:t>With respect to its traditional property and casualty insurance products, the Company maintains reserves for the payment of claims (indemnity losses) and expenses related to adjusting those claims (LAE). The Company’s liability for unpaid losses and LAE consists of (1) case reserves, which are reserves for claims that have been reported to it, and (2) reserves for claims that have been incurred but have not yet been reported and for the future development of case reserves (“IBNR”).</w:t>
      </w:r>
    </w:p>
    <w:p>
      <w:pPr>
        <w:spacing w:after="0" w:line="96" w:lineRule="exact"/>
        <w:rPr>
          <w:sz w:val="20"/>
          <w:szCs w:val="20"/>
          <w:color w:val="auto"/>
        </w:rPr>
      </w:pPr>
    </w:p>
    <w:p>
      <w:pPr>
        <w:ind w:right="40" w:firstLine="432"/>
        <w:spacing w:after="0" w:line="340" w:lineRule="auto"/>
        <w:rPr>
          <w:sz w:val="20"/>
          <w:szCs w:val="20"/>
          <w:color w:val="auto"/>
        </w:rPr>
      </w:pPr>
      <w:r>
        <w:rPr>
          <w:rFonts w:ascii="Arial" w:cs="Arial" w:eastAsia="Arial" w:hAnsi="Arial"/>
          <w:sz w:val="10"/>
          <w:szCs w:val="10"/>
          <w:color w:val="auto"/>
        </w:rPr>
        <w:t>When a claim is reported to NI Holdings, its claims personnel establish a case reserve for the estimated amount of the ultimate payment to the extent it can be determined or estimated. The amount of the loss reserve for the reported claim is based primarily upon an evaluation of coverage, liability, damages suffered, and any other information considered pertinent to estimating the exposure presented by the claim. Each claim is contested or settled individually based upon its merits, and some property and casualty claims may take years to resolve, especially if legal action is involved. Case reserves are reviewed on a regular basis and are updated as new information becomes available.</w:t>
      </w:r>
    </w:p>
    <w:p>
      <w:pPr>
        <w:spacing w:after="0" w:line="61"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When a catastrophe occurs, which in the Company’s case mostly involves the weather perils of wind and hail, NI Holdings utilizes mapping technology through geographic coding of its property risks to overlay the path of the storm. This enables the Company to establish estimated damage amounts based on the wind speed and size of the hail for case or per claim loss amounts. This process allows the Company to determine within a reasonable time (5 – 7 days) an estimated number of claims and estimated loss payments from the storm. If the Company estimates the damages to be in excess of its retained catastrophe amount, reinsurers are notified immediately of a potential loss so that the Company can quickly recover reinsurance payments once the retention is exceeded.</w:t>
      </w:r>
    </w:p>
    <w:p>
      <w:pPr>
        <w:spacing w:after="0" w:line="107" w:lineRule="exact"/>
        <w:rPr>
          <w:sz w:val="20"/>
          <w:szCs w:val="20"/>
          <w:color w:val="auto"/>
        </w:rPr>
      </w:pPr>
    </w:p>
    <w:p>
      <w:pPr>
        <w:ind w:right="420" w:firstLine="432"/>
        <w:spacing w:after="0" w:line="276" w:lineRule="auto"/>
        <w:rPr>
          <w:sz w:val="20"/>
          <w:szCs w:val="20"/>
          <w:color w:val="auto"/>
        </w:rPr>
      </w:pPr>
      <w:r>
        <w:rPr>
          <w:rFonts w:ascii="Arial" w:cs="Arial" w:eastAsia="Arial" w:hAnsi="Arial"/>
          <w:sz w:val="12"/>
          <w:szCs w:val="12"/>
          <w:color w:val="auto"/>
        </w:rPr>
        <w:t>In addition to case reserves, NI Holdings maintains estimates of reserves for losses and LAE incurred but not reported. These reserves include estimates for the future development of case reserves. Some claims may not be reported for several years. As a result, the liability for unpaid losses and LAE includes significant estimates for IBNR.</w:t>
      </w:r>
    </w:p>
    <w:p>
      <w:pPr>
        <w:spacing w:after="0" w:line="88"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The Company estimates multi-peril crop insurance losses on a quarterly basis based upon historical loss patterns, current crop conditions, current weather patterns, and input from crop loss adjusters. These estimates have proven to be reasonably accurate indicators of the Company’s anticipated losses for this line of business.</w:t>
      </w:r>
    </w:p>
    <w:p>
      <w:pPr>
        <w:spacing w:after="0" w:line="88" w:lineRule="exact"/>
        <w:rPr>
          <w:sz w:val="20"/>
          <w:szCs w:val="20"/>
          <w:color w:val="auto"/>
        </w:rPr>
      </w:pPr>
    </w:p>
    <w:p>
      <w:pPr>
        <w:ind w:right="40" w:firstLine="432"/>
        <w:spacing w:after="0" w:line="283" w:lineRule="auto"/>
        <w:rPr>
          <w:sz w:val="20"/>
          <w:szCs w:val="20"/>
          <w:color w:val="auto"/>
        </w:rPr>
      </w:pPr>
      <w:r>
        <w:rPr>
          <w:rFonts w:ascii="Arial" w:cs="Arial" w:eastAsia="Arial" w:hAnsi="Arial"/>
          <w:sz w:val="11"/>
          <w:szCs w:val="11"/>
          <w:color w:val="auto"/>
        </w:rPr>
        <w:t>NI Holdings utilizes an independent actuary to assist with the estimation of its liability for unpaid losses and LAE. This actuary prepares estimates by first deriving an actuarially based estimate of the ultimate cost of total losses and LAE incurred as of the financial statement date based on established actuarial methods described below. The Company then reduces the estimated ultimate loss and LAE by loss and LAE payments and case reserves carried as of the financial statement date. The actuarially determined estimate is based upon indications from one of the following actuarial methodologies or uses a weighted average of these results. The specific method used to estimate the ultimate losses would vary depending on the judgment of the actuary as to what is the most appropriate method for the property and casualty business. The Company’s management reviews these estimates and supplements the actuarial analysis with information not fully incorporated into the actuarially based estimate, such as changes in the external business environment and internal company processes. NI Holdings may adjust the actuarial estimates based on this supplemental information in order to arrive at the amount recorded in the Consolidated Financial Statements.</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NI Holdings accrues its ultimate liability for unpaid losses and LAE by using the following actuarial methodologies:</w:t>
      </w:r>
    </w:p>
    <w:p>
      <w:pPr>
        <w:spacing w:after="0" w:line="119" w:lineRule="exact"/>
        <w:rPr>
          <w:sz w:val="20"/>
          <w:szCs w:val="20"/>
          <w:color w:val="auto"/>
        </w:rPr>
      </w:pPr>
    </w:p>
    <w:p>
      <w:pPr>
        <w:ind w:right="20" w:firstLine="432"/>
        <w:spacing w:after="0" w:line="302" w:lineRule="auto"/>
        <w:rPr>
          <w:sz w:val="20"/>
          <w:szCs w:val="20"/>
          <w:color w:val="auto"/>
        </w:rPr>
      </w:pPr>
      <w:r>
        <w:rPr>
          <w:rFonts w:ascii="Arial" w:cs="Arial" w:eastAsia="Arial" w:hAnsi="Arial"/>
          <w:sz w:val="11"/>
          <w:szCs w:val="11"/>
          <w:b w:val="1"/>
          <w:bCs w:val="1"/>
          <w:u w:val="single" w:color="auto"/>
          <w:color w:val="auto"/>
        </w:rPr>
        <w:t>Bornhuetter-Ferguson Method</w:t>
      </w:r>
      <w:r>
        <w:rPr>
          <w:rFonts w:ascii="Arial" w:cs="Arial" w:eastAsia="Arial" w:hAnsi="Arial"/>
          <w:sz w:val="11"/>
          <w:szCs w:val="11"/>
          <w:b w:val="1"/>
          <w:bCs w:val="1"/>
          <w:color w:val="auto"/>
        </w:rPr>
        <w:t xml:space="preserve"> </w:t>
      </w:r>
      <w:r>
        <w:rPr>
          <w:rFonts w:ascii="Arial" w:cs="Arial" w:eastAsia="Arial" w:hAnsi="Arial"/>
          <w:sz w:val="11"/>
          <w:szCs w:val="11"/>
          <w:color w:val="auto"/>
        </w:rPr>
        <w:t>— The Bornhuetter-Ferguson Method is a blended method that explicitly takes into account both actual loss development to date and expected future loss emergence. This method is applied on</w:t>
      </w:r>
      <w:r>
        <w:rPr>
          <w:rFonts w:ascii="Arial" w:cs="Arial" w:eastAsia="Arial" w:hAnsi="Arial"/>
          <w:sz w:val="11"/>
          <w:szCs w:val="11"/>
          <w:b w:val="1"/>
          <w:bCs w:val="1"/>
          <w:color w:val="auto"/>
        </w:rPr>
        <w:t xml:space="preserve"> </w:t>
      </w:r>
      <w:r>
        <w:rPr>
          <w:rFonts w:ascii="Arial" w:cs="Arial" w:eastAsia="Arial" w:hAnsi="Arial"/>
          <w:sz w:val="11"/>
          <w:szCs w:val="11"/>
          <w:color w:val="auto"/>
        </w:rPr>
        <w:t>both a paid loss basis and an incurred loss basis. This method uses selected loss development patterns to calculate the expected percentage of losses unpaid (or unreported). The expected future loss component of the method is calculated by multiplying earned premium for the given exposure period by a selected a priori (i.e. deductive) loss ratio. The resulting dollars are then multiplied by the expected percentage of unpaid</w:t>
      </w:r>
    </w:p>
    <w:p>
      <w:pPr>
        <w:spacing w:after="0" w:line="103"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2340" cy="17145"/>
                    </a:xfrm>
                    <a:prstGeom prst="rect">
                      <a:avLst/>
                    </a:prstGeom>
                    <a:noFill/>
                  </pic:spPr>
                </pic:pic>
              </a:graphicData>
            </a:graphic>
          </wp:anchor>
        </w:drawing>
      </w:r>
    </w:p>
    <w:p>
      <w:pPr>
        <w:sectPr>
          <w:pgSz w:w="11900" w:h="16838" w:orient="portrait"/>
          <w:cols w:equalWidth="0" w:num="1">
            <w:col w:w="11480"/>
          </w:cols>
          <w:pgMar w:left="220" w:top="203" w:right="199" w:bottom="1440" w:gutter="0" w:footer="0" w:header="0"/>
        </w:sectPr>
      </w:pPr>
    </w:p>
    <w:bookmarkStart w:id="41" w:name="page42"/>
    <w:bookmarkEnd w:id="41"/>
    <w:p>
      <w:pPr>
        <w:ind w:left="2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(or unreported) losses described above. This provides an estimate of future paid (or reported) losses that is then added to actual paid (or incurred) loss data to produce the estimated ultimate loss.</w:t>
      </w:r>
    </w:p>
    <w:p>
      <w:pPr>
        <w:spacing w:after="0" w:line="119" w:lineRule="exact"/>
        <w:rPr>
          <w:sz w:val="20"/>
          <w:szCs w:val="20"/>
          <w:color w:val="auto"/>
        </w:rPr>
      </w:pPr>
    </w:p>
    <w:p>
      <w:pPr>
        <w:ind w:right="100" w:firstLine="432"/>
        <w:spacing w:after="0" w:line="267" w:lineRule="auto"/>
        <w:rPr>
          <w:sz w:val="20"/>
          <w:szCs w:val="20"/>
          <w:color w:val="auto"/>
        </w:rPr>
      </w:pPr>
      <w:r>
        <w:rPr>
          <w:rFonts w:ascii="Arial" w:cs="Arial" w:eastAsia="Arial" w:hAnsi="Arial"/>
          <w:sz w:val="12"/>
          <w:szCs w:val="12"/>
          <w:b w:val="1"/>
          <w:bCs w:val="1"/>
          <w:u w:val="single" w:color="auto"/>
          <w:color w:val="auto"/>
        </w:rPr>
        <w:t>Paid and Case Incurred Loss Method</w:t>
      </w:r>
      <w:r>
        <w:rPr>
          <w:rFonts w:ascii="Arial" w:cs="Arial" w:eastAsia="Arial" w:hAnsi="Arial"/>
          <w:sz w:val="12"/>
          <w:szCs w:val="12"/>
          <w:b w:val="1"/>
          <w:bCs w:val="1"/>
          <w:color w:val="auto"/>
        </w:rPr>
        <w:t xml:space="preserve"> </w:t>
      </w:r>
      <w:r>
        <w:rPr>
          <w:rFonts w:ascii="Arial" w:cs="Arial" w:eastAsia="Arial" w:hAnsi="Arial"/>
          <w:sz w:val="12"/>
          <w:szCs w:val="12"/>
          <w:color w:val="auto"/>
        </w:rPr>
        <w:t>— The Paid and Case Incurred Loss Development Method utilizes ratios of cumulative paid or case incurred losses or LAE at each age of development as a percent of the preceding</w:t>
      </w:r>
      <w:r>
        <w:rPr>
          <w:rFonts w:ascii="Arial" w:cs="Arial" w:eastAsia="Arial" w:hAnsi="Arial"/>
          <w:sz w:val="12"/>
          <w:szCs w:val="12"/>
          <w:b w:val="1"/>
          <w:bCs w:val="1"/>
          <w:color w:val="auto"/>
        </w:rPr>
        <w:t xml:space="preserve"> </w:t>
      </w:r>
      <w:r>
        <w:rPr>
          <w:rFonts w:ascii="Arial" w:cs="Arial" w:eastAsia="Arial" w:hAnsi="Arial"/>
          <w:sz w:val="12"/>
          <w:szCs w:val="12"/>
          <w:color w:val="auto"/>
        </w:rPr>
        <w:t>development age. Selected ratios are then multiplied together to produce a set of loss development factors which when applied to the most current data value, by accident year, develop estimated ultimate losses or LAE. Ultimate losses or LAE are then selected for each accident year from the various methods employed.</w:t>
      </w:r>
    </w:p>
    <w:p>
      <w:pPr>
        <w:spacing w:after="0" w:line="98" w:lineRule="exact"/>
        <w:rPr>
          <w:sz w:val="20"/>
          <w:szCs w:val="20"/>
          <w:color w:val="auto"/>
        </w:rPr>
      </w:pPr>
    </w:p>
    <w:p>
      <w:pPr>
        <w:ind w:firstLine="432"/>
        <w:spacing w:after="0" w:line="267" w:lineRule="auto"/>
        <w:rPr>
          <w:sz w:val="20"/>
          <w:szCs w:val="20"/>
          <w:color w:val="auto"/>
        </w:rPr>
      </w:pPr>
      <w:r>
        <w:rPr>
          <w:rFonts w:ascii="Arial" w:cs="Arial" w:eastAsia="Arial" w:hAnsi="Arial"/>
          <w:sz w:val="12"/>
          <w:szCs w:val="12"/>
          <w:b w:val="1"/>
          <w:bCs w:val="1"/>
          <w:u w:val="single" w:color="auto"/>
          <w:color w:val="auto"/>
        </w:rPr>
        <w:t>Ratio of Paid ALAE to Paid Loss Method</w:t>
      </w:r>
      <w:r>
        <w:rPr>
          <w:rFonts w:ascii="Arial" w:cs="Arial" w:eastAsia="Arial" w:hAnsi="Arial"/>
          <w:sz w:val="12"/>
          <w:szCs w:val="12"/>
          <w:b w:val="1"/>
          <w:bCs w:val="1"/>
          <w:color w:val="auto"/>
        </w:rPr>
        <w:t xml:space="preserve"> </w:t>
      </w:r>
      <w:r>
        <w:rPr>
          <w:rFonts w:ascii="Arial" w:cs="Arial" w:eastAsia="Arial" w:hAnsi="Arial"/>
          <w:sz w:val="12"/>
          <w:szCs w:val="12"/>
          <w:color w:val="auto"/>
        </w:rPr>
        <w:t>— This method utilizes the ratio of paid allocated loss adjustment expense (“ALAE”) to paid losses and is similar to the Paid and Case Incurred Method described above, except that the</w:t>
      </w:r>
      <w:r>
        <w:rPr>
          <w:rFonts w:ascii="Arial" w:cs="Arial" w:eastAsia="Arial" w:hAnsi="Arial"/>
          <w:sz w:val="12"/>
          <w:szCs w:val="12"/>
          <w:b w:val="1"/>
          <w:bCs w:val="1"/>
          <w:color w:val="auto"/>
        </w:rPr>
        <w:t xml:space="preserve"> </w:t>
      </w:r>
      <w:r>
        <w:rPr>
          <w:rFonts w:ascii="Arial" w:cs="Arial" w:eastAsia="Arial" w:hAnsi="Arial"/>
          <w:sz w:val="12"/>
          <w:szCs w:val="12"/>
          <w:color w:val="auto"/>
        </w:rPr>
        <w:t>data projected are the ratios of paid ALAE to paid losses. The projected ultimate ratio is then multiplied by the selected ultimate losses, by accident year, to yield ultimate ALAE. ALAE reserves are calculated by subtracting paid losses from ultimate ALAE.</w:t>
      </w:r>
    </w:p>
    <w:p>
      <w:pPr>
        <w:spacing w:after="0" w:line="93" w:lineRule="exact"/>
        <w:rPr>
          <w:sz w:val="20"/>
          <w:szCs w:val="20"/>
          <w:color w:val="auto"/>
        </w:rPr>
      </w:pPr>
    </w:p>
    <w:p>
      <w:pPr>
        <w:ind w:right="20" w:firstLine="432"/>
        <w:spacing w:after="0" w:line="255" w:lineRule="auto"/>
        <w:rPr>
          <w:sz w:val="20"/>
          <w:szCs w:val="20"/>
          <w:color w:val="auto"/>
        </w:rPr>
      </w:pPr>
      <w:r>
        <w:rPr>
          <w:rFonts w:ascii="Arial" w:cs="Arial" w:eastAsia="Arial" w:hAnsi="Arial"/>
          <w:sz w:val="12"/>
          <w:szCs w:val="12"/>
          <w:color w:val="auto"/>
        </w:rPr>
        <w:t>The process of estimating loss reserves involves a high degree of judgment and is subject to a number of variables. These variables can be affected by both internal and external events, such as changes in claims handling procedures, inflation, legal trends, and legislative changes, among others. The impact of many of these items on ultimate costs for claims and claim adjustment expenses is difficult to estimate. Loss reserve estimation is affected by the volume of claims, the potential severity of individual claims, the determination of occurrence date for a claim, and reporting lags (the time between the occurrence of the policyholder event and when it is actually reported to the insurer). Informed judgment is applied throughout the process, including the application of various individual experiences and expertise to multiple sets of data and analyses. NI Holdings continually refines its estimates of unpaid losses and LAE in a regular ongoing process as historical loss experience develops and additional claims are reported and settled. NI Holdings considers all significant facts and circumstances known at the time the liabilities for unpaid losses and LAE are established.</w:t>
      </w:r>
    </w:p>
    <w:p>
      <w:pPr>
        <w:spacing w:after="0" w:line="102" w:lineRule="exact"/>
        <w:rPr>
          <w:sz w:val="20"/>
          <w:szCs w:val="20"/>
          <w:color w:val="auto"/>
        </w:rPr>
      </w:pPr>
    </w:p>
    <w:p>
      <w:pPr>
        <w:ind w:right="200" w:firstLine="432"/>
        <w:spacing w:after="0" w:line="340" w:lineRule="auto"/>
        <w:rPr>
          <w:sz w:val="20"/>
          <w:szCs w:val="20"/>
          <w:color w:val="auto"/>
        </w:rPr>
      </w:pPr>
      <w:r>
        <w:rPr>
          <w:rFonts w:ascii="Arial" w:cs="Arial" w:eastAsia="Arial" w:hAnsi="Arial"/>
          <w:sz w:val="10"/>
          <w:szCs w:val="10"/>
          <w:color w:val="auto"/>
        </w:rPr>
        <w:t>There is an inherent amount of uncertainty in the establishment of liabilities for unpaid losses and LAE. This uncertainty is greatest in the current and most recent accident years due to the relative newness of the claims being reported and the relatively small percentage of these claims that have been reported, investigated, and adjusted by the Company’s claims staff. Therefore, the reserves carried in these more recent accident years are generally more conservative than those carried for older accident years. As the Company has the opportunity to investigate and adjust the reported claims, both the case and IBNR reserves are adjusted to more closely reflect the ultimate expected loss.</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Other factors that have or can have an impact on the Company’s case and IBNR reserves include but are not limited to those described below.</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u w:val="single" w:color="auto"/>
          <w:color w:val="auto"/>
        </w:rPr>
        <w:t>Changes in liability law and public attitudes regarding damage awards</w:t>
      </w:r>
    </w:p>
    <w:p>
      <w:pPr>
        <w:spacing w:after="0" w:line="123" w:lineRule="exact"/>
        <w:rPr>
          <w:sz w:val="20"/>
          <w:szCs w:val="20"/>
          <w:color w:val="auto"/>
        </w:rPr>
      </w:pPr>
    </w:p>
    <w:p>
      <w:pPr>
        <w:ind w:right="20" w:firstLine="432"/>
        <w:spacing w:after="0" w:line="290" w:lineRule="auto"/>
        <w:rPr>
          <w:sz w:val="20"/>
          <w:szCs w:val="20"/>
          <w:color w:val="auto"/>
        </w:rPr>
      </w:pPr>
      <w:r>
        <w:rPr>
          <w:rFonts w:ascii="Arial" w:cs="Arial" w:eastAsia="Arial" w:hAnsi="Arial"/>
          <w:sz w:val="11"/>
          <w:szCs w:val="11"/>
          <w:color w:val="auto"/>
        </w:rPr>
        <w:t>Laws governing liability claims and judicial interpretations thereof can change over time, which can expand the scope of coverage anticipated by insurers when initially establishing reserves for claims. In addition, public attitudes regarding damage awards can result in judges and juries granting higher recoveries for damages than expected by claims personnel when claims are presented. In addition, these changes can result in both increased claim frequency and severity as both plaintiffs and their legal counsel perceive the opportunity for higher damage awards. Reserves established for claims that occurred in prior years would not have anticipated these legal changes and, therefore, could prove to be inadequate for the ultimate losses paid by the Company, causing the Company to experience adverse development and higher loss payments in future years.</w:t>
      </w:r>
    </w:p>
    <w:p>
      <w:pPr>
        <w:spacing w:after="0" w:line="91" w:lineRule="exact"/>
        <w:rPr>
          <w:sz w:val="20"/>
          <w:szCs w:val="20"/>
          <w:color w:val="auto"/>
        </w:rPr>
      </w:pPr>
    </w:p>
    <w:p>
      <w:pPr>
        <w:ind w:left="420"/>
        <w:spacing w:after="0"/>
        <w:rPr>
          <w:sz w:val="20"/>
          <w:szCs w:val="20"/>
          <w:color w:val="auto"/>
        </w:rPr>
      </w:pPr>
      <w:r>
        <w:rPr>
          <w:rFonts w:ascii="Arial" w:cs="Arial" w:eastAsia="Arial" w:hAnsi="Arial"/>
          <w:sz w:val="12"/>
          <w:szCs w:val="12"/>
          <w:u w:val="single" w:color="auto"/>
          <w:color w:val="auto"/>
        </w:rPr>
        <w:t>Change in claims handling and/or setting case reserves</w:t>
      </w:r>
    </w:p>
    <w:p>
      <w:pPr>
        <w:spacing w:after="0" w:line="12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Changes in Company personnel and/or the approach to how claims are reported, adjusted, and reserved may affect the reserves established by the Company. As discussed above, the setting of IBNR reserves is not an exact science and involves the expert judgment of an actuary. One actuary’s reserve opinion may differ slightly from another actuary’s opinion. This is the primary reason why the IBNR reserve estimate is customarily reported as a range by a company’s actuary, which provides a company with an acceptable “range” to use in establishing its best estimate for IBNR reserves.</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2"/>
          <w:szCs w:val="12"/>
          <w:u w:val="single" w:color="auto"/>
          <w:color w:val="auto"/>
        </w:rPr>
        <w:t>Economic inflation</w:t>
      </w:r>
    </w:p>
    <w:p>
      <w:pPr>
        <w:spacing w:after="0" w:line="132" w:lineRule="exact"/>
        <w:rPr>
          <w:sz w:val="20"/>
          <w:szCs w:val="20"/>
          <w:color w:val="auto"/>
        </w:rPr>
      </w:pPr>
    </w:p>
    <w:p>
      <w:pPr>
        <w:ind w:right="200" w:firstLine="432"/>
        <w:spacing w:after="0" w:line="259" w:lineRule="auto"/>
        <w:rPr>
          <w:sz w:val="20"/>
          <w:szCs w:val="20"/>
          <w:color w:val="auto"/>
        </w:rPr>
      </w:pPr>
      <w:r>
        <w:rPr>
          <w:rFonts w:ascii="Arial" w:cs="Arial" w:eastAsia="Arial" w:hAnsi="Arial"/>
          <w:sz w:val="12"/>
          <w:szCs w:val="12"/>
          <w:color w:val="auto"/>
        </w:rPr>
        <w:t>A sudden and extreme increase in the economic inflation rate could have a significant impact on the Company’s case and IBNR reserves. When establishing case reserves, claims personnel generally establish an amount that in their opinion will provide a conservative amount to settle the loss. If the time to settle the claim extends over a period of years, the initial reserve may not anticipate an economic inflation rate that is significantly higher than the current inflation rate. This can also apply to IBNR reserves. Should the economic inflation rate increase significantly, it is likely that the Company may not anticipate the need to adjust the IBNR reserves accordingly, which could lead to the Company being deficient in its IBNR reserves.</w:t>
      </w:r>
    </w:p>
    <w:p>
      <w:pPr>
        <w:spacing w:after="0" w:line="12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29234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2340" cy="17145"/>
                    </a:xfrm>
                    <a:prstGeom prst="rect">
                      <a:avLst/>
                    </a:prstGeom>
                    <a:noFill/>
                  </pic:spPr>
                </pic:pic>
              </a:graphicData>
            </a:graphic>
          </wp:anchor>
        </w:drawing>
      </w:r>
    </w:p>
    <w:p>
      <w:pPr>
        <w:sectPr>
          <w:pgSz w:w="11900" w:h="16838" w:orient="portrait"/>
          <w:cols w:equalWidth="0" w:num="1">
            <w:col w:w="11460"/>
          </w:cols>
          <w:pgMar w:left="220" w:top="203" w:right="219" w:bottom="1440" w:gutter="0" w:footer="0" w:header="0"/>
        </w:sectPr>
      </w:pPr>
    </w:p>
    <w:bookmarkStart w:id="42" w:name="page43"/>
    <w:bookmarkEnd w:id="42"/>
    <w:p>
      <w:pPr>
        <w:ind w:left="2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u w:val="single" w:color="auto"/>
          <w:color w:val="auto"/>
        </w:rPr>
        <w:t>Increases or decreases in claim severity for reasons other than inflation</w:t>
      </w:r>
    </w:p>
    <w:p>
      <w:pPr>
        <w:spacing w:after="0" w:line="123" w:lineRule="exact"/>
        <w:rPr>
          <w:sz w:val="20"/>
          <w:szCs w:val="20"/>
          <w:color w:val="auto"/>
        </w:rPr>
      </w:pPr>
    </w:p>
    <w:p>
      <w:pPr>
        <w:ind w:right="80" w:firstLine="432"/>
        <w:spacing w:after="0" w:line="290" w:lineRule="auto"/>
        <w:rPr>
          <w:sz w:val="20"/>
          <w:szCs w:val="20"/>
          <w:color w:val="auto"/>
        </w:rPr>
      </w:pPr>
      <w:r>
        <w:rPr>
          <w:rFonts w:ascii="Arial" w:cs="Arial" w:eastAsia="Arial" w:hAnsi="Arial"/>
          <w:sz w:val="11"/>
          <w:szCs w:val="11"/>
          <w:color w:val="auto"/>
        </w:rPr>
        <w:t>Factors exist that can drive the cost to settle claims for reasons other than standard inflation. For example, demand surge caused by a very large catastrophe (as in the case of Hurricane Katrina) has an impact on not only the availability and cost of building materials such as roofing and other materials, but also on the availability and cost of labor. Other factors such as increased vehicle traffic in an area not designed to handle the increased congestion and increased speed limits on busy roads are examples of changes that could cause claim severity to increase beyond what the Company’s historic reserves would reflect. In addition, unexpected increases in the labor costs and healthcare costs that underlie insured risks, changes in costs of building materials, or changes in commodity prices for insured crops may cause fluctuations in the ultimate development of the case reserves.</w:t>
      </w:r>
    </w:p>
    <w:p>
      <w:pPr>
        <w:spacing w:after="0" w:line="91" w:lineRule="exact"/>
        <w:rPr>
          <w:sz w:val="20"/>
          <w:szCs w:val="20"/>
          <w:color w:val="auto"/>
        </w:rPr>
      </w:pPr>
    </w:p>
    <w:p>
      <w:pPr>
        <w:ind w:left="420"/>
        <w:spacing w:after="0"/>
        <w:rPr>
          <w:sz w:val="20"/>
          <w:szCs w:val="20"/>
          <w:color w:val="auto"/>
        </w:rPr>
      </w:pPr>
      <w:r>
        <w:rPr>
          <w:rFonts w:ascii="Arial" w:cs="Arial" w:eastAsia="Arial" w:hAnsi="Arial"/>
          <w:sz w:val="12"/>
          <w:szCs w:val="12"/>
          <w:u w:val="single" w:color="auto"/>
          <w:color w:val="auto"/>
        </w:rPr>
        <w:t>Actual settlement experience different from historical data trends</w:t>
      </w:r>
    </w:p>
    <w:p>
      <w:pPr>
        <w:spacing w:after="0" w:line="123"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color w:val="auto"/>
        </w:rPr>
        <w:t>When establishing IBNR reserves, the Company’s actuary takes into account many of the factors discussed above. One of the more important factors that is considered when setting reserves is the past or historical claim settlement experience. Our actuary considers factors such as the number of files entering litigation, payment patterns, length of time it takes Company claims personnel to settle the claims, and average payment amounts when estimating reserve amounts. Should future settlement patterns change due to the legal environment, Company claims handling philosophy, or personnel, it may have an impact on the future claims payments, which could cause existing reserves to either be redundant (excessive) or deficient (below) compared to the actual loss amount.</w:t>
      </w:r>
    </w:p>
    <w:p>
      <w:pPr>
        <w:spacing w:after="0" w:line="98" w:lineRule="exact"/>
        <w:rPr>
          <w:sz w:val="20"/>
          <w:szCs w:val="20"/>
          <w:color w:val="auto"/>
        </w:rPr>
      </w:pPr>
    </w:p>
    <w:p>
      <w:pPr>
        <w:ind w:left="420"/>
        <w:spacing w:after="0"/>
        <w:rPr>
          <w:sz w:val="20"/>
          <w:szCs w:val="20"/>
          <w:color w:val="auto"/>
        </w:rPr>
      </w:pPr>
      <w:r>
        <w:rPr>
          <w:rFonts w:ascii="Arial" w:cs="Arial" w:eastAsia="Arial" w:hAnsi="Arial"/>
          <w:sz w:val="12"/>
          <w:szCs w:val="12"/>
          <w:u w:val="single" w:color="auto"/>
          <w:color w:val="auto"/>
        </w:rPr>
        <w:t>Change in Reporting Lag</w:t>
      </w:r>
    </w:p>
    <w:p>
      <w:pPr>
        <w:spacing w:after="0" w:line="132" w:lineRule="exact"/>
        <w:rPr>
          <w:sz w:val="20"/>
          <w:szCs w:val="20"/>
          <w:color w:val="auto"/>
        </w:rPr>
      </w:pPr>
    </w:p>
    <w:p>
      <w:pPr>
        <w:ind w:right="100" w:firstLine="432"/>
        <w:spacing w:after="0" w:line="259" w:lineRule="auto"/>
        <w:rPr>
          <w:sz w:val="20"/>
          <w:szCs w:val="20"/>
          <w:color w:val="auto"/>
        </w:rPr>
      </w:pPr>
      <w:r>
        <w:rPr>
          <w:rFonts w:ascii="Arial" w:cs="Arial" w:eastAsia="Arial" w:hAnsi="Arial"/>
          <w:sz w:val="12"/>
          <w:szCs w:val="12"/>
          <w:color w:val="auto"/>
        </w:rPr>
        <w:t>As discussed above, NI Holdings and its actuary utilize historical patterns to provide an accurate estimate of what will take place in the future. Should we experience an unexpected delay in reporting time (claims are slower to be reported than in the past), our actuary or we may underestimate the anticipated number of future claims, which could cause the ultimate loss we may experience to be underestimated. A lag in reporting may be caused by changes in how claims are reported (online vs. through company personnel), the type of business or lines of business the Company is writing, the Company’s distribution system (direct writer, independent agent, or captive agent), and the geographic area where the Company chooses to insure risk.</w:t>
      </w:r>
    </w:p>
    <w:p>
      <w:pPr>
        <w:spacing w:after="0" w:line="98" w:lineRule="exact"/>
        <w:rPr>
          <w:sz w:val="20"/>
          <w:szCs w:val="20"/>
          <w:color w:val="auto"/>
        </w:rPr>
      </w:pPr>
    </w:p>
    <w:p>
      <w:pPr>
        <w:ind w:right="200" w:firstLine="432"/>
        <w:spacing w:after="0" w:line="263" w:lineRule="auto"/>
        <w:rPr>
          <w:sz w:val="20"/>
          <w:szCs w:val="20"/>
          <w:color w:val="auto"/>
        </w:rPr>
      </w:pPr>
      <w:r>
        <w:rPr>
          <w:rFonts w:ascii="Arial" w:cs="Arial" w:eastAsia="Arial" w:hAnsi="Arial"/>
          <w:sz w:val="12"/>
          <w:szCs w:val="12"/>
          <w:color w:val="auto"/>
        </w:rPr>
        <w:t>Due to the inherent uncertainty underlying loss reserve estimates, final resolution of the estimated liability for unpaid losses and LAE may be higher or lower than the related loss reserves at the reporting date. Therefore, actual paid losses, as claims are settled in the future, may be materially higher or lower in amount than current loss reserves. The Company reflects adjustments to the liability for unpaid losses and LAE in the results of operations during the period in which the estimates are changed.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820" w:type="dxa"/>
            <w:vAlign w:val="bottom"/>
          </w:tcPr>
          <w:p>
            <w:pPr>
              <w:ind w:left="420"/>
              <w:spacing w:after="0"/>
              <w:rPr>
                <w:sz w:val="20"/>
                <w:szCs w:val="20"/>
                <w:color w:val="auto"/>
              </w:rPr>
            </w:pPr>
            <w:r>
              <w:rPr>
                <w:rFonts w:ascii="Arial" w:cs="Arial" w:eastAsia="Arial" w:hAnsi="Arial"/>
                <w:sz w:val="12"/>
                <w:szCs w:val="12"/>
                <w:i w:val="1"/>
                <w:iCs w:val="1"/>
                <w:color w:val="auto"/>
              </w:rPr>
              <w:t>Actuarial Loss Reserves</w:t>
            </w:r>
          </w:p>
        </w:tc>
        <w:tc>
          <w:tcPr>
            <w:tcW w:w="4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4820" w:type="dxa"/>
            <w:vAlign w:val="bottom"/>
          </w:tcPr>
          <w:p>
            <w:pPr>
              <w:ind w:left="420"/>
              <w:spacing w:after="0"/>
              <w:rPr>
                <w:sz w:val="20"/>
                <w:szCs w:val="20"/>
                <w:color w:val="auto"/>
              </w:rPr>
            </w:pPr>
            <w:r>
              <w:rPr>
                <w:rFonts w:ascii="Arial" w:cs="Arial" w:eastAsia="Arial" w:hAnsi="Arial"/>
                <w:sz w:val="12"/>
                <w:szCs w:val="12"/>
                <w:color w:val="auto"/>
              </w:rPr>
              <w:t>NI Holdings’ liabilities for unpaid losses and LAE are summarized below:</w:t>
            </w:r>
          </w:p>
        </w:tc>
        <w:tc>
          <w:tcPr>
            <w:tcW w:w="4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20" w:type="dxa"/>
            <w:vAlign w:val="bottom"/>
          </w:tcPr>
          <w:p>
            <w:pPr>
              <w:spacing w:after="0"/>
              <w:rPr>
                <w:sz w:val="23"/>
                <w:szCs w:val="23"/>
                <w:color w:val="auto"/>
              </w:rPr>
            </w:pPr>
          </w:p>
        </w:tc>
        <w:tc>
          <w:tcPr>
            <w:tcW w:w="4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gridSpan w:val="2"/>
          </w:tcPr>
          <w:p>
            <w:pPr>
              <w:ind w:left="100"/>
              <w:spacing w:after="0"/>
              <w:rPr>
                <w:sz w:val="20"/>
                <w:szCs w:val="20"/>
                <w:color w:val="auto"/>
              </w:rPr>
            </w:pPr>
            <w:r>
              <w:rPr>
                <w:rFonts w:ascii="Arial" w:cs="Arial" w:eastAsia="Arial" w:hAnsi="Arial"/>
                <w:sz w:val="12"/>
                <w:szCs w:val="12"/>
                <w:b w:val="1"/>
                <w:bCs w:val="1"/>
                <w:color w:val="auto"/>
              </w:rPr>
              <w:t>June 30, 2018</w:t>
            </w:r>
          </w:p>
        </w:tc>
        <w:tc>
          <w:tcPr>
            <w:tcW w:w="60" w:type="dxa"/>
            <w:vAlign w:val="bottom"/>
          </w:tcPr>
          <w:p>
            <w:pPr>
              <w:spacing w:after="0"/>
              <w:rPr>
                <w:sz w:val="23"/>
                <w:szCs w:val="23"/>
                <w:color w:val="auto"/>
              </w:rPr>
            </w:pPr>
          </w:p>
        </w:tc>
        <w:tc>
          <w:tcPr>
            <w:tcW w:w="1180" w:type="dxa"/>
            <w:vAlign w:val="bottom"/>
            <w:gridSpan w:val="2"/>
          </w:tcPr>
          <w:p>
            <w:pPr>
              <w:ind w:left="20"/>
              <w:spacing w:after="0"/>
              <w:rPr>
                <w:sz w:val="20"/>
                <w:szCs w:val="20"/>
                <w:color w:val="auto"/>
              </w:rPr>
            </w:pPr>
            <w:r>
              <w:rPr>
                <w:rFonts w:ascii="Arial" w:cs="Arial" w:eastAsia="Arial" w:hAnsi="Arial"/>
                <w:sz w:val="12"/>
                <w:szCs w:val="12"/>
                <w:b w:val="1"/>
                <w:bCs w:val="1"/>
                <w:color w:val="auto"/>
              </w:rPr>
              <w:t>December 31, 2017</w:t>
            </w:r>
          </w:p>
        </w:tc>
        <w:tc>
          <w:tcPr>
            <w:tcW w:w="0" w:type="dxa"/>
            <w:vAlign w:val="bottom"/>
          </w:tcPr>
          <w:p>
            <w:pPr>
              <w:spacing w:after="0"/>
              <w:rPr>
                <w:sz w:val="1"/>
                <w:szCs w:val="1"/>
                <w:color w:val="auto"/>
              </w:rPr>
            </w:pPr>
          </w:p>
        </w:tc>
      </w:tr>
      <w:tr>
        <w:trPr>
          <w:trHeight w:val="133"/>
        </w:trPr>
        <w:tc>
          <w:tcPr>
            <w:tcW w:w="482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Case reserves</w:t>
            </w:r>
          </w:p>
        </w:tc>
        <w:tc>
          <w:tcPr>
            <w:tcW w:w="40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46,379</w:t>
            </w:r>
          </w:p>
        </w:tc>
        <w:tc>
          <w:tcPr>
            <w:tcW w:w="2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ind w:left="740"/>
              <w:spacing w:after="0" w:line="133" w:lineRule="exact"/>
              <w:rPr>
                <w:sz w:val="20"/>
                <w:szCs w:val="20"/>
                <w:color w:val="auto"/>
              </w:rPr>
            </w:pPr>
            <w:r>
              <w:rPr>
                <w:rFonts w:ascii="Arial" w:cs="Arial" w:eastAsia="Arial" w:hAnsi="Arial"/>
                <w:sz w:val="12"/>
                <w:szCs w:val="12"/>
                <w:color w:val="auto"/>
                <w:w w:val="81"/>
              </w:rPr>
              <w:t>29,376</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820" w:type="dxa"/>
            <w:vAlign w:val="bottom"/>
          </w:tcPr>
          <w:p>
            <w:pPr>
              <w:spacing w:after="0"/>
              <w:rPr>
                <w:sz w:val="20"/>
                <w:szCs w:val="20"/>
                <w:color w:val="auto"/>
              </w:rPr>
            </w:pPr>
            <w:r>
              <w:rPr>
                <w:rFonts w:ascii="Arial" w:cs="Arial" w:eastAsia="Arial" w:hAnsi="Arial"/>
                <w:sz w:val="12"/>
                <w:szCs w:val="12"/>
                <w:color w:val="auto"/>
              </w:rPr>
              <w:t>IBNR reserves</w:t>
            </w:r>
          </w:p>
        </w:tc>
        <w:tc>
          <w:tcPr>
            <w:tcW w:w="4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13,396</w:t>
            </w:r>
          </w:p>
        </w:tc>
        <w:tc>
          <w:tcPr>
            <w:tcW w:w="60" w:type="dxa"/>
            <w:vAlign w:val="bottom"/>
          </w:tcPr>
          <w:p>
            <w:pPr>
              <w:spacing w:after="0"/>
              <w:rPr>
                <w:sz w:val="13"/>
                <w:szCs w:val="13"/>
                <w:color w:val="auto"/>
              </w:rPr>
            </w:pPr>
          </w:p>
        </w:tc>
        <w:tc>
          <w:tcPr>
            <w:tcW w:w="1180" w:type="dxa"/>
            <w:vAlign w:val="bottom"/>
            <w:gridSpan w:val="2"/>
          </w:tcPr>
          <w:p>
            <w:pPr>
              <w:ind w:left="740"/>
              <w:spacing w:after="0"/>
              <w:rPr>
                <w:sz w:val="20"/>
                <w:szCs w:val="20"/>
                <w:color w:val="auto"/>
              </w:rPr>
            </w:pPr>
            <w:r>
              <w:rPr>
                <w:rFonts w:ascii="Arial" w:cs="Arial" w:eastAsia="Arial" w:hAnsi="Arial"/>
                <w:sz w:val="12"/>
                <w:szCs w:val="12"/>
                <w:color w:val="auto"/>
              </w:rPr>
              <w:t>12,386</w:t>
            </w:r>
          </w:p>
        </w:tc>
        <w:tc>
          <w:tcPr>
            <w:tcW w:w="0" w:type="dxa"/>
            <w:vAlign w:val="bottom"/>
          </w:tcPr>
          <w:p>
            <w:pPr>
              <w:spacing w:after="0"/>
              <w:rPr>
                <w:sz w:val="1"/>
                <w:szCs w:val="1"/>
                <w:color w:val="auto"/>
              </w:rPr>
            </w:pPr>
          </w:p>
        </w:tc>
      </w:tr>
      <w:tr>
        <w:trPr>
          <w:trHeight w:val="133"/>
        </w:trPr>
        <w:tc>
          <w:tcPr>
            <w:tcW w:w="4820" w:type="dxa"/>
            <w:vAlign w:val="bottom"/>
            <w:tcBorders>
              <w:top w:val="single" w:sz="8" w:color="CCEEFF"/>
            </w:tcBorders>
            <w:shd w:val="clear" w:color="auto" w:fill="CCEEFF"/>
          </w:tcPr>
          <w:p>
            <w:pPr>
              <w:ind w:left="80"/>
              <w:spacing w:after="0" w:line="133" w:lineRule="exact"/>
              <w:rPr>
                <w:sz w:val="20"/>
                <w:szCs w:val="20"/>
                <w:color w:val="auto"/>
              </w:rPr>
            </w:pPr>
            <w:r>
              <w:rPr>
                <w:rFonts w:ascii="Arial" w:cs="Arial" w:eastAsia="Arial" w:hAnsi="Arial"/>
                <w:sz w:val="12"/>
                <w:szCs w:val="12"/>
                <w:color w:val="auto"/>
              </w:rPr>
              <w:t>Net unpaid losses and LAE</w:t>
            </w:r>
          </w:p>
        </w:tc>
        <w:tc>
          <w:tcPr>
            <w:tcW w:w="40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59,775</w:t>
            </w:r>
          </w:p>
        </w:tc>
        <w:tc>
          <w:tcPr>
            <w:tcW w:w="2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ind w:left="740"/>
              <w:spacing w:after="0" w:line="133" w:lineRule="exact"/>
              <w:rPr>
                <w:sz w:val="20"/>
                <w:szCs w:val="20"/>
                <w:color w:val="auto"/>
              </w:rPr>
            </w:pPr>
            <w:r>
              <w:rPr>
                <w:rFonts w:ascii="Arial" w:cs="Arial" w:eastAsia="Arial" w:hAnsi="Arial"/>
                <w:sz w:val="12"/>
                <w:szCs w:val="12"/>
                <w:color w:val="auto"/>
                <w:w w:val="81"/>
              </w:rPr>
              <w:t>41,762</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820" w:type="dxa"/>
            <w:vAlign w:val="bottom"/>
          </w:tcPr>
          <w:p>
            <w:pPr>
              <w:spacing w:after="0"/>
              <w:rPr>
                <w:sz w:val="20"/>
                <w:szCs w:val="20"/>
                <w:color w:val="auto"/>
              </w:rPr>
            </w:pPr>
            <w:r>
              <w:rPr>
                <w:rFonts w:ascii="Arial" w:cs="Arial" w:eastAsia="Arial" w:hAnsi="Arial"/>
                <w:sz w:val="12"/>
                <w:szCs w:val="12"/>
                <w:color w:val="auto"/>
              </w:rPr>
              <w:t>Reinsurance recoverables on losses</w:t>
            </w:r>
          </w:p>
        </w:tc>
        <w:tc>
          <w:tcPr>
            <w:tcW w:w="4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3,601</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tcPr>
          <w:p>
            <w:pPr>
              <w:ind w:left="800"/>
              <w:spacing w:after="0"/>
              <w:rPr>
                <w:sz w:val="20"/>
                <w:szCs w:val="20"/>
                <w:color w:val="auto"/>
              </w:rPr>
            </w:pPr>
            <w:r>
              <w:rPr>
                <w:rFonts w:ascii="Arial" w:cs="Arial" w:eastAsia="Arial" w:hAnsi="Arial"/>
                <w:sz w:val="12"/>
                <w:szCs w:val="12"/>
                <w:color w:val="auto"/>
              </w:rPr>
              <w:t>4,128</w:t>
            </w:r>
          </w:p>
        </w:tc>
        <w:tc>
          <w:tcPr>
            <w:tcW w:w="0" w:type="dxa"/>
            <w:vAlign w:val="bottom"/>
          </w:tcPr>
          <w:p>
            <w:pPr>
              <w:spacing w:after="0"/>
              <w:rPr>
                <w:sz w:val="1"/>
                <w:szCs w:val="1"/>
                <w:color w:val="auto"/>
              </w:rPr>
            </w:pPr>
          </w:p>
        </w:tc>
      </w:tr>
      <w:tr>
        <w:trPr>
          <w:trHeight w:val="20"/>
        </w:trPr>
        <w:tc>
          <w:tcPr>
            <w:tcW w:w="4820" w:type="dxa"/>
            <w:vAlign w:val="bottom"/>
            <w:vMerge w:val="restart"/>
            <w:shd w:val="clear" w:color="auto" w:fill="CCEEFF"/>
          </w:tcPr>
          <w:p>
            <w:pPr>
              <w:ind w:left="80"/>
              <w:spacing w:after="0"/>
              <w:rPr>
                <w:sz w:val="20"/>
                <w:szCs w:val="20"/>
                <w:color w:val="auto"/>
              </w:rPr>
            </w:pPr>
            <w:r>
              <w:rPr>
                <w:rFonts w:ascii="Arial" w:cs="Arial" w:eastAsia="Arial" w:hAnsi="Arial"/>
                <w:sz w:val="12"/>
                <w:szCs w:val="12"/>
                <w:color w:val="auto"/>
              </w:rPr>
              <w:t>Liability for unpaid losses and LAE</w:t>
            </w:r>
          </w:p>
        </w:tc>
        <w:tc>
          <w:tcPr>
            <w:tcW w:w="40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820" w:type="dxa"/>
            <w:vAlign w:val="bottom"/>
            <w:vMerge w:val="continue"/>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63,376</w:t>
            </w: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ind w:left="740"/>
              <w:spacing w:after="0"/>
              <w:rPr>
                <w:sz w:val="20"/>
                <w:szCs w:val="20"/>
                <w:color w:val="auto"/>
              </w:rPr>
            </w:pPr>
            <w:r>
              <w:rPr>
                <w:rFonts w:ascii="Arial" w:cs="Arial" w:eastAsia="Arial" w:hAnsi="Arial"/>
                <w:sz w:val="12"/>
                <w:szCs w:val="12"/>
                <w:color w:val="auto"/>
              </w:rPr>
              <w:t>45,890</w:t>
            </w:r>
          </w:p>
        </w:tc>
        <w:tc>
          <w:tcPr>
            <w:tcW w:w="0" w:type="dxa"/>
            <w:vAlign w:val="bottom"/>
          </w:tcPr>
          <w:p>
            <w:pPr>
              <w:spacing w:after="0"/>
              <w:rPr>
                <w:sz w:val="1"/>
                <w:szCs w:val="1"/>
                <w:color w:val="auto"/>
              </w:rPr>
            </w:pPr>
          </w:p>
        </w:tc>
      </w:tr>
      <w:tr>
        <w:trPr>
          <w:trHeight w:val="571"/>
        </w:trPr>
        <w:tc>
          <w:tcPr>
            <w:tcW w:w="4820" w:type="dxa"/>
            <w:vAlign w:val="bottom"/>
            <w:tcBorders>
              <w:top w:val="single" w:sz="8" w:color="CCEEFF"/>
              <w:bottom w:val="single" w:sz="8" w:color="auto"/>
            </w:tcBorders>
          </w:tcPr>
          <w:p>
            <w:pPr>
              <w:spacing w:after="0"/>
              <w:rPr>
                <w:sz w:val="24"/>
                <w:szCs w:val="24"/>
                <w:color w:val="auto"/>
              </w:rPr>
            </w:pPr>
          </w:p>
        </w:tc>
        <w:tc>
          <w:tcPr>
            <w:tcW w:w="4020" w:type="dxa"/>
            <w:vAlign w:val="bottom"/>
            <w:tcBorders>
              <w:top w:val="single" w:sz="8" w:color="CCEEFF"/>
              <w:bottom w:val="single" w:sz="8" w:color="auto"/>
            </w:tcBorders>
          </w:tcPr>
          <w:p>
            <w:pPr>
              <w:jc w:val="right"/>
              <w:ind w:right="3000"/>
              <w:spacing w:after="0"/>
              <w:rPr>
                <w:sz w:val="20"/>
                <w:szCs w:val="20"/>
                <w:color w:val="auto"/>
              </w:rPr>
            </w:pPr>
            <w:r>
              <w:rPr>
                <w:rFonts w:ascii="Arial" w:cs="Arial" w:eastAsia="Arial" w:hAnsi="Arial"/>
                <w:sz w:val="12"/>
                <w:szCs w:val="12"/>
                <w:color w:val="auto"/>
              </w:rPr>
              <w:t>41</w:t>
            </w:r>
          </w:p>
        </w:tc>
        <w:tc>
          <w:tcPr>
            <w:tcW w:w="14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203" w:right="19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180" w:type="dxa"/>
            <w:vAlign w:val="bottom"/>
            <w:gridSpan w:val="2"/>
          </w:tcPr>
          <w:p>
            <w:pPr>
              <w:spacing w:after="0"/>
              <w:rPr>
                <w:rFonts w:ascii="Arial" w:cs="Arial" w:eastAsia="Arial" w:hAnsi="Arial"/>
                <w:sz w:val="12"/>
                <w:szCs w:val="12"/>
                <w:i w:val="1"/>
                <w:iCs w:val="1"/>
                <w:color w:val="0000EE"/>
              </w:rPr>
            </w:pPr>
            <w:hyperlink w:anchor="page2">
              <w:r>
                <w:rPr>
                  <w:rFonts w:ascii="Arial" w:cs="Arial" w:eastAsia="Arial" w:hAnsi="Arial"/>
                  <w:sz w:val="12"/>
                  <w:szCs w:val="12"/>
                  <w:i w:val="1"/>
                  <w:iCs w:val="1"/>
                  <w:color w:val="0000EE"/>
                </w:rPr>
                <w:t>Table of Contents</w:t>
              </w:r>
            </w:hyperlink>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6180" w:type="dxa"/>
            <w:vAlign w:val="bottom"/>
            <w:gridSpan w:val="2"/>
          </w:tcPr>
          <w:p>
            <w:pPr>
              <w:ind w:left="400"/>
              <w:spacing w:after="0"/>
              <w:rPr>
                <w:sz w:val="20"/>
                <w:szCs w:val="20"/>
                <w:color w:val="auto"/>
              </w:rPr>
            </w:pPr>
            <w:r>
              <w:rPr>
                <w:rFonts w:ascii="Arial" w:cs="Arial" w:eastAsia="Arial" w:hAnsi="Arial"/>
                <w:sz w:val="12"/>
                <w:szCs w:val="12"/>
                <w:color w:val="auto"/>
              </w:rPr>
              <w:t>The following table provides case and IBNR reserves for unpaid losses and LAE by segment.</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6200" w:type="dxa"/>
            <w:vAlign w:val="bottom"/>
            <w:gridSpan w:val="3"/>
          </w:tcPr>
          <w:p>
            <w:pPr>
              <w:spacing w:after="0"/>
              <w:rPr>
                <w:sz w:val="20"/>
                <w:szCs w:val="20"/>
                <w:color w:val="auto"/>
              </w:rPr>
            </w:pPr>
            <w:r>
              <w:rPr>
                <w:rFonts w:ascii="Arial" w:cs="Arial" w:eastAsia="Arial" w:hAnsi="Arial"/>
                <w:sz w:val="12"/>
                <w:szCs w:val="12"/>
                <w:b w:val="1"/>
                <w:bCs w:val="1"/>
                <w:color w:val="auto"/>
              </w:rPr>
              <w:t>As of June 30, 2018</w:t>
            </w:r>
          </w:p>
        </w:tc>
        <w:tc>
          <w:tcPr>
            <w:tcW w:w="1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gridSpan w:val="2"/>
            <w:vMerge w:val="restart"/>
          </w:tcPr>
          <w:p>
            <w:pPr>
              <w:jc w:val="right"/>
              <w:ind w:right="460"/>
              <w:spacing w:after="0"/>
              <w:rPr>
                <w:sz w:val="20"/>
                <w:szCs w:val="20"/>
                <w:color w:val="auto"/>
              </w:rPr>
            </w:pPr>
            <w:r>
              <w:rPr>
                <w:rFonts w:ascii="Arial" w:cs="Arial" w:eastAsia="Arial" w:hAnsi="Arial"/>
                <w:sz w:val="12"/>
                <w:szCs w:val="12"/>
                <w:b w:val="1"/>
                <w:bCs w:val="1"/>
                <w:color w:val="auto"/>
                <w:w w:val="91"/>
              </w:rPr>
              <w:t>Case Reserves</w:t>
            </w:r>
          </w:p>
        </w:tc>
        <w:tc>
          <w:tcPr>
            <w:tcW w:w="120" w:type="dxa"/>
            <w:vAlign w:val="bottom"/>
          </w:tcPr>
          <w:p>
            <w:pPr>
              <w:spacing w:after="0"/>
              <w:rPr>
                <w:sz w:val="22"/>
                <w:szCs w:val="22"/>
                <w:color w:val="auto"/>
              </w:rPr>
            </w:pPr>
          </w:p>
        </w:tc>
        <w:tc>
          <w:tcPr>
            <w:tcW w:w="1260" w:type="dxa"/>
            <w:vAlign w:val="bottom"/>
            <w:gridSpan w:val="2"/>
            <w:vMerge w:val="restart"/>
          </w:tcPr>
          <w:p>
            <w:pPr>
              <w:jc w:val="right"/>
              <w:ind w:right="420"/>
              <w:spacing w:after="0"/>
              <w:rPr>
                <w:sz w:val="20"/>
                <w:szCs w:val="20"/>
                <w:color w:val="auto"/>
              </w:rPr>
            </w:pPr>
            <w:r>
              <w:rPr>
                <w:rFonts w:ascii="Arial" w:cs="Arial" w:eastAsia="Arial" w:hAnsi="Arial"/>
                <w:sz w:val="12"/>
                <w:szCs w:val="12"/>
                <w:b w:val="1"/>
                <w:bCs w:val="1"/>
                <w:color w:val="auto"/>
                <w:w w:val="95"/>
              </w:rPr>
              <w:t>IBNR Reserves</w:t>
            </w:r>
          </w:p>
        </w:tc>
        <w:tc>
          <w:tcPr>
            <w:tcW w:w="120" w:type="dxa"/>
            <w:vAlign w:val="bottom"/>
          </w:tcPr>
          <w:p>
            <w:pPr>
              <w:spacing w:after="0"/>
              <w:rPr>
                <w:sz w:val="22"/>
                <w:szCs w:val="22"/>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Total Reserves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200" w:type="dxa"/>
            <w:vAlign w:val="bottom"/>
            <w:tcBorders>
              <w:top w:val="single" w:sz="8" w:color="CCEEFF"/>
            </w:tcBorders>
            <w:gridSpan w:val="3"/>
            <w:shd w:val="clear" w:color="auto" w:fill="CCEEFF"/>
          </w:tcPr>
          <w:p>
            <w:pPr>
              <w:spacing w:after="0" w:line="133" w:lineRule="exact"/>
              <w:rPr>
                <w:sz w:val="20"/>
                <w:szCs w:val="20"/>
                <w:color w:val="auto"/>
              </w:rPr>
            </w:pPr>
            <w:r>
              <w:rPr>
                <w:rFonts w:ascii="Arial" w:cs="Arial" w:eastAsia="Arial" w:hAnsi="Arial"/>
                <w:sz w:val="12"/>
                <w:szCs w:val="12"/>
                <w:color w:val="auto"/>
              </w:rPr>
              <w:t>Private passenger auto</w:t>
            </w:r>
          </w:p>
        </w:tc>
        <w:tc>
          <w:tcPr>
            <w:tcW w:w="12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14,107</w:t>
            </w: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4,143</w:t>
            </w: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18,160</w:t>
            </w:r>
          </w:p>
        </w:tc>
        <w:tc>
          <w:tcPr>
            <w:tcW w:w="120" w:type="dxa"/>
            <w:vAlign w:val="bottom"/>
            <w:tcBorders>
              <w:top w:val="single" w:sz="8" w:color="CCEEFF"/>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200" w:type="dxa"/>
            <w:vAlign w:val="bottom"/>
            <w:gridSpan w:val="3"/>
          </w:tcPr>
          <w:p>
            <w:pPr>
              <w:spacing w:after="0"/>
              <w:rPr>
                <w:sz w:val="20"/>
                <w:szCs w:val="20"/>
                <w:color w:val="auto"/>
              </w:rPr>
            </w:pPr>
            <w:r>
              <w:rPr>
                <w:rFonts w:ascii="Arial" w:cs="Arial" w:eastAsia="Arial" w:hAnsi="Arial"/>
                <w:sz w:val="12"/>
                <w:szCs w:val="12"/>
                <w:color w:val="auto"/>
              </w:rPr>
              <w:t>Non-standard auto</w:t>
            </w: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5,295</w:t>
            </w: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647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5,942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2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Home and farm</w:t>
            </w: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13,945</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4,304</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18,249</w:t>
            </w:r>
          </w:p>
        </w:tc>
        <w:tc>
          <w:tcPr>
            <w:tcW w:w="12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200" w:type="dxa"/>
            <w:vAlign w:val="bottom"/>
            <w:gridSpan w:val="3"/>
          </w:tcPr>
          <w:p>
            <w:pPr>
              <w:spacing w:after="0"/>
              <w:rPr>
                <w:sz w:val="20"/>
                <w:szCs w:val="20"/>
                <w:color w:val="auto"/>
              </w:rPr>
            </w:pPr>
            <w:r>
              <w:rPr>
                <w:rFonts w:ascii="Arial" w:cs="Arial" w:eastAsia="Arial" w:hAnsi="Arial"/>
                <w:sz w:val="12"/>
                <w:szCs w:val="12"/>
                <w:color w:val="auto"/>
              </w:rPr>
              <w:t>Crop</w:t>
            </w: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9,099</w:t>
            </w: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9,121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2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All other</w:t>
            </w:r>
          </w:p>
        </w:tc>
        <w:tc>
          <w:tcPr>
            <w:tcW w:w="1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4,023</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4,280</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8,303</w:t>
            </w:r>
          </w:p>
        </w:tc>
        <w:tc>
          <w:tcPr>
            <w:tcW w:w="12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180" w:type="dxa"/>
            <w:vAlign w:val="bottom"/>
            <w:gridSpan w:val="2"/>
          </w:tcPr>
          <w:p>
            <w:pPr>
              <w:ind w:left="60"/>
              <w:spacing w:after="0" w:line="133" w:lineRule="exact"/>
              <w:rPr>
                <w:sz w:val="20"/>
                <w:szCs w:val="20"/>
                <w:color w:val="auto"/>
              </w:rPr>
            </w:pPr>
            <w:r>
              <w:rPr>
                <w:rFonts w:ascii="Arial" w:cs="Arial" w:eastAsia="Arial" w:hAnsi="Arial"/>
                <w:sz w:val="12"/>
                <w:szCs w:val="12"/>
                <w:color w:val="auto"/>
              </w:rPr>
              <w:t>Net unpaid losses and LAE</w:t>
            </w:r>
          </w:p>
        </w:tc>
        <w:tc>
          <w:tcPr>
            <w:tcW w:w="1260" w:type="dxa"/>
            <w:vAlign w:val="bottom"/>
          </w:tcPr>
          <w:p>
            <w:pPr>
              <w:spacing w:after="0"/>
              <w:rPr>
                <w:sz w:val="11"/>
                <w:szCs w:val="11"/>
                <w:color w:val="auto"/>
              </w:rPr>
            </w:pPr>
          </w:p>
        </w:tc>
        <w:tc>
          <w:tcPr>
            <w:tcW w:w="14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46,379</w:t>
            </w:r>
          </w:p>
        </w:tc>
        <w:tc>
          <w:tcPr>
            <w:tcW w:w="240" w:type="dxa"/>
            <w:vAlign w:val="bottom"/>
          </w:tcPr>
          <w:p>
            <w:pPr>
              <w:spacing w:after="0"/>
              <w:rPr>
                <w:sz w:val="11"/>
                <w:szCs w:val="11"/>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13,396</w:t>
            </w:r>
          </w:p>
        </w:tc>
        <w:tc>
          <w:tcPr>
            <w:tcW w:w="240" w:type="dxa"/>
            <w:vAlign w:val="bottom"/>
          </w:tcPr>
          <w:p>
            <w:pPr>
              <w:spacing w:after="0"/>
              <w:rPr>
                <w:sz w:val="11"/>
                <w:szCs w:val="11"/>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59,775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2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Reinsurance recoverables on losses</w:t>
            </w:r>
          </w:p>
        </w:tc>
        <w:tc>
          <w:tcPr>
            <w:tcW w:w="1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2,644</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957</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3,601</w:t>
            </w:r>
          </w:p>
        </w:tc>
        <w:tc>
          <w:tcPr>
            <w:tcW w:w="12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80" w:type="dxa"/>
            <w:vAlign w:val="bottom"/>
            <w:gridSpan w:val="2"/>
            <w:vMerge w:val="restart"/>
          </w:tcPr>
          <w:p>
            <w:pPr>
              <w:ind w:left="60"/>
              <w:spacing w:after="0"/>
              <w:rPr>
                <w:sz w:val="20"/>
                <w:szCs w:val="20"/>
                <w:color w:val="auto"/>
              </w:rPr>
            </w:pPr>
            <w:r>
              <w:rPr>
                <w:rFonts w:ascii="Arial" w:cs="Arial" w:eastAsia="Arial" w:hAnsi="Arial"/>
                <w:sz w:val="12"/>
                <w:szCs w:val="12"/>
                <w:color w:val="auto"/>
              </w:rPr>
              <w:t>Liability for unpaid losses and LAE</w:t>
            </w:r>
          </w:p>
        </w:tc>
        <w:tc>
          <w:tcPr>
            <w:tcW w:w="1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80" w:type="dxa"/>
            <w:vAlign w:val="bottom"/>
            <w:gridSpan w:val="2"/>
            <w:vMerge w:val="continue"/>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49,023</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14,353</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63,376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4"/>
        </w:trPr>
        <w:tc>
          <w:tcPr>
            <w:tcW w:w="6200" w:type="dxa"/>
            <w:vAlign w:val="bottom"/>
            <w:gridSpan w:val="3"/>
          </w:tcPr>
          <w:p>
            <w:pPr>
              <w:spacing w:after="0"/>
              <w:rPr>
                <w:sz w:val="20"/>
                <w:szCs w:val="20"/>
                <w:color w:val="auto"/>
              </w:rPr>
            </w:pPr>
            <w:r>
              <w:rPr>
                <w:rFonts w:ascii="Arial" w:cs="Arial" w:eastAsia="Arial" w:hAnsi="Arial"/>
                <w:sz w:val="12"/>
                <w:szCs w:val="12"/>
                <w:b w:val="1"/>
                <w:bCs w:val="1"/>
                <w:color w:val="auto"/>
              </w:rPr>
              <w:t>As of December 31, 2017</w:t>
            </w:r>
          </w:p>
        </w:tc>
        <w:tc>
          <w:tcPr>
            <w:tcW w:w="12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vMerge w:val="restart"/>
          </w:tcPr>
          <w:p>
            <w:pPr>
              <w:jc w:val="right"/>
              <w:ind w:right="160"/>
              <w:spacing w:after="0"/>
              <w:rPr>
                <w:sz w:val="20"/>
                <w:szCs w:val="20"/>
                <w:color w:val="auto"/>
              </w:rPr>
            </w:pPr>
            <w:r>
              <w:rPr>
                <w:rFonts w:ascii="Arial" w:cs="Arial" w:eastAsia="Arial" w:hAnsi="Arial"/>
                <w:sz w:val="12"/>
                <w:szCs w:val="12"/>
                <w:b w:val="1"/>
                <w:bCs w:val="1"/>
                <w:color w:val="auto"/>
                <w:w w:val="91"/>
              </w:rPr>
              <w:t>Case Reserves</w:t>
            </w:r>
          </w:p>
        </w:tc>
        <w:tc>
          <w:tcPr>
            <w:tcW w:w="240" w:type="dxa"/>
            <w:vAlign w:val="bottom"/>
            <w:vMerge w:val="restart"/>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vMerge w:val="restart"/>
          </w:tcPr>
          <w:p>
            <w:pPr>
              <w:jc w:val="right"/>
              <w:ind w:right="120"/>
              <w:spacing w:after="0"/>
              <w:rPr>
                <w:sz w:val="20"/>
                <w:szCs w:val="20"/>
                <w:color w:val="auto"/>
              </w:rPr>
            </w:pPr>
            <w:r>
              <w:rPr>
                <w:rFonts w:ascii="Arial" w:cs="Arial" w:eastAsia="Arial" w:hAnsi="Arial"/>
                <w:sz w:val="12"/>
                <w:szCs w:val="12"/>
                <w:b w:val="1"/>
                <w:bCs w:val="1"/>
                <w:color w:val="auto"/>
                <w:w w:val="95"/>
              </w:rPr>
              <w:t>IBNR Reserves</w:t>
            </w:r>
          </w:p>
        </w:tc>
        <w:tc>
          <w:tcPr>
            <w:tcW w:w="240" w:type="dxa"/>
            <w:vAlign w:val="bottom"/>
            <w:vMerge w:val="restart"/>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vMerge w:val="restart"/>
          </w:tcPr>
          <w:p>
            <w:pPr>
              <w:jc w:val="right"/>
              <w:ind w:right="120"/>
              <w:spacing w:after="0"/>
              <w:rPr>
                <w:sz w:val="20"/>
                <w:szCs w:val="20"/>
                <w:color w:val="auto"/>
              </w:rPr>
            </w:pPr>
            <w:r>
              <w:rPr>
                <w:rFonts w:ascii="Arial" w:cs="Arial" w:eastAsia="Arial" w:hAnsi="Arial"/>
                <w:sz w:val="12"/>
                <w:szCs w:val="12"/>
                <w:b w:val="1"/>
                <w:bCs w:val="1"/>
                <w:color w:val="auto"/>
                <w:w w:val="93"/>
              </w:rPr>
              <w:t>Total Reserves</w:t>
            </w:r>
          </w:p>
        </w:tc>
        <w:tc>
          <w:tcPr>
            <w:tcW w:w="1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5340" w:type="dxa"/>
            <w:vAlign w:val="bottom"/>
            <w:tcBorders>
              <w:bottom w:val="single" w:sz="8" w:color="CCEEFF"/>
            </w:tcBorders>
          </w:tcPr>
          <w:p>
            <w:pPr>
              <w:spacing w:after="0"/>
              <w:rPr>
                <w:sz w:val="13"/>
                <w:szCs w:val="13"/>
                <w:color w:val="auto"/>
              </w:rPr>
            </w:pPr>
          </w:p>
        </w:tc>
        <w:tc>
          <w:tcPr>
            <w:tcW w:w="12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CCEEFF"/>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CCEEFF"/>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200" w:type="dxa"/>
            <w:vAlign w:val="bottom"/>
            <w:gridSpan w:val="3"/>
            <w:shd w:val="clear" w:color="auto" w:fill="CCEEFF"/>
          </w:tcPr>
          <w:p>
            <w:pPr>
              <w:spacing w:after="0" w:line="133" w:lineRule="exact"/>
              <w:rPr>
                <w:sz w:val="20"/>
                <w:szCs w:val="20"/>
                <w:color w:val="auto"/>
              </w:rPr>
            </w:pPr>
            <w:r>
              <w:rPr>
                <w:rFonts w:ascii="Arial" w:cs="Arial" w:eastAsia="Arial" w:hAnsi="Arial"/>
                <w:sz w:val="12"/>
                <w:szCs w:val="12"/>
                <w:color w:val="auto"/>
              </w:rPr>
              <w:t>Private passenger auto</w:t>
            </w:r>
          </w:p>
        </w:tc>
        <w:tc>
          <w:tcPr>
            <w:tcW w:w="126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13,008</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4,107</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17,115</w:t>
            </w:r>
          </w:p>
        </w:tc>
        <w:tc>
          <w:tcPr>
            <w:tcW w:w="12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200" w:type="dxa"/>
            <w:vAlign w:val="bottom"/>
            <w:gridSpan w:val="3"/>
          </w:tcPr>
          <w:p>
            <w:pPr>
              <w:spacing w:after="0"/>
              <w:rPr>
                <w:sz w:val="20"/>
                <w:szCs w:val="20"/>
                <w:color w:val="auto"/>
              </w:rPr>
            </w:pPr>
            <w:r>
              <w:rPr>
                <w:rFonts w:ascii="Arial" w:cs="Arial" w:eastAsia="Arial" w:hAnsi="Arial"/>
                <w:sz w:val="12"/>
                <w:szCs w:val="12"/>
                <w:color w:val="auto"/>
              </w:rPr>
              <w:t>Non-standard auto</w:t>
            </w: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5,186</w:t>
            </w: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624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5,810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2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Home and farm</w:t>
            </w: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6,667</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2,394</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9,061</w:t>
            </w:r>
          </w:p>
        </w:tc>
        <w:tc>
          <w:tcPr>
            <w:tcW w:w="12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200" w:type="dxa"/>
            <w:vAlign w:val="bottom"/>
            <w:gridSpan w:val="3"/>
          </w:tcPr>
          <w:p>
            <w:pPr>
              <w:spacing w:after="0"/>
              <w:rPr>
                <w:sz w:val="20"/>
                <w:szCs w:val="20"/>
                <w:color w:val="auto"/>
              </w:rPr>
            </w:pPr>
            <w:r>
              <w:rPr>
                <w:rFonts w:ascii="Arial" w:cs="Arial" w:eastAsia="Arial" w:hAnsi="Arial"/>
                <w:sz w:val="12"/>
                <w:szCs w:val="12"/>
                <w:color w:val="auto"/>
              </w:rPr>
              <w:t>Crop</w:t>
            </w: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997</w:t>
            </w: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2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All other</w:t>
            </w:r>
          </w:p>
        </w:tc>
        <w:tc>
          <w:tcPr>
            <w:tcW w:w="1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3,518</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5,239</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8,757</w:t>
            </w:r>
          </w:p>
        </w:tc>
        <w:tc>
          <w:tcPr>
            <w:tcW w:w="12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180" w:type="dxa"/>
            <w:vAlign w:val="bottom"/>
            <w:gridSpan w:val="2"/>
          </w:tcPr>
          <w:p>
            <w:pPr>
              <w:ind w:left="60"/>
              <w:spacing w:after="0" w:line="133" w:lineRule="exact"/>
              <w:rPr>
                <w:sz w:val="20"/>
                <w:szCs w:val="20"/>
                <w:color w:val="auto"/>
              </w:rPr>
            </w:pPr>
            <w:r>
              <w:rPr>
                <w:rFonts w:ascii="Arial" w:cs="Arial" w:eastAsia="Arial" w:hAnsi="Arial"/>
                <w:sz w:val="12"/>
                <w:szCs w:val="12"/>
                <w:color w:val="auto"/>
              </w:rPr>
              <w:t>Net unpaid losses and LAE</w:t>
            </w:r>
          </w:p>
        </w:tc>
        <w:tc>
          <w:tcPr>
            <w:tcW w:w="1260" w:type="dxa"/>
            <w:vAlign w:val="bottom"/>
          </w:tcPr>
          <w:p>
            <w:pPr>
              <w:spacing w:after="0"/>
              <w:rPr>
                <w:sz w:val="11"/>
                <w:szCs w:val="11"/>
                <w:color w:val="auto"/>
              </w:rPr>
            </w:pPr>
          </w:p>
        </w:tc>
        <w:tc>
          <w:tcPr>
            <w:tcW w:w="14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29,376</w:t>
            </w:r>
          </w:p>
        </w:tc>
        <w:tc>
          <w:tcPr>
            <w:tcW w:w="240" w:type="dxa"/>
            <w:vAlign w:val="bottom"/>
          </w:tcPr>
          <w:p>
            <w:pPr>
              <w:spacing w:after="0"/>
              <w:rPr>
                <w:sz w:val="11"/>
                <w:szCs w:val="11"/>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12,386</w:t>
            </w:r>
          </w:p>
        </w:tc>
        <w:tc>
          <w:tcPr>
            <w:tcW w:w="240" w:type="dxa"/>
            <w:vAlign w:val="bottom"/>
          </w:tcPr>
          <w:p>
            <w:pPr>
              <w:spacing w:after="0"/>
              <w:rPr>
                <w:sz w:val="11"/>
                <w:szCs w:val="11"/>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41,762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2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Reinsurance recoverables on losses</w:t>
            </w:r>
          </w:p>
        </w:tc>
        <w:tc>
          <w:tcPr>
            <w:tcW w:w="1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3,171</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957</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4,128</w:t>
            </w:r>
          </w:p>
        </w:tc>
        <w:tc>
          <w:tcPr>
            <w:tcW w:w="12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80" w:type="dxa"/>
            <w:vAlign w:val="bottom"/>
            <w:gridSpan w:val="2"/>
            <w:vMerge w:val="restart"/>
          </w:tcPr>
          <w:p>
            <w:pPr>
              <w:ind w:left="60"/>
              <w:spacing w:after="0"/>
              <w:rPr>
                <w:sz w:val="20"/>
                <w:szCs w:val="20"/>
                <w:color w:val="auto"/>
              </w:rPr>
            </w:pPr>
            <w:r>
              <w:rPr>
                <w:rFonts w:ascii="Arial" w:cs="Arial" w:eastAsia="Arial" w:hAnsi="Arial"/>
                <w:sz w:val="12"/>
                <w:szCs w:val="12"/>
                <w:color w:val="auto"/>
              </w:rPr>
              <w:t>Liability for unpaid losses and LAE</w:t>
            </w:r>
          </w:p>
        </w:tc>
        <w:tc>
          <w:tcPr>
            <w:tcW w:w="1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6180" w:type="dxa"/>
            <w:vAlign w:val="bottom"/>
            <w:gridSpan w:val="2"/>
            <w:vMerge w:val="continue"/>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32,547</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13,343</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45,890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Sensitivity of Major Assumptions Underlying the Liabilities for Unpaid Losses and Loss Adjustment Expenses</w:t>
      </w:r>
    </w:p>
    <w:p>
      <w:pPr>
        <w:spacing w:after="0" w:line="123" w:lineRule="exact"/>
        <w:rPr>
          <w:sz w:val="20"/>
          <w:szCs w:val="20"/>
          <w:color w:val="auto"/>
        </w:rPr>
      </w:pPr>
    </w:p>
    <w:p>
      <w:pPr>
        <w:ind w:right="240" w:firstLine="432"/>
        <w:spacing w:after="0" w:line="276" w:lineRule="auto"/>
        <w:rPr>
          <w:sz w:val="20"/>
          <w:szCs w:val="20"/>
          <w:color w:val="auto"/>
        </w:rPr>
      </w:pPr>
      <w:r>
        <w:rPr>
          <w:rFonts w:ascii="Arial" w:cs="Arial" w:eastAsia="Arial" w:hAnsi="Arial"/>
          <w:sz w:val="12"/>
          <w:szCs w:val="12"/>
          <w:color w:val="auto"/>
        </w:rPr>
        <w:t>Management has identified the impact on earnings of various factors used in establishing loss reserves so that users of the Company’s financial statements can better understand how development on prior years’ reserves might impact the Company’s results of operations.</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2"/>
          <w:szCs w:val="12"/>
          <w:u w:val="single" w:color="auto"/>
          <w:color w:val="auto"/>
        </w:rPr>
        <w:t>Total Reserves</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of June 30, 2018, the impact of a 1% change in our estimate for unpaid losses and LAE, net of reinsurance recoverables, on our net income after income taxes would be approximately $472.</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u w:val="single" w:color="auto"/>
          <w:color w:val="auto"/>
        </w:rPr>
        <w:t>Inflation</w:t>
      </w:r>
    </w:p>
    <w:p>
      <w:pPr>
        <w:spacing w:after="0" w:line="132" w:lineRule="exact"/>
        <w:rPr>
          <w:sz w:val="20"/>
          <w:szCs w:val="20"/>
          <w:color w:val="auto"/>
        </w:rPr>
      </w:pPr>
    </w:p>
    <w:p>
      <w:pPr>
        <w:ind w:right="60" w:firstLine="432"/>
        <w:spacing w:after="0" w:line="290" w:lineRule="auto"/>
        <w:rPr>
          <w:sz w:val="20"/>
          <w:szCs w:val="20"/>
          <w:color w:val="auto"/>
        </w:rPr>
      </w:pPr>
      <w:r>
        <w:rPr>
          <w:rFonts w:ascii="Arial" w:cs="Arial" w:eastAsia="Arial" w:hAnsi="Arial"/>
          <w:sz w:val="11"/>
          <w:szCs w:val="11"/>
          <w:color w:val="auto"/>
        </w:rPr>
        <w:t>Inflation is not explicitly selected in the loss reserve analysis. However, historical inflation is embedded in the estimated loss development reserving function through analysis of costs and trends and reviews of historical reserving results. The following table displays the impact on net income after income taxes resulting from various changes from the inflation factor implicitly embedded in the estimated payment pattern as of December 31, 2017, which is deemed consistent with June 30, 2018. A change in inflation may or may not fully impact loss payments in the future because some of the underlying expenses have already been paid. The table below assumes that any change in inflation will be fully reflected in future loss payments. This variance in future IBNR emergence could occur in one year or over multiple years, depending when the change is recognized.</w:t>
      </w:r>
    </w:p>
    <w:p>
      <w:pPr>
        <w:spacing w:after="0" w:line="87" w:lineRule="exact"/>
        <w:rPr>
          <w:sz w:val="20"/>
          <w:szCs w:val="20"/>
          <w:color w:val="auto"/>
        </w:rPr>
      </w:pPr>
    </w:p>
    <w:tbl>
      <w:tblPr>
        <w:tblLayout w:type="fixed"/>
        <w:tblInd w:w="2860" w:type="dxa"/>
        <w:tblCellMar>
          <w:top w:w="0" w:type="dxa"/>
          <w:left w:w="0" w:type="dxa"/>
          <w:bottom w:w="0" w:type="dxa"/>
          <w:right w:w="0" w:type="dxa"/>
        </w:tblCellMar>
      </w:tblPr>
      <w:tr>
        <w:trPr>
          <w:trHeight w:val="157"/>
        </w:trPr>
        <w:tc>
          <w:tcPr>
            <w:tcW w:w="3220" w:type="dxa"/>
            <w:vAlign w:val="bottom"/>
            <w:gridSpan w:val="2"/>
          </w:tcPr>
          <w:p>
            <w:pPr>
              <w:ind w:left="1000"/>
              <w:spacing w:after="0"/>
              <w:rPr>
                <w:sz w:val="20"/>
                <w:szCs w:val="20"/>
                <w:color w:val="auto"/>
              </w:rPr>
            </w:pPr>
            <w:r>
              <w:rPr>
                <w:rFonts w:ascii="Arial" w:cs="Arial" w:eastAsia="Arial" w:hAnsi="Arial"/>
                <w:sz w:val="12"/>
                <w:szCs w:val="12"/>
                <w:b w:val="1"/>
                <w:bCs w:val="1"/>
                <w:color w:val="auto"/>
              </w:rPr>
              <w:t>Change in Inflation</w:t>
            </w:r>
          </w:p>
        </w:tc>
        <w:tc>
          <w:tcPr>
            <w:tcW w:w="340" w:type="dxa"/>
            <w:vAlign w:val="bottom"/>
          </w:tcPr>
          <w:p>
            <w:pPr>
              <w:spacing w:after="0"/>
              <w:rPr>
                <w:sz w:val="13"/>
                <w:szCs w:val="13"/>
                <w:color w:val="auto"/>
              </w:rPr>
            </w:pPr>
          </w:p>
        </w:tc>
        <w:tc>
          <w:tcPr>
            <w:tcW w:w="2180" w:type="dxa"/>
            <w:vAlign w:val="bottom"/>
          </w:tcPr>
          <w:p>
            <w:pPr>
              <w:jc w:val="right"/>
              <w:ind w:right="420"/>
              <w:spacing w:after="0"/>
              <w:rPr>
                <w:sz w:val="20"/>
                <w:szCs w:val="20"/>
                <w:color w:val="auto"/>
              </w:rPr>
            </w:pPr>
            <w:r>
              <w:rPr>
                <w:rFonts w:ascii="Arial" w:cs="Arial" w:eastAsia="Arial" w:hAnsi="Arial"/>
                <w:sz w:val="12"/>
                <w:szCs w:val="12"/>
                <w:b w:val="1"/>
                <w:bCs w:val="1"/>
                <w:color w:val="auto"/>
              </w:rPr>
              <w:t>Impact on After-Tax Earnings</w:t>
            </w:r>
          </w:p>
        </w:tc>
      </w:tr>
      <w:tr>
        <w:trPr>
          <w:trHeight w:val="133"/>
        </w:trPr>
        <w:tc>
          <w:tcPr>
            <w:tcW w:w="3000" w:type="dxa"/>
            <w:vAlign w:val="bottom"/>
            <w:tcBorders>
              <w:top w:val="single" w:sz="8" w:color="auto"/>
            </w:tcBorders>
            <w:shd w:val="clear" w:color="auto" w:fill="CCECFF"/>
          </w:tcPr>
          <w:p>
            <w:pPr>
              <w:jc w:val="center"/>
              <w:spacing w:after="0" w:line="133" w:lineRule="exact"/>
              <w:rPr>
                <w:sz w:val="20"/>
                <w:szCs w:val="20"/>
                <w:color w:val="auto"/>
              </w:rPr>
            </w:pPr>
            <w:r>
              <w:rPr>
                <w:rFonts w:ascii="Arial" w:cs="Arial" w:eastAsia="Arial" w:hAnsi="Arial"/>
                <w:sz w:val="12"/>
                <w:szCs w:val="12"/>
                <w:color w:val="auto"/>
                <w:w w:val="93"/>
              </w:rPr>
              <w:t>-1%</w:t>
            </w:r>
          </w:p>
        </w:tc>
        <w:tc>
          <w:tcPr>
            <w:tcW w:w="220" w:type="dxa"/>
            <w:vAlign w:val="bottom"/>
            <w:tcBorders>
              <w:top w:val="single" w:sz="8" w:color="CCECFF"/>
            </w:tcBorders>
            <w:shd w:val="clear" w:color="auto" w:fill="CCECFF"/>
          </w:tcPr>
          <w:p>
            <w:pPr>
              <w:spacing w:after="0"/>
              <w:rPr>
                <w:sz w:val="11"/>
                <w:szCs w:val="11"/>
                <w:color w:val="auto"/>
              </w:rPr>
            </w:pPr>
          </w:p>
        </w:tc>
        <w:tc>
          <w:tcPr>
            <w:tcW w:w="340" w:type="dxa"/>
            <w:vAlign w:val="bottom"/>
            <w:tcBorders>
              <w:top w:val="single" w:sz="8" w:color="auto"/>
            </w:tcBorders>
            <w:shd w:val="clear" w:color="auto" w:fill="CCECFF"/>
          </w:tcPr>
          <w:p>
            <w:pPr>
              <w:jc w:val="right"/>
              <w:ind w:right="100"/>
              <w:spacing w:after="0" w:line="133" w:lineRule="exact"/>
              <w:rPr>
                <w:sz w:val="20"/>
                <w:szCs w:val="20"/>
                <w:color w:val="auto"/>
              </w:rPr>
            </w:pPr>
            <w:r>
              <w:rPr>
                <w:rFonts w:ascii="Arial" w:cs="Arial" w:eastAsia="Arial" w:hAnsi="Arial"/>
                <w:sz w:val="12"/>
                <w:szCs w:val="12"/>
                <w:color w:val="auto"/>
              </w:rPr>
              <w:t>$</w:t>
            </w:r>
          </w:p>
        </w:tc>
        <w:tc>
          <w:tcPr>
            <w:tcW w:w="2180" w:type="dxa"/>
            <w:vAlign w:val="bottom"/>
            <w:tcBorders>
              <w:top w:val="single" w:sz="8" w:color="auto"/>
            </w:tcBorders>
            <w:shd w:val="clear" w:color="auto" w:fill="CCECFF"/>
          </w:tcPr>
          <w:p>
            <w:pPr>
              <w:jc w:val="right"/>
              <w:ind w:right="640"/>
              <w:spacing w:after="0" w:line="133" w:lineRule="exact"/>
              <w:rPr>
                <w:sz w:val="20"/>
                <w:szCs w:val="20"/>
                <w:color w:val="auto"/>
              </w:rPr>
            </w:pPr>
            <w:r>
              <w:rPr>
                <w:rFonts w:ascii="Arial" w:cs="Arial" w:eastAsia="Arial" w:hAnsi="Arial"/>
                <w:sz w:val="12"/>
                <w:szCs w:val="12"/>
                <w:color w:val="auto"/>
              </w:rPr>
              <w:t>(395)</w:t>
            </w:r>
          </w:p>
        </w:tc>
      </w:tr>
      <w:tr>
        <w:trPr>
          <w:trHeight w:val="144"/>
        </w:trPr>
        <w:tc>
          <w:tcPr>
            <w:tcW w:w="3000" w:type="dxa"/>
            <w:vAlign w:val="bottom"/>
          </w:tcPr>
          <w:p>
            <w:pPr>
              <w:jc w:val="center"/>
              <w:spacing w:after="0"/>
              <w:rPr>
                <w:sz w:val="20"/>
                <w:szCs w:val="20"/>
                <w:color w:val="auto"/>
              </w:rPr>
            </w:pPr>
            <w:r>
              <w:rPr>
                <w:rFonts w:ascii="Arial" w:cs="Arial" w:eastAsia="Arial" w:hAnsi="Arial"/>
                <w:sz w:val="12"/>
                <w:szCs w:val="12"/>
                <w:color w:val="auto"/>
                <w:w w:val="91"/>
              </w:rPr>
              <w:t>1%</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80" w:type="dxa"/>
            <w:vAlign w:val="bottom"/>
          </w:tcPr>
          <w:p>
            <w:pPr>
              <w:jc w:val="right"/>
              <w:ind w:right="680"/>
              <w:spacing w:after="0"/>
              <w:rPr>
                <w:sz w:val="20"/>
                <w:szCs w:val="20"/>
                <w:color w:val="auto"/>
              </w:rPr>
            </w:pPr>
            <w:r>
              <w:rPr>
                <w:rFonts w:ascii="Arial" w:cs="Arial" w:eastAsia="Arial" w:hAnsi="Arial"/>
                <w:sz w:val="12"/>
                <w:szCs w:val="12"/>
                <w:color w:val="auto"/>
              </w:rPr>
              <w:t>401</w:t>
            </w:r>
          </w:p>
        </w:tc>
      </w:tr>
      <w:tr>
        <w:trPr>
          <w:trHeight w:val="144"/>
        </w:trPr>
        <w:tc>
          <w:tcPr>
            <w:tcW w:w="300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1"/>
              </w:rPr>
              <w:t>3%</w:t>
            </w:r>
          </w:p>
        </w:tc>
        <w:tc>
          <w:tcPr>
            <w:tcW w:w="22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2180" w:type="dxa"/>
            <w:vAlign w:val="bottom"/>
            <w:shd w:val="clear" w:color="auto" w:fill="CCECFF"/>
          </w:tcPr>
          <w:p>
            <w:pPr>
              <w:jc w:val="right"/>
              <w:ind w:right="680"/>
              <w:spacing w:after="0"/>
              <w:rPr>
                <w:sz w:val="20"/>
                <w:szCs w:val="20"/>
                <w:color w:val="auto"/>
              </w:rPr>
            </w:pPr>
            <w:r>
              <w:rPr>
                <w:rFonts w:ascii="Arial" w:cs="Arial" w:eastAsia="Arial" w:hAnsi="Arial"/>
                <w:sz w:val="12"/>
                <w:szCs w:val="12"/>
                <w:color w:val="auto"/>
              </w:rPr>
              <w:t>1,219</w:t>
            </w:r>
          </w:p>
        </w:tc>
      </w:tr>
      <w:tr>
        <w:trPr>
          <w:trHeight w:val="153"/>
        </w:trPr>
        <w:tc>
          <w:tcPr>
            <w:tcW w:w="3000" w:type="dxa"/>
            <w:vAlign w:val="bottom"/>
          </w:tcPr>
          <w:p>
            <w:pPr>
              <w:jc w:val="center"/>
              <w:spacing w:after="0"/>
              <w:rPr>
                <w:sz w:val="20"/>
                <w:szCs w:val="20"/>
                <w:color w:val="auto"/>
              </w:rPr>
            </w:pPr>
            <w:r>
              <w:rPr>
                <w:rFonts w:ascii="Arial" w:cs="Arial" w:eastAsia="Arial" w:hAnsi="Arial"/>
                <w:sz w:val="12"/>
                <w:szCs w:val="12"/>
                <w:color w:val="auto"/>
                <w:w w:val="91"/>
              </w:rPr>
              <w:t>5%</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80" w:type="dxa"/>
            <w:vAlign w:val="bottom"/>
          </w:tcPr>
          <w:p>
            <w:pPr>
              <w:jc w:val="right"/>
              <w:ind w:right="680"/>
              <w:spacing w:after="0"/>
              <w:rPr>
                <w:sz w:val="20"/>
                <w:szCs w:val="20"/>
                <w:color w:val="auto"/>
              </w:rPr>
            </w:pPr>
            <w:r>
              <w:rPr>
                <w:rFonts w:ascii="Arial" w:cs="Arial" w:eastAsia="Arial" w:hAnsi="Arial"/>
                <w:sz w:val="12"/>
                <w:szCs w:val="12"/>
                <w:color w:val="auto"/>
              </w:rPr>
              <w:t>2,062</w:t>
            </w:r>
          </w:p>
        </w:tc>
      </w:tr>
    </w:tbl>
    <w:p>
      <w:pPr>
        <w:spacing w:after="0" w:line="243" w:lineRule="exact"/>
        <w:rPr>
          <w:sz w:val="20"/>
          <w:szCs w:val="20"/>
          <w:color w:val="auto"/>
        </w:rPr>
      </w:pPr>
    </w:p>
    <w:p>
      <w:pPr>
        <w:ind w:right="60" w:firstLine="432"/>
        <w:spacing w:after="0" w:line="276" w:lineRule="auto"/>
        <w:rPr>
          <w:sz w:val="20"/>
          <w:szCs w:val="20"/>
          <w:color w:val="auto"/>
        </w:rPr>
      </w:pPr>
      <w:r>
        <w:rPr>
          <w:rFonts w:ascii="Arial" w:cs="Arial" w:eastAsia="Arial" w:hAnsi="Arial"/>
          <w:sz w:val="12"/>
          <w:szCs w:val="12"/>
          <w:color w:val="auto"/>
        </w:rPr>
        <w:t>Inflation includes actual inflation as well as social inflation which includes future emergence of new classes of losses or types of losses, change in judicial awards, and any other changes beyond assumed levels that impact the cost of claims.</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2"/>
          <w:szCs w:val="12"/>
          <w:u w:val="single" w:color="auto"/>
          <w:color w:val="auto"/>
        </w:rPr>
        <w:t>Case Reserves</w:t>
      </w:r>
    </w:p>
    <w:p>
      <w:pPr>
        <w:spacing w:after="0" w:line="123" w:lineRule="exact"/>
        <w:rPr>
          <w:sz w:val="20"/>
          <w:szCs w:val="20"/>
          <w:color w:val="auto"/>
        </w:rPr>
      </w:pPr>
    </w:p>
    <w:p>
      <w:pPr>
        <w:ind w:right="100" w:firstLine="432"/>
        <w:spacing w:after="0" w:line="276" w:lineRule="auto"/>
        <w:rPr>
          <w:sz w:val="20"/>
          <w:szCs w:val="20"/>
          <w:color w:val="auto"/>
        </w:rPr>
      </w:pPr>
      <w:r>
        <w:rPr>
          <w:rFonts w:ascii="Arial" w:cs="Arial" w:eastAsia="Arial" w:hAnsi="Arial"/>
          <w:sz w:val="12"/>
          <w:szCs w:val="12"/>
          <w:color w:val="auto"/>
        </w:rPr>
        <w:t>When a claim is reported, claims personnel establish a case reserve for the estimated amount of the ultimate payment to the extent it can be determined or estimated. It is possible that the level of adequacy in the case reserve may differ from historical levels and/or the claims reporting pattern may change. The following table displays the impact on net income after tax that results from</w:t>
      </w:r>
    </w:p>
    <w:p>
      <w:pPr>
        <w:spacing w:after="0" w:line="115"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2340" cy="17145"/>
                    </a:xfrm>
                    <a:prstGeom prst="rect">
                      <a:avLst/>
                    </a:prstGeom>
                    <a:noFill/>
                  </pic:spPr>
                </pic:pic>
              </a:graphicData>
            </a:graphic>
          </wp:anchor>
        </w:drawing>
      </w:r>
    </w:p>
    <w:p>
      <w:pPr>
        <w:sectPr>
          <w:pgSz w:w="11900" w:h="16838" w:orient="portrait"/>
          <w:cols w:equalWidth="0" w:num="1">
            <w:col w:w="11480"/>
          </w:cols>
          <w:pgMar w:left="220" w:top="191" w:right="199" w:bottom="1440" w:gutter="0" w:footer="0" w:header="0"/>
        </w:sectPr>
      </w:pPr>
    </w:p>
    <w:bookmarkStart w:id="44" w:name="page45"/>
    <w:bookmarkEnd w:id="44"/>
    <w:p>
      <w:pPr>
        <w:ind w:left="2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50"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various changes to the level of case reserves as of December 31, 2017, which is deemed consistent with June 30, 2018. This variance in future IBNR emergence could occur in one year or over multiple years, depending when the change is recognized.</w:t>
      </w:r>
    </w:p>
    <w:p>
      <w:pPr>
        <w:spacing w:after="0" w:line="84" w:lineRule="exact"/>
        <w:rPr>
          <w:sz w:val="20"/>
          <w:szCs w:val="20"/>
          <w:color w:val="auto"/>
        </w:rPr>
      </w:pPr>
    </w:p>
    <w:tbl>
      <w:tblPr>
        <w:tblLayout w:type="fixed"/>
        <w:tblInd w:w="2860" w:type="dxa"/>
        <w:tblCellMar>
          <w:top w:w="0" w:type="dxa"/>
          <w:left w:w="0" w:type="dxa"/>
          <w:bottom w:w="0" w:type="dxa"/>
          <w:right w:w="0" w:type="dxa"/>
        </w:tblCellMar>
      </w:tblPr>
      <w:tr>
        <w:trPr>
          <w:trHeight w:val="157"/>
        </w:trPr>
        <w:tc>
          <w:tcPr>
            <w:tcW w:w="3220" w:type="dxa"/>
            <w:vAlign w:val="bottom"/>
            <w:gridSpan w:val="2"/>
          </w:tcPr>
          <w:p>
            <w:pPr>
              <w:ind w:left="860"/>
              <w:spacing w:after="0"/>
              <w:rPr>
                <w:sz w:val="20"/>
                <w:szCs w:val="20"/>
                <w:color w:val="auto"/>
              </w:rPr>
            </w:pPr>
            <w:r>
              <w:rPr>
                <w:rFonts w:ascii="Arial" w:cs="Arial" w:eastAsia="Arial" w:hAnsi="Arial"/>
                <w:sz w:val="12"/>
                <w:szCs w:val="12"/>
                <w:b w:val="1"/>
                <w:bCs w:val="1"/>
                <w:color w:val="auto"/>
              </w:rPr>
              <w:t>Change in Case Reserves</w:t>
            </w:r>
          </w:p>
        </w:tc>
        <w:tc>
          <w:tcPr>
            <w:tcW w:w="340" w:type="dxa"/>
            <w:vAlign w:val="bottom"/>
          </w:tcPr>
          <w:p>
            <w:pPr>
              <w:spacing w:after="0"/>
              <w:rPr>
                <w:sz w:val="13"/>
                <w:szCs w:val="13"/>
                <w:color w:val="auto"/>
              </w:rPr>
            </w:pPr>
          </w:p>
        </w:tc>
        <w:tc>
          <w:tcPr>
            <w:tcW w:w="2180" w:type="dxa"/>
            <w:vAlign w:val="bottom"/>
          </w:tcPr>
          <w:p>
            <w:pPr>
              <w:jc w:val="right"/>
              <w:ind w:right="420"/>
              <w:spacing w:after="0"/>
              <w:rPr>
                <w:sz w:val="20"/>
                <w:szCs w:val="20"/>
                <w:color w:val="auto"/>
              </w:rPr>
            </w:pPr>
            <w:r>
              <w:rPr>
                <w:rFonts w:ascii="Arial" w:cs="Arial" w:eastAsia="Arial" w:hAnsi="Arial"/>
                <w:sz w:val="12"/>
                <w:szCs w:val="12"/>
                <w:b w:val="1"/>
                <w:bCs w:val="1"/>
                <w:color w:val="auto"/>
              </w:rPr>
              <w:t>Impact on After-Tax Earnings</w:t>
            </w:r>
          </w:p>
        </w:tc>
      </w:tr>
      <w:tr>
        <w:trPr>
          <w:trHeight w:val="133"/>
        </w:trPr>
        <w:tc>
          <w:tcPr>
            <w:tcW w:w="3000" w:type="dxa"/>
            <w:vAlign w:val="bottom"/>
            <w:tcBorders>
              <w:top w:val="single" w:sz="8" w:color="auto"/>
            </w:tcBorders>
            <w:shd w:val="clear" w:color="auto" w:fill="CCECFF"/>
          </w:tcPr>
          <w:p>
            <w:pPr>
              <w:jc w:val="center"/>
              <w:spacing w:after="0" w:line="133" w:lineRule="exact"/>
              <w:rPr>
                <w:sz w:val="20"/>
                <w:szCs w:val="20"/>
                <w:color w:val="auto"/>
              </w:rPr>
            </w:pPr>
            <w:r>
              <w:rPr>
                <w:rFonts w:ascii="Arial" w:cs="Arial" w:eastAsia="Arial" w:hAnsi="Arial"/>
                <w:sz w:val="12"/>
                <w:szCs w:val="12"/>
                <w:color w:val="auto"/>
                <w:w w:val="92"/>
              </w:rPr>
              <w:t>-10%</w:t>
            </w:r>
          </w:p>
        </w:tc>
        <w:tc>
          <w:tcPr>
            <w:tcW w:w="220" w:type="dxa"/>
            <w:vAlign w:val="bottom"/>
            <w:tcBorders>
              <w:top w:val="single" w:sz="8" w:color="CCECFF"/>
            </w:tcBorders>
            <w:shd w:val="clear" w:color="auto" w:fill="CCECFF"/>
          </w:tcPr>
          <w:p>
            <w:pPr>
              <w:spacing w:after="0"/>
              <w:rPr>
                <w:sz w:val="11"/>
                <w:szCs w:val="11"/>
                <w:color w:val="auto"/>
              </w:rPr>
            </w:pPr>
          </w:p>
        </w:tc>
        <w:tc>
          <w:tcPr>
            <w:tcW w:w="340" w:type="dxa"/>
            <w:vAlign w:val="bottom"/>
            <w:tcBorders>
              <w:top w:val="single" w:sz="8" w:color="auto"/>
            </w:tcBorders>
            <w:shd w:val="clear" w:color="auto" w:fill="CCECFF"/>
          </w:tcPr>
          <w:p>
            <w:pPr>
              <w:jc w:val="right"/>
              <w:ind w:right="100"/>
              <w:spacing w:after="0" w:line="133" w:lineRule="exact"/>
              <w:rPr>
                <w:sz w:val="20"/>
                <w:szCs w:val="20"/>
                <w:color w:val="auto"/>
              </w:rPr>
            </w:pPr>
            <w:r>
              <w:rPr>
                <w:rFonts w:ascii="Arial" w:cs="Arial" w:eastAsia="Arial" w:hAnsi="Arial"/>
                <w:sz w:val="12"/>
                <w:szCs w:val="12"/>
                <w:color w:val="auto"/>
              </w:rPr>
              <w:t>$</w:t>
            </w:r>
          </w:p>
        </w:tc>
        <w:tc>
          <w:tcPr>
            <w:tcW w:w="2180" w:type="dxa"/>
            <w:vAlign w:val="bottom"/>
            <w:tcBorders>
              <w:top w:val="single" w:sz="8" w:color="auto"/>
            </w:tcBorders>
            <w:shd w:val="clear" w:color="auto" w:fill="CCECFF"/>
          </w:tcPr>
          <w:p>
            <w:pPr>
              <w:jc w:val="right"/>
              <w:ind w:right="640"/>
              <w:spacing w:after="0" w:line="133" w:lineRule="exact"/>
              <w:rPr>
                <w:sz w:val="20"/>
                <w:szCs w:val="20"/>
                <w:color w:val="auto"/>
              </w:rPr>
            </w:pPr>
            <w:r>
              <w:rPr>
                <w:rFonts w:ascii="Arial" w:cs="Arial" w:eastAsia="Arial" w:hAnsi="Arial"/>
                <w:sz w:val="12"/>
                <w:szCs w:val="12"/>
                <w:color w:val="auto"/>
              </w:rPr>
              <w:t>(2,575)</w:t>
            </w:r>
          </w:p>
        </w:tc>
      </w:tr>
      <w:tr>
        <w:trPr>
          <w:trHeight w:val="144"/>
        </w:trPr>
        <w:tc>
          <w:tcPr>
            <w:tcW w:w="3000" w:type="dxa"/>
            <w:vAlign w:val="bottom"/>
          </w:tcPr>
          <w:p>
            <w:pPr>
              <w:jc w:val="center"/>
              <w:spacing w:after="0"/>
              <w:rPr>
                <w:sz w:val="20"/>
                <w:szCs w:val="20"/>
                <w:color w:val="auto"/>
              </w:rPr>
            </w:pPr>
            <w:r>
              <w:rPr>
                <w:rFonts w:ascii="Arial" w:cs="Arial" w:eastAsia="Arial" w:hAnsi="Arial"/>
                <w:sz w:val="12"/>
                <w:szCs w:val="12"/>
                <w:color w:val="auto"/>
                <w:w w:val="93"/>
              </w:rPr>
              <w:t>-5%</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80" w:type="dxa"/>
            <w:vAlign w:val="bottom"/>
          </w:tcPr>
          <w:p>
            <w:pPr>
              <w:jc w:val="right"/>
              <w:ind w:right="640"/>
              <w:spacing w:after="0"/>
              <w:rPr>
                <w:sz w:val="20"/>
                <w:szCs w:val="20"/>
                <w:color w:val="auto"/>
              </w:rPr>
            </w:pPr>
            <w:r>
              <w:rPr>
                <w:rFonts w:ascii="Arial" w:cs="Arial" w:eastAsia="Arial" w:hAnsi="Arial"/>
                <w:sz w:val="12"/>
                <w:szCs w:val="12"/>
                <w:color w:val="auto"/>
              </w:rPr>
              <w:t>(1,287)</w:t>
            </w:r>
          </w:p>
        </w:tc>
      </w:tr>
      <w:tr>
        <w:trPr>
          <w:trHeight w:val="144"/>
        </w:trPr>
        <w:tc>
          <w:tcPr>
            <w:tcW w:w="300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3"/>
              </w:rPr>
              <w:t>-2%</w:t>
            </w:r>
          </w:p>
        </w:tc>
        <w:tc>
          <w:tcPr>
            <w:tcW w:w="22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2180" w:type="dxa"/>
            <w:vAlign w:val="bottom"/>
            <w:shd w:val="clear" w:color="auto" w:fill="CCECFF"/>
          </w:tcPr>
          <w:p>
            <w:pPr>
              <w:jc w:val="right"/>
              <w:ind w:right="640"/>
              <w:spacing w:after="0"/>
              <w:rPr>
                <w:sz w:val="20"/>
                <w:szCs w:val="20"/>
                <w:color w:val="auto"/>
              </w:rPr>
            </w:pPr>
            <w:r>
              <w:rPr>
                <w:rFonts w:ascii="Arial" w:cs="Arial" w:eastAsia="Arial" w:hAnsi="Arial"/>
                <w:sz w:val="12"/>
                <w:szCs w:val="12"/>
                <w:color w:val="auto"/>
              </w:rPr>
              <w:t>(515)</w:t>
            </w:r>
          </w:p>
        </w:tc>
      </w:tr>
      <w:tr>
        <w:trPr>
          <w:trHeight w:val="144"/>
        </w:trPr>
        <w:tc>
          <w:tcPr>
            <w:tcW w:w="3000" w:type="dxa"/>
            <w:vAlign w:val="bottom"/>
          </w:tcPr>
          <w:p>
            <w:pPr>
              <w:jc w:val="center"/>
              <w:spacing w:after="0"/>
              <w:rPr>
                <w:sz w:val="20"/>
                <w:szCs w:val="20"/>
                <w:color w:val="auto"/>
              </w:rPr>
            </w:pPr>
            <w:r>
              <w:rPr>
                <w:rFonts w:ascii="Arial" w:cs="Arial" w:eastAsia="Arial" w:hAnsi="Arial"/>
                <w:sz w:val="12"/>
                <w:szCs w:val="12"/>
                <w:color w:val="auto"/>
                <w:w w:val="98"/>
              </w:rPr>
              <w:t>+2%</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80" w:type="dxa"/>
            <w:vAlign w:val="bottom"/>
          </w:tcPr>
          <w:p>
            <w:pPr>
              <w:jc w:val="right"/>
              <w:ind w:right="680"/>
              <w:spacing w:after="0"/>
              <w:rPr>
                <w:sz w:val="20"/>
                <w:szCs w:val="20"/>
                <w:color w:val="auto"/>
              </w:rPr>
            </w:pPr>
            <w:r>
              <w:rPr>
                <w:rFonts w:ascii="Arial" w:cs="Arial" w:eastAsia="Arial" w:hAnsi="Arial"/>
                <w:sz w:val="12"/>
                <w:szCs w:val="12"/>
                <w:color w:val="auto"/>
              </w:rPr>
              <w:t>515</w:t>
            </w:r>
          </w:p>
        </w:tc>
      </w:tr>
      <w:tr>
        <w:trPr>
          <w:trHeight w:val="144"/>
        </w:trPr>
        <w:tc>
          <w:tcPr>
            <w:tcW w:w="300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8"/>
              </w:rPr>
              <w:t>+5%</w:t>
            </w:r>
          </w:p>
        </w:tc>
        <w:tc>
          <w:tcPr>
            <w:tcW w:w="22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2180" w:type="dxa"/>
            <w:vAlign w:val="bottom"/>
            <w:shd w:val="clear" w:color="auto" w:fill="CCECFF"/>
          </w:tcPr>
          <w:p>
            <w:pPr>
              <w:jc w:val="right"/>
              <w:ind w:right="680"/>
              <w:spacing w:after="0"/>
              <w:rPr>
                <w:sz w:val="20"/>
                <w:szCs w:val="20"/>
                <w:color w:val="auto"/>
              </w:rPr>
            </w:pPr>
            <w:r>
              <w:rPr>
                <w:rFonts w:ascii="Arial" w:cs="Arial" w:eastAsia="Arial" w:hAnsi="Arial"/>
                <w:sz w:val="12"/>
                <w:szCs w:val="12"/>
                <w:color w:val="auto"/>
              </w:rPr>
              <w:t>1,287</w:t>
            </w:r>
          </w:p>
        </w:tc>
      </w:tr>
      <w:tr>
        <w:trPr>
          <w:trHeight w:val="153"/>
        </w:trPr>
        <w:tc>
          <w:tcPr>
            <w:tcW w:w="3000" w:type="dxa"/>
            <w:vAlign w:val="bottom"/>
          </w:tcPr>
          <w:p>
            <w:pPr>
              <w:jc w:val="center"/>
              <w:spacing w:after="0"/>
              <w:rPr>
                <w:sz w:val="20"/>
                <w:szCs w:val="20"/>
                <w:color w:val="auto"/>
              </w:rPr>
            </w:pPr>
            <w:r>
              <w:rPr>
                <w:rFonts w:ascii="Arial" w:cs="Arial" w:eastAsia="Arial" w:hAnsi="Arial"/>
                <w:sz w:val="12"/>
                <w:szCs w:val="12"/>
                <w:color w:val="auto"/>
                <w:w w:val="90"/>
              </w:rPr>
              <w:t>+10%</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80" w:type="dxa"/>
            <w:vAlign w:val="bottom"/>
          </w:tcPr>
          <w:p>
            <w:pPr>
              <w:jc w:val="right"/>
              <w:ind w:right="680"/>
              <w:spacing w:after="0"/>
              <w:rPr>
                <w:sz w:val="20"/>
                <w:szCs w:val="20"/>
                <w:color w:val="auto"/>
              </w:rPr>
            </w:pPr>
            <w:r>
              <w:rPr>
                <w:rFonts w:ascii="Arial" w:cs="Arial" w:eastAsia="Arial" w:hAnsi="Arial"/>
                <w:sz w:val="12"/>
                <w:szCs w:val="12"/>
                <w:color w:val="auto"/>
              </w:rPr>
              <w:t>2,575</w:t>
            </w:r>
          </w:p>
        </w:tc>
      </w:tr>
    </w:tbl>
    <w:p>
      <w:pPr>
        <w:spacing w:after="0" w:line="252"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Investments</w:t>
      </w:r>
    </w:p>
    <w:p>
      <w:pPr>
        <w:spacing w:after="0" w:line="123"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NI Holdings’ fixed income securities and equity securities are classified as available-for-sale and carried at estimated fair value as determined by management based upon quoted market prices or a recognized pricing service at the reporting date for those or similar investments. Changes in unrealized investment gains or losses on these investments, net of applicable income taxes, are reflected directly in Equity as a component of comprehensive income (loss) and, accordingly, have no effect on net income (loss). Investment income is recognized when earned, and realized capital gains and losses on investments are recognized when investments are sold, or an other-than-temporary impairment is recognized.</w:t>
      </w:r>
    </w:p>
    <w:p>
      <w:pPr>
        <w:spacing w:after="0" w:line="98" w:lineRule="exact"/>
        <w:rPr>
          <w:sz w:val="20"/>
          <w:szCs w:val="20"/>
          <w:color w:val="auto"/>
        </w:rPr>
      </w:pPr>
    </w:p>
    <w:p>
      <w:pPr>
        <w:ind w:right="20" w:firstLine="432"/>
        <w:spacing w:after="0" w:line="310" w:lineRule="auto"/>
        <w:rPr>
          <w:sz w:val="20"/>
          <w:szCs w:val="20"/>
          <w:color w:val="auto"/>
        </w:rPr>
      </w:pPr>
      <w:r>
        <w:rPr>
          <w:rFonts w:ascii="Arial" w:cs="Arial" w:eastAsia="Arial" w:hAnsi="Arial"/>
          <w:sz w:val="10"/>
          <w:szCs w:val="10"/>
          <w:color w:val="auto"/>
        </w:rPr>
        <w:t>NI Holdings evaluates securities for other-than-temporary impairment (“OTTI”) at least on a quarterly basis. NI Holdings assesses whether OTTI is present when the fair value of a security is less than its amortized cost. OTTI is considered to have occurred with respect to fixed income securities if (1) an entity intends to sell the security, (2) it is more likely than not an entity will be required to sell the security before recovery of its amortized cost basis, or (3) the present value of the expected cash flows is not sufficient to recover the entire amortized cost basis. When assessing whether the cost or amortized cost basis of the security will be recovered, the Company compares the present value of the expected cash flows likely to be collected, based on an evaluation of all available information relevant to the collectability of the security, to the cost or amortized cost basis of the security. The shortfall of the present value of the cash flows expected to be collected in relation to the cost of amortized cost basis is referred to as the “credit loss”. If there is a credit loss, the impairment is considered to be other-than-temporary. If NI Holdings identifies that an other-than-temporary impairment loss has occurred, it then determines whether it intends to sell the security, or if it is more likely than not that the Company will be required to sell the security prior to recovering the cost or amortized cost basis less any current-period credit losses. If NI Holdings determines that it does not intend to sell, and it is not more likely than not that it will be required to sell the security, the amount of the impairment loss related to the credit loss will be recorded in earnings, and the remaining portion of the other-than-temporary impairment loss will be recognized in other comprehensive income (loss), net of income taxes. If NI Holdings determines that it intends to sell the security, or that it is more likely than not that it will be required to sell the security prior to recovering its cost or amortized cost basis less any current-period credit losses, the full amount of the other-than-temporary impairment will be recognized in earnings.</w:t>
      </w:r>
    </w:p>
    <w:p>
      <w:pPr>
        <w:spacing w:after="0" w:line="86" w:lineRule="exact"/>
        <w:rPr>
          <w:sz w:val="20"/>
          <w:szCs w:val="20"/>
          <w:color w:val="auto"/>
        </w:rPr>
      </w:pPr>
    </w:p>
    <w:p>
      <w:pPr>
        <w:ind w:right="40" w:firstLine="432"/>
        <w:spacing w:after="0" w:line="380" w:lineRule="auto"/>
        <w:rPr>
          <w:sz w:val="20"/>
          <w:szCs w:val="20"/>
          <w:color w:val="auto"/>
        </w:rPr>
      </w:pPr>
      <w:r>
        <w:rPr>
          <w:rFonts w:ascii="Arial" w:cs="Arial" w:eastAsia="Arial" w:hAnsi="Arial"/>
          <w:sz w:val="10"/>
          <w:szCs w:val="10"/>
          <w:color w:val="auto"/>
        </w:rPr>
        <w:t>Fair values of interest rate sensitive instruments may be affected by increases and decreases in prevailing interest rates that generally translate, respectively, into decreases and increases in fair values of fixed income securities. The fair values of interest rate sensitive instruments also may be affected by the credit worthiness of the issuer, prepayment options, relative values of other investments, the liquidity of the instrument, and other general market conditions.</w:t>
      </w:r>
    </w:p>
    <w:p>
      <w:pPr>
        <w:spacing w:after="0" w:line="41"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For the six months ended June 30, 2018, NI Holdings’ investment portfolio experienced a decrease in net unrealized gains of $3,987. The fixed income portion of the portfolio experienced a modest decrease in unrealized gains and a larger decrease in unrealized losses.</w:t>
      </w:r>
    </w:p>
    <w:p>
      <w:pPr>
        <w:spacing w:after="0" w:line="88" w:lineRule="exact"/>
        <w:rPr>
          <w:sz w:val="20"/>
          <w:szCs w:val="20"/>
          <w:color w:val="auto"/>
        </w:rPr>
      </w:pPr>
    </w:p>
    <w:p>
      <w:pPr>
        <w:ind w:right="160" w:firstLine="432"/>
        <w:spacing w:after="0" w:line="276" w:lineRule="auto"/>
        <w:rPr>
          <w:sz w:val="20"/>
          <w:szCs w:val="20"/>
          <w:color w:val="auto"/>
        </w:rPr>
      </w:pPr>
      <w:r>
        <w:rPr>
          <w:rFonts w:ascii="Arial" w:cs="Arial" w:eastAsia="Arial" w:hAnsi="Arial"/>
          <w:sz w:val="12"/>
          <w:szCs w:val="12"/>
          <w:color w:val="auto"/>
        </w:rPr>
        <w:t>NI Holdings has evaluated each security and taken into account the severity and duration of any impairment, the current rating on the bond, and the outlook for the issuer according to independent analysts. The Company’s fixed income portfolio is managed by Conning Asset Management, which specializes in the handling of insurance company investments and participates in this evaluation.</w:t>
      </w:r>
    </w:p>
    <w:p>
      <w:pPr>
        <w:spacing w:after="0" w:line="97" w:lineRule="exact"/>
        <w:rPr>
          <w:sz w:val="20"/>
          <w:szCs w:val="20"/>
          <w:color w:val="auto"/>
        </w:rPr>
      </w:pPr>
    </w:p>
    <w:p>
      <w:pPr>
        <w:ind w:right="80" w:firstLine="432"/>
        <w:spacing w:after="0" w:line="276" w:lineRule="auto"/>
        <w:rPr>
          <w:sz w:val="20"/>
          <w:szCs w:val="20"/>
          <w:color w:val="auto"/>
        </w:rPr>
      </w:pPr>
      <w:r>
        <w:rPr>
          <w:rFonts w:ascii="Arial" w:cs="Arial" w:eastAsia="Arial" w:hAnsi="Arial"/>
          <w:sz w:val="12"/>
          <w:szCs w:val="12"/>
          <w:color w:val="auto"/>
        </w:rPr>
        <w:t>For the three and six months ended June 30, 2018, NI Holdings did not recognize any other-than-temporary impairments of its investment securities. For the year ended December 31, 2017, NI Holdings recognized $330 of other-than-temporary impairments of its investment securities.</w:t>
      </w:r>
    </w:p>
    <w:p>
      <w:pPr>
        <w:spacing w:after="0" w:line="8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For more information on the Company’s investments, see Note 6 to the Unaudited Consolidated Financial Statements, included elsewhere in this Report.</w:t>
      </w:r>
    </w:p>
    <w:p>
      <w:pPr>
        <w:spacing w:after="0" w:line="150"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2340" cy="17145"/>
                    </a:xfrm>
                    <a:prstGeom prst="rect">
                      <a:avLst/>
                    </a:prstGeom>
                    <a:noFill/>
                  </pic:spPr>
                </pic:pic>
              </a:graphicData>
            </a:graphic>
          </wp:anchor>
        </w:drawing>
      </w:r>
    </w:p>
    <w:p>
      <w:pPr>
        <w:sectPr>
          <w:pgSz w:w="11900" w:h="16838" w:orient="portrait"/>
          <w:cols w:equalWidth="0" w:num="1">
            <w:col w:w="11480"/>
          </w:cols>
          <w:pgMar w:left="220" w:top="203" w:right="199" w:bottom="1440" w:gutter="0" w:footer="0" w:header="0"/>
        </w:sectPr>
      </w:pPr>
    </w:p>
    <w:bookmarkStart w:id="45" w:name="page46"/>
    <w:bookmarkEnd w:id="45"/>
    <w:p>
      <w:pPr>
        <w:ind w:left="2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294"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Fair Value Measurements</w:t>
      </w:r>
    </w:p>
    <w:p>
      <w:pPr>
        <w:spacing w:after="0" w:line="123"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NI Holdings uses fair value measurements to record fair value adjustments to certain assets to determine fair value disclosures. Investment securities available for sale are recorded at fair value on a recurring basis. Additionally, from time to time, NI Holdings may be required to record at fair value other assets on a nonrecurring basis. These nonrecurring fair value adjustments typically involve application of lower-of-cost-or-market accounting or write-downs of individual assets. Accounting guidance on fair value measurements and disclosures establishes a fair value hierarchy that prioritizes the inputs to valuation methods used to measure fair value. The three levels of the fair value hierarchy are as follows:</w:t>
      </w:r>
    </w:p>
    <w:p>
      <w:pPr>
        <w:spacing w:after="0" w:line="107"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2"/>
          <w:szCs w:val="12"/>
          <w:i w:val="1"/>
          <w:iCs w:val="1"/>
          <w:color w:val="auto"/>
        </w:rPr>
        <w:t>Level I</w:t>
      </w:r>
      <w:r>
        <w:rPr>
          <w:rFonts w:ascii="Arial" w:cs="Arial" w:eastAsia="Arial" w:hAnsi="Arial"/>
          <w:sz w:val="12"/>
          <w:szCs w:val="12"/>
          <w:color w:val="auto"/>
        </w:rPr>
        <w:t>:</w:t>
      </w:r>
      <w:r>
        <w:rPr>
          <w:sz w:val="20"/>
          <w:szCs w:val="20"/>
          <w:color w:val="auto"/>
        </w:rPr>
        <w:tab/>
      </w:r>
      <w:r>
        <w:rPr>
          <w:rFonts w:ascii="Arial" w:cs="Arial" w:eastAsia="Arial" w:hAnsi="Arial"/>
          <w:sz w:val="10"/>
          <w:szCs w:val="10"/>
          <w:color w:val="auto"/>
        </w:rPr>
        <w:t>Unadjusted quoted prices in active markets that are accessible at the measurement date for identical, unrestricted assets or liabilities.</w:t>
      </w:r>
    </w:p>
    <w:p>
      <w:pPr>
        <w:spacing w:after="0" w:line="123" w:lineRule="exact"/>
        <w:rPr>
          <w:sz w:val="20"/>
          <w:szCs w:val="20"/>
          <w:color w:val="auto"/>
        </w:rPr>
      </w:pPr>
    </w:p>
    <w:p>
      <w:pPr>
        <w:ind w:left="1280" w:right="20" w:hanging="864"/>
        <w:spacing w:after="0" w:line="298" w:lineRule="auto"/>
        <w:tabs>
          <w:tab w:leader="none" w:pos="1260" w:val="left"/>
        </w:tabs>
        <w:rPr>
          <w:sz w:val="20"/>
          <w:szCs w:val="20"/>
          <w:color w:val="auto"/>
        </w:rPr>
      </w:pPr>
      <w:r>
        <w:rPr>
          <w:rFonts w:ascii="Arial" w:cs="Arial" w:eastAsia="Arial" w:hAnsi="Arial"/>
          <w:sz w:val="12"/>
          <w:szCs w:val="12"/>
          <w:i w:val="1"/>
          <w:iCs w:val="1"/>
          <w:color w:val="auto"/>
        </w:rPr>
        <w:t>Level II</w:t>
      </w:r>
      <w:r>
        <w:rPr>
          <w:rFonts w:ascii="Arial" w:cs="Arial" w:eastAsia="Arial" w:hAnsi="Arial"/>
          <w:sz w:val="12"/>
          <w:szCs w:val="12"/>
          <w:color w:val="auto"/>
        </w:rPr>
        <w:t>:</w:t>
      </w:r>
      <w:r>
        <w:rPr>
          <w:sz w:val="20"/>
          <w:szCs w:val="20"/>
          <w:color w:val="auto"/>
        </w:rPr>
        <w:tab/>
      </w:r>
      <w:r>
        <w:rPr>
          <w:rFonts w:ascii="Arial" w:cs="Arial" w:eastAsia="Arial" w:hAnsi="Arial"/>
          <w:sz w:val="11"/>
          <w:szCs w:val="11"/>
          <w:color w:val="auto"/>
        </w:rPr>
        <w:t>Quoted prices in markets that are not active, or inputs that are observable either directly or indirectly, for substantially the full term of the asset or liability. Level II includes fixed income securities with quoted prices that are traded less frequently than exchange traded instruments. Valuation techniques include matrix pricing which is a mathematical technique used widely in the industry to value fixed income securities without relying exclusively on quoted market prices for the specific securities but rather by relying on the securities’ relationship to other benchmark quoted prices.</w:t>
      </w:r>
    </w:p>
    <w:p>
      <w:pPr>
        <w:spacing w:after="0" w:line="78"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2"/>
          <w:szCs w:val="12"/>
          <w:i w:val="1"/>
          <w:iCs w:val="1"/>
          <w:color w:val="auto"/>
        </w:rPr>
        <w:t>Level III</w:t>
      </w:r>
      <w:r>
        <w:rPr>
          <w:rFonts w:ascii="Arial" w:cs="Arial" w:eastAsia="Arial" w:hAnsi="Arial"/>
          <w:sz w:val="12"/>
          <w:szCs w:val="12"/>
          <w:color w:val="auto"/>
        </w:rPr>
        <w:t>:</w:t>
      </w:r>
      <w:r>
        <w:rPr>
          <w:sz w:val="20"/>
          <w:szCs w:val="20"/>
          <w:color w:val="auto"/>
        </w:rPr>
        <w:tab/>
      </w:r>
      <w:r>
        <w:rPr>
          <w:rFonts w:ascii="Arial" w:cs="Arial" w:eastAsia="Arial" w:hAnsi="Arial"/>
          <w:sz w:val="10"/>
          <w:szCs w:val="10"/>
          <w:color w:val="auto"/>
        </w:rPr>
        <w:t>Prices or valuation techniques that require inputs that are both significant to the fair value measurement and unobservable (i.e., supported with little or no market activity).</w:t>
      </w:r>
    </w:p>
    <w:p>
      <w:pPr>
        <w:spacing w:after="0" w:line="123" w:lineRule="exact"/>
        <w:rPr>
          <w:sz w:val="20"/>
          <w:szCs w:val="20"/>
          <w:color w:val="auto"/>
        </w:rPr>
      </w:pPr>
    </w:p>
    <w:p>
      <w:pPr>
        <w:ind w:firstLine="432"/>
        <w:spacing w:after="0" w:line="254" w:lineRule="auto"/>
        <w:rPr>
          <w:sz w:val="20"/>
          <w:szCs w:val="20"/>
          <w:color w:val="auto"/>
        </w:rPr>
      </w:pPr>
      <w:r>
        <w:rPr>
          <w:rFonts w:ascii="Arial" w:cs="Arial" w:eastAsia="Arial" w:hAnsi="Arial"/>
          <w:sz w:val="12"/>
          <w:szCs w:val="12"/>
          <w:color w:val="auto"/>
        </w:rPr>
        <w:t>NI Holdings bases its fair values on the price that would be received to sell an asset or paid to transfer a liability in an orderly transaction between market participants at the measurement date. It is our policy to maximize the use of observable inputs and minimize the use of unobservable inputs when developing fair value measurements, in accordance with the fair value hierarchy. Fair value measurements for assets where there exists limited or no observable market data and, therefore, are based primarily upon the estimates of NI Holdings or other third-parties, and are often calculated based on the characteristics of the asset, the economic and competitive environment, and other such factors. Management uses its best judgment in estimating the fair value of the Company’s financial instruments; however, there are inherent weaknesses in any estimation technique. Therefore, for substantially all financial instruments, the fair value estimates herein are not necessarily indicative of the amounts which NI Holdings could have realized in a sale transaction on the dates indicated. The estimated fair value amounts have been measured as of their respective period-end and have not been re-evaluated or updated for purposes of our financial statements subsequent to those respective dates. As such, the estimated fair values of these financial instruments subsequent to the respective reporting dates may be different than the amounts reported at each period-end. Additionally, changes in the underlying assumptions used, including discount rates and estimates of future cash flows, could significantly affect the results of current or future valuations.</w:t>
      </w:r>
    </w:p>
    <w:p>
      <w:pPr>
        <w:spacing w:after="0" w:line="102" w:lineRule="exact"/>
        <w:rPr>
          <w:sz w:val="20"/>
          <w:szCs w:val="20"/>
          <w:color w:val="auto"/>
        </w:rPr>
      </w:pPr>
    </w:p>
    <w:p>
      <w:pPr>
        <w:ind w:right="100" w:firstLine="432"/>
        <w:spacing w:after="0" w:line="283" w:lineRule="auto"/>
        <w:rPr>
          <w:sz w:val="20"/>
          <w:szCs w:val="20"/>
          <w:color w:val="auto"/>
        </w:rPr>
      </w:pPr>
      <w:r>
        <w:rPr>
          <w:rFonts w:ascii="Arial" w:cs="Arial" w:eastAsia="Arial" w:hAnsi="Arial"/>
          <w:sz w:val="11"/>
          <w:szCs w:val="11"/>
          <w:color w:val="auto"/>
        </w:rPr>
        <w:t>NI Holdings uses quoted values and other data provided by an independent pricing service in its process for determining fair values of its investments. The evaluations of such pricing services represent an exit price and a good faith opinion as to what a buyer in the marketplace would pay for a security in a current sale. This pricing service provides NI Holdings with one quote per instrument. For fixed income securities that have quoted prices in active markets, market quotations are provided. For fixed income securities that do not trade on a daily basis, the independent pricing service prepares estimates of fair value using a wide array of observable inputs including relevant market information, benchmark curves, benchmarking of like securities, sector groupings, and matrix pricing. The observable market inputs that the Company’s independent pricing service utilizes may include (listed in order of priority for use) benchmark yields, reported trades, broker-dealer quotes, issuer spreads, two-sided markets, benchmark securities, market bids/offers, and other reference data on markets, industry, and the economy. Additionally, the independent pricing service uses an option-adjusted spread model to develop prepayment and interest rate scenarios. The pricing service did not use broker quotes in determining fair values of the Company’s investments.</w:t>
      </w:r>
    </w:p>
    <w:p>
      <w:pPr>
        <w:spacing w:after="0" w:line="87" w:lineRule="exact"/>
        <w:rPr>
          <w:sz w:val="20"/>
          <w:szCs w:val="20"/>
          <w:color w:val="auto"/>
        </w:rPr>
      </w:pPr>
    </w:p>
    <w:p>
      <w:pPr>
        <w:ind w:right="40" w:firstLine="432"/>
        <w:spacing w:after="0" w:line="257" w:lineRule="auto"/>
        <w:rPr>
          <w:sz w:val="20"/>
          <w:szCs w:val="20"/>
          <w:color w:val="auto"/>
        </w:rPr>
      </w:pPr>
      <w:r>
        <w:rPr>
          <w:rFonts w:ascii="Arial" w:cs="Arial" w:eastAsia="Arial" w:hAnsi="Arial"/>
          <w:sz w:val="12"/>
          <w:szCs w:val="12"/>
          <w:color w:val="auto"/>
        </w:rPr>
        <w:t>Should the independent pricing service be unable to provide a fair value estimate, NI Holdings would attempt to obtain a non-binding fair value estimate from a number of broker-dealers and would review this estimate in conjunction with a fair value estimate reported by an independent business news service or other sources. In instances where only one broker-dealer provides a fair value for a fixed income security, NI Holdings would use that estimate. In instances where NI Holdings would be able to obtain fair value estimates from more than one broker-dealer, the Company would review the range of estimates and select the most appropriate value based on the facts and circumstances. Should neither the independent pricing service nor a broker-dealer provide a fair value estimate, NI Holdings would develop a fair value estimate based on cash flow analyses and other valuation techniques that utilize certain unobservable inputs. Accordingly, NI Holdings classifies such a security as a Level III investment.</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fair value estimates of NI Holdings’ investments provided by the independent pricing service at each period-end were utilized, among other resources, in reaching a conclusion as to the fair value of its investments.</w:t>
      </w:r>
    </w:p>
    <w:p>
      <w:pPr>
        <w:spacing w:after="0" w:line="135" w:lineRule="exact"/>
        <w:rPr>
          <w:sz w:val="20"/>
          <w:szCs w:val="20"/>
          <w:color w:val="auto"/>
        </w:rPr>
      </w:pPr>
    </w:p>
    <w:p>
      <w:pPr>
        <w:ind w:right="380" w:firstLine="432"/>
        <w:spacing w:after="0" w:line="276" w:lineRule="auto"/>
        <w:rPr>
          <w:sz w:val="20"/>
          <w:szCs w:val="20"/>
          <w:color w:val="auto"/>
        </w:rPr>
      </w:pPr>
      <w:r>
        <w:rPr>
          <w:rFonts w:ascii="Arial" w:cs="Arial" w:eastAsia="Arial" w:hAnsi="Arial"/>
          <w:sz w:val="12"/>
          <w:szCs w:val="12"/>
          <w:color w:val="auto"/>
        </w:rPr>
        <w:t>Management reviews the reasonableness of the pricing provided by the independent pricing service by employing various analytical procedures. Management reviews all securities to identify recent downgrades, significant changes in pricing, and pricing anomalies on individual securities relative to other similar securities. This will include looking for relative consistency across</w:t>
      </w:r>
    </w:p>
    <w:p>
      <w:pPr>
        <w:spacing w:after="0" w:line="1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2340" cy="17145"/>
                    </a:xfrm>
                    <a:prstGeom prst="rect">
                      <a:avLst/>
                    </a:prstGeom>
                    <a:noFill/>
                  </pic:spPr>
                </pic:pic>
              </a:graphicData>
            </a:graphic>
          </wp:anchor>
        </w:drawing>
      </w:r>
    </w:p>
    <w:p>
      <w:pPr>
        <w:sectPr>
          <w:pgSz w:w="11900" w:h="16838" w:orient="portrait"/>
          <w:cols w:equalWidth="0" w:num="1">
            <w:col w:w="11460"/>
          </w:cols>
          <w:pgMar w:left="220" w:top="203" w:right="219" w:bottom="1440" w:gutter="0" w:footer="0" w:header="0"/>
        </w:sectPr>
      </w:pPr>
    </w:p>
    <w:bookmarkStart w:id="46" w:name="page47"/>
    <w:bookmarkEnd w:id="46"/>
    <w:p>
      <w:pPr>
        <w:ind w:left="2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50" w:lineRule="exact"/>
        <w:rPr>
          <w:sz w:val="20"/>
          <w:szCs w:val="20"/>
          <w:color w:val="auto"/>
        </w:rPr>
      </w:pPr>
    </w:p>
    <w:p>
      <w:pPr>
        <w:ind w:right="80"/>
        <w:spacing w:after="0" w:line="259" w:lineRule="auto"/>
        <w:rPr>
          <w:sz w:val="20"/>
          <w:szCs w:val="20"/>
          <w:color w:val="auto"/>
        </w:rPr>
      </w:pPr>
      <w:r>
        <w:rPr>
          <w:rFonts w:ascii="Arial" w:cs="Arial" w:eastAsia="Arial" w:hAnsi="Arial"/>
          <w:sz w:val="12"/>
          <w:szCs w:val="12"/>
          <w:color w:val="auto"/>
        </w:rPr>
        <w:t>securities in common sectors, durations, and credit ratings. This review will also include all fixed income securities rated lower than “A” by Moody’s or Standard &amp; Poor’s. If, after this review, management does not believe the pricing for any security is a reasonable estimate of fair value, then it will seek to resolve the discrepancy through discussions with the pricing service. In its review, management did not identify any such discrepancies, and no adjustments were made to the estimates provided by the pricing service, for the six months ended June 30, 2018 or the year ended December 31, 2017. The classification within the fair value hierarchy is then confirmed based on the final conclusions from the pricing review.</w:t>
      </w:r>
    </w:p>
    <w:p>
      <w:pPr>
        <w:spacing w:after="0" w:line="9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For more information on the Company’s fair value measurements, see Note 7 to the Unaudited Consolidated Financial Statements, included elsewhere in this Report.</w:t>
      </w:r>
    </w:p>
    <w:p>
      <w:pPr>
        <w:spacing w:after="0" w:line="132"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Deferred Policy Acquisition Costs</w:t>
      </w:r>
    </w:p>
    <w:p>
      <w:pPr>
        <w:spacing w:after="0" w:line="123" w:lineRule="exact"/>
        <w:rPr>
          <w:sz w:val="20"/>
          <w:szCs w:val="20"/>
          <w:color w:val="auto"/>
        </w:rPr>
      </w:pPr>
    </w:p>
    <w:p>
      <w:pPr>
        <w:jc w:val="both"/>
        <w:ind w:right="180" w:firstLine="432"/>
        <w:spacing w:after="0" w:line="380" w:lineRule="auto"/>
        <w:rPr>
          <w:sz w:val="20"/>
          <w:szCs w:val="20"/>
          <w:color w:val="auto"/>
        </w:rPr>
      </w:pPr>
      <w:r>
        <w:rPr>
          <w:rFonts w:ascii="Arial" w:cs="Arial" w:eastAsia="Arial" w:hAnsi="Arial"/>
          <w:sz w:val="10"/>
          <w:szCs w:val="10"/>
          <w:color w:val="auto"/>
        </w:rPr>
        <w:t>Certain direct policy acquisition costs consisting of commissions, premium taxes, and other direct underwriting expenses that vary with and are primarily related to the production of business are deferred and amortized over the effective period of the related insurance policies as the underlying policy premiums are earned. At June 30, 2018 and December 31, 2017, deferred policy acquisition costs and the related liability for unearned premiums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ind w:left="100"/>
              <w:spacing w:after="0"/>
              <w:rPr>
                <w:sz w:val="20"/>
                <w:szCs w:val="20"/>
                <w:color w:val="auto"/>
              </w:rPr>
            </w:pPr>
            <w:r>
              <w:rPr>
                <w:rFonts w:ascii="Arial" w:cs="Arial" w:eastAsia="Arial" w:hAnsi="Arial"/>
                <w:sz w:val="12"/>
                <w:szCs w:val="12"/>
                <w:b w:val="1"/>
                <w:bCs w:val="1"/>
                <w:color w:val="auto"/>
              </w:rPr>
              <w:t>June 30, 2018</w:t>
            </w:r>
          </w:p>
        </w:tc>
        <w:tc>
          <w:tcPr>
            <w:tcW w:w="6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88"/>
              </w:rPr>
              <w:t>December 31, 2017</w:t>
            </w:r>
          </w:p>
        </w:tc>
      </w:tr>
      <w:tr>
        <w:trPr>
          <w:trHeight w:val="133"/>
        </w:trPr>
        <w:tc>
          <w:tcPr>
            <w:tcW w:w="88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Deferred policy acquisition costs</w:t>
            </w: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12,190</w:t>
            </w:r>
          </w:p>
        </w:tc>
        <w:tc>
          <w:tcPr>
            <w:tcW w:w="2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8,859</w:t>
            </w:r>
          </w:p>
        </w:tc>
        <w:tc>
          <w:tcPr>
            <w:tcW w:w="120" w:type="dxa"/>
            <w:vAlign w:val="bottom"/>
            <w:tcBorders>
              <w:top w:val="single" w:sz="8" w:color="CCEEFF"/>
            </w:tcBorders>
            <w:shd w:val="clear" w:color="auto" w:fill="CCEEFF"/>
          </w:tcPr>
          <w:p>
            <w:pPr>
              <w:spacing w:after="0"/>
              <w:rPr>
                <w:sz w:val="11"/>
                <w:szCs w:val="11"/>
                <w:color w:val="auto"/>
              </w:rPr>
            </w:pPr>
          </w:p>
        </w:tc>
      </w:tr>
      <w:tr>
        <w:trPr>
          <w:trHeight w:val="153"/>
        </w:trPr>
        <w:tc>
          <w:tcPr>
            <w:tcW w:w="8840" w:type="dxa"/>
            <w:vAlign w:val="bottom"/>
          </w:tcPr>
          <w:p>
            <w:pPr>
              <w:spacing w:after="0"/>
              <w:rPr>
                <w:sz w:val="20"/>
                <w:szCs w:val="20"/>
                <w:color w:val="auto"/>
              </w:rPr>
            </w:pPr>
            <w:r>
              <w:rPr>
                <w:rFonts w:ascii="Arial" w:cs="Arial" w:eastAsia="Arial" w:hAnsi="Arial"/>
                <w:sz w:val="12"/>
                <w:szCs w:val="12"/>
                <w:color w:val="auto"/>
              </w:rPr>
              <w:t>Liability for unearned premiums</w:t>
            </w:r>
          </w:p>
        </w:tc>
        <w:tc>
          <w:tcPr>
            <w:tcW w:w="140" w:type="dxa"/>
            <w:vAlign w:val="bottom"/>
          </w:tcPr>
          <w:p>
            <w:pPr>
              <w:spacing w:after="0"/>
              <w:rPr>
                <w:sz w:val="13"/>
                <w:szCs w:val="1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99,954</w:t>
            </w:r>
          </w:p>
        </w:tc>
        <w:tc>
          <w:tcPr>
            <w:tcW w:w="6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63,262</w:t>
            </w:r>
          </w:p>
        </w:tc>
      </w:tr>
    </w:tbl>
    <w:p>
      <w:pPr>
        <w:spacing w:after="0" w:line="252" w:lineRule="exact"/>
        <w:rPr>
          <w:sz w:val="20"/>
          <w:szCs w:val="20"/>
          <w:color w:val="auto"/>
        </w:rPr>
      </w:pPr>
    </w:p>
    <w:p>
      <w:pPr>
        <w:jc w:val="both"/>
        <w:ind w:right="220" w:firstLine="432"/>
        <w:spacing w:after="0" w:line="298" w:lineRule="auto"/>
        <w:rPr>
          <w:sz w:val="20"/>
          <w:szCs w:val="20"/>
          <w:color w:val="auto"/>
        </w:rPr>
      </w:pPr>
      <w:r>
        <w:rPr>
          <w:rFonts w:ascii="Arial" w:cs="Arial" w:eastAsia="Arial" w:hAnsi="Arial"/>
          <w:sz w:val="11"/>
          <w:szCs w:val="11"/>
          <w:color w:val="auto"/>
        </w:rPr>
        <w:t>The method followed in computing deferred policy acquisition costs limits the amount of deferred costs to their estimated realizable value, which gives effect to the premium to be earned, related investment income, losses and LAE, and certain other costs expected to be incurred as the premium is earned. Future changes in estimates, the most significant of which is expected losses and LAE, may require adjustments to deferred policy acquisition costs. If the estimation of net realizable value indicates that the deferred policy acquisition costs are not recoverable, they would be written off or a premium deficiency reserve would be established.</w:t>
      </w:r>
    </w:p>
    <w:p>
      <w:pPr>
        <w:spacing w:after="0" w:line="222"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Income Taxes</w:t>
      </w:r>
    </w:p>
    <w:p>
      <w:pPr>
        <w:spacing w:after="0" w:line="123"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NI Holdings uses the asset and liability method of accounting for deferred income taxes. Deferred income taxes arise from the recognition of temporary differences between financial statement carrying amounts and the income tax bases of our assets and liabilities. A valuation allowance is provided when it is more likely than not that some portion of the deferred income tax asset will not be realized. The effect of a change in tax rates is recognized in the period of the enactment date. The following tax amounts reflect the new corporate tax rate enacted on December 22, 2017.</w:t>
      </w:r>
    </w:p>
    <w:p>
      <w:pPr>
        <w:spacing w:after="0" w:line="105" w:lineRule="exact"/>
        <w:rPr>
          <w:sz w:val="20"/>
          <w:szCs w:val="20"/>
          <w:color w:val="auto"/>
        </w:rPr>
      </w:pPr>
    </w:p>
    <w:p>
      <w:pPr>
        <w:ind w:right="100" w:firstLine="432"/>
        <w:spacing w:after="0" w:line="263" w:lineRule="auto"/>
        <w:rPr>
          <w:sz w:val="20"/>
          <w:szCs w:val="20"/>
          <w:color w:val="auto"/>
        </w:rPr>
      </w:pPr>
      <w:r>
        <w:rPr>
          <w:rFonts w:ascii="Arial" w:cs="Arial" w:eastAsia="Arial" w:hAnsi="Arial"/>
          <w:sz w:val="12"/>
          <w:szCs w:val="12"/>
          <w:color w:val="auto"/>
        </w:rPr>
        <w:t>NI Holdings had gross deferred income tax assets of $5,986 at June 30, 2018 and $4,279 at December 31, 2017, arising primarily from unearned premiums, loss reserve discounting, and net operating loss carryforwards. A valuation allowance is required to be established for any portion of the deferred income tax asset for which the Company believes it is more likely than not that it will not be realized. A valuation allowance of $628 was maintained at June 30, 2018 and December 31, 2017.</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1"/>
          <w:szCs w:val="11"/>
          <w:color w:val="auto"/>
        </w:rPr>
        <w:t>NI Holdings had gross deferred income tax liabilities of $6,053 at June 30, 2018 and $6,190 at December 31, 2017, arising primarily from deferred policy acquisition costs and net unrealized capital gains on investments.</w:t>
      </w:r>
    </w:p>
    <w:p>
      <w:pPr>
        <w:spacing w:after="0" w:line="135" w:lineRule="exact"/>
        <w:rPr>
          <w:sz w:val="20"/>
          <w:szCs w:val="20"/>
          <w:color w:val="auto"/>
        </w:rPr>
      </w:pPr>
    </w:p>
    <w:p>
      <w:pPr>
        <w:ind w:right="100" w:firstLine="432"/>
        <w:spacing w:after="0" w:line="263" w:lineRule="auto"/>
        <w:rPr>
          <w:sz w:val="20"/>
          <w:szCs w:val="20"/>
          <w:color w:val="auto"/>
        </w:rPr>
      </w:pPr>
      <w:r>
        <w:rPr>
          <w:rFonts w:ascii="Arial" w:cs="Arial" w:eastAsia="Arial" w:hAnsi="Arial"/>
          <w:sz w:val="12"/>
          <w:szCs w:val="12"/>
          <w:color w:val="auto"/>
        </w:rPr>
        <w:t>NI Holdings exercises significant judgment in evaluating the amount and timing of recognition of the resulting income tax liabilities and assets. These judgments require NI Holdings to make projections of future taxable income. The judgments and estimates the Company makes in determining its deferred income tax assets, which are inherently subjective, are reviewed on a continual basis as regulatory and business factors change. Any reduction in estimated future taxable income may require the Company to record a valuation allowance against its deferred income tax assets.</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of June 30, 2018, NI Holdings had no material unrecognized tax benefits or accrued interest and penalties. Federal tax years 2013 through 2016 are open for examination.</w:t>
      </w:r>
    </w:p>
    <w:p>
      <w:pPr>
        <w:spacing w:after="0" w:line="150"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29234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2340" cy="17145"/>
                    </a:xfrm>
                    <a:prstGeom prst="rect">
                      <a:avLst/>
                    </a:prstGeom>
                    <a:noFill/>
                  </pic:spPr>
                </pic:pic>
              </a:graphicData>
            </a:graphic>
          </wp:anchor>
        </w:drawing>
      </w:r>
    </w:p>
    <w:p>
      <w:pPr>
        <w:sectPr>
          <w:pgSz w:w="11900" w:h="16838" w:orient="portrait"/>
          <w:cols w:equalWidth="0" w:num="1">
            <w:col w:w="11480"/>
          </w:cols>
          <w:pgMar w:left="220" w:top="203" w:right="199" w:bottom="1440" w:gutter="0" w:footer="0" w:header="0"/>
        </w:sectPr>
      </w:pPr>
    </w:p>
    <w:bookmarkStart w:id="47" w:name="page48"/>
    <w:bookmarkEnd w:id="47"/>
    <w:p>
      <w:pPr>
        <w:ind w:left="2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127" w:lineRule="exact"/>
        <w:rPr>
          <w:sz w:val="20"/>
          <w:szCs w:val="20"/>
          <w:color w:val="auto"/>
        </w:rPr>
      </w:pPr>
    </w:p>
    <w:p>
      <w:pPr>
        <w:ind w:right="80" w:firstLine="432"/>
        <w:spacing w:after="0" w:line="263" w:lineRule="auto"/>
        <w:rPr>
          <w:sz w:val="20"/>
          <w:szCs w:val="20"/>
          <w:color w:val="auto"/>
        </w:rPr>
      </w:pPr>
      <w:r>
        <w:rPr>
          <w:rFonts w:ascii="Arial" w:cs="Arial" w:eastAsia="Arial" w:hAnsi="Arial"/>
          <w:sz w:val="12"/>
          <w:szCs w:val="12"/>
          <w:color w:val="auto"/>
        </w:rPr>
        <w:t>NI Holdings’ results of operations are influenced by factors affecting the property and casualty insurance and crop insurance industries in general. The operating results of the United States property and casualty industry and crop insurance industry are subject to significant variations due to competition, weather, catastrophic events, changes in regulation, general economic conditions, rising medical expenses, judicial trends, fluctuations in interest rates, and other changes in the investment environment.</w:t>
      </w:r>
    </w:p>
    <w:p>
      <w:pPr>
        <w:spacing w:after="0" w:line="105" w:lineRule="exact"/>
        <w:rPr>
          <w:sz w:val="20"/>
          <w:szCs w:val="20"/>
          <w:color w:val="auto"/>
        </w:rPr>
      </w:pPr>
    </w:p>
    <w:p>
      <w:pPr>
        <w:ind w:right="60" w:firstLine="432"/>
        <w:spacing w:after="0" w:line="257" w:lineRule="auto"/>
        <w:rPr>
          <w:sz w:val="20"/>
          <w:szCs w:val="20"/>
          <w:color w:val="auto"/>
        </w:rPr>
      </w:pPr>
      <w:r>
        <w:rPr>
          <w:rFonts w:ascii="Arial" w:cs="Arial" w:eastAsia="Arial" w:hAnsi="Arial"/>
          <w:sz w:val="12"/>
          <w:szCs w:val="12"/>
          <w:color w:val="auto"/>
        </w:rPr>
        <w:t>NI Holdings premium levels and underwriting results have been, and continue to be, influenced by market conditions. Pricing in the property and casualty insurance industry historically has been cyclical. During a soft market cycle, price competition is more significant than during a hard market cycle and makes it difficult to attract and retain properly priced business. During a hard market cycle, it is more likely that insurers will be able to increase their rates or profit margins. A hard market typically has a positive effect on premium growth. The markets that NI Holdings serve are diversified, which requires management to regularly monitor the Company’s performance and competitive position by line of business and geographic market to schedule appropriate rate actions. We believe that the market is in a “firming” phase in response to higher frequency and severity of weather-related events in our markets as well as the rest of the world.</w:t>
      </w:r>
    </w:p>
    <w:p>
      <w:pPr>
        <w:spacing w:after="0" w:line="99" w:lineRule="exact"/>
        <w:rPr>
          <w:sz w:val="20"/>
          <w:szCs w:val="20"/>
          <w:color w:val="auto"/>
        </w:rPr>
      </w:pPr>
    </w:p>
    <w:p>
      <w:pPr>
        <w:ind w:right="60" w:firstLine="432"/>
        <w:spacing w:after="0" w:line="263" w:lineRule="auto"/>
        <w:rPr>
          <w:sz w:val="20"/>
          <w:szCs w:val="20"/>
          <w:color w:val="auto"/>
        </w:rPr>
      </w:pPr>
      <w:r>
        <w:rPr>
          <w:rFonts w:ascii="Arial" w:cs="Arial" w:eastAsia="Arial" w:hAnsi="Arial"/>
          <w:sz w:val="12"/>
          <w:szCs w:val="12"/>
          <w:color w:val="auto"/>
        </w:rPr>
        <w:t>Premiums in the multi-peril crop insurance business are primarily influenced by the number of acres planted and types of crops insured because the pricing is set by the RMA rather than individual insurance carriers. The expected experience of this business for the calendar year may also significantly impact the reported net earned premiums and losses due to the risk-sharing arrangement with the federal government. Multi-peril crop insurance premiums are generally written in second quarter, and earned ratably over the period of risk, which extends into fourth quarter.</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Premiums in the crop hail insurance business are also generally written in second quarter, but earned over a shorter period of risk than multi-peril crop insurance.</w:t>
      </w:r>
    </w:p>
    <w:p>
      <w:pPr>
        <w:spacing w:after="0" w:line="132" w:lineRule="exact"/>
        <w:rPr>
          <w:sz w:val="20"/>
          <w:szCs w:val="20"/>
          <w:color w:val="auto"/>
        </w:rPr>
      </w:pPr>
    </w:p>
    <w:p>
      <w:pPr>
        <w:ind w:right="160" w:firstLine="432"/>
        <w:spacing w:after="0" w:line="276" w:lineRule="auto"/>
        <w:rPr>
          <w:sz w:val="20"/>
          <w:szCs w:val="20"/>
          <w:color w:val="auto"/>
        </w:rPr>
      </w:pPr>
      <w:r>
        <w:rPr>
          <w:rFonts w:ascii="Arial" w:cs="Arial" w:eastAsia="Arial" w:hAnsi="Arial"/>
          <w:sz w:val="12"/>
          <w:szCs w:val="12"/>
          <w:color w:val="auto"/>
        </w:rPr>
        <w:t>Premiums in the personal lines of business (private passenger auto and home and farm) are generally written throughout the year and earned throughout the year. Losses on this business are also incurred throughout the year, but usually are more frequent and/or severe during periods of weather-related activity in the second and third quarters.</w:t>
      </w:r>
    </w:p>
    <w:p>
      <w:pPr>
        <w:spacing w:after="0" w:line="8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For more information on the Company’s results of operations by segment, see Note 21 to the Unaudited Consolidated Financial Statements, included elsewhere in this Report.</w:t>
      </w: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Three Months ended June 30, 2018 and 2017</w:t>
      </w:r>
    </w:p>
    <w:p>
      <w:pPr>
        <w:spacing w:after="0" w:line="132" w:lineRule="exact"/>
        <w:rPr>
          <w:sz w:val="20"/>
          <w:szCs w:val="20"/>
          <w:color w:val="auto"/>
        </w:rPr>
      </w:pPr>
    </w:p>
    <w:p>
      <w:pPr>
        <w:ind w:right="80" w:firstLine="432"/>
        <w:spacing w:after="0" w:line="276" w:lineRule="auto"/>
        <w:rPr>
          <w:sz w:val="20"/>
          <w:szCs w:val="20"/>
          <w:color w:val="auto"/>
        </w:rPr>
      </w:pPr>
      <w:r>
        <w:rPr>
          <w:rFonts w:ascii="Arial" w:cs="Arial" w:eastAsia="Arial" w:hAnsi="Arial"/>
          <w:sz w:val="12"/>
          <w:szCs w:val="12"/>
          <w:color w:val="auto"/>
        </w:rPr>
        <w:t>The consolidated net income for NI Holdings was $256 for the three months ended June 30, 2018 compared to $117 a year ago. The major components of NI Holdings’ operating revenues and net income for the two periods were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14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2"/>
                <w:szCs w:val="12"/>
                <w:b w:val="1"/>
                <w:bCs w:val="1"/>
                <w:color w:val="auto"/>
              </w:rPr>
              <w:t>Three Months Ended June 30,</w:t>
            </w:r>
          </w:p>
        </w:tc>
        <w:tc>
          <w:tcPr>
            <w:tcW w:w="3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Borders>
              <w:bottom w:val="single" w:sz="8" w:color="CCEEFF"/>
            </w:tcBorders>
          </w:tcPr>
          <w:p>
            <w:pPr>
              <w:spacing w:after="0"/>
              <w:rPr>
                <w:sz w:val="12"/>
                <w:szCs w:val="12"/>
                <w:color w:val="auto"/>
              </w:rPr>
            </w:pPr>
          </w:p>
        </w:tc>
        <w:tc>
          <w:tcPr>
            <w:tcW w:w="36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b w:val="1"/>
                <w:bCs w:val="1"/>
                <w:color w:val="auto"/>
              </w:rPr>
              <w:t>2018</w:t>
            </w:r>
          </w:p>
        </w:tc>
        <w:tc>
          <w:tcPr>
            <w:tcW w:w="40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2"/>
                <w:szCs w:val="12"/>
                <w:b w:val="1"/>
                <w:bCs w:val="1"/>
                <w:color w:val="auto"/>
              </w:rPr>
              <w:t>2017</w:t>
            </w:r>
          </w:p>
        </w:tc>
        <w:tc>
          <w:tcPr>
            <w:tcW w:w="3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1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Revenues:</w:t>
            </w:r>
          </w:p>
        </w:tc>
        <w:tc>
          <w:tcPr>
            <w:tcW w:w="36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40" w:type="dxa"/>
            <w:vAlign w:val="bottom"/>
          </w:tcPr>
          <w:p>
            <w:pPr>
              <w:ind w:left="100"/>
              <w:spacing w:after="0"/>
              <w:rPr>
                <w:sz w:val="20"/>
                <w:szCs w:val="20"/>
                <w:color w:val="auto"/>
              </w:rPr>
            </w:pPr>
            <w:r>
              <w:rPr>
                <w:rFonts w:ascii="Arial" w:cs="Arial" w:eastAsia="Arial" w:hAnsi="Arial"/>
                <w:sz w:val="12"/>
                <w:szCs w:val="12"/>
                <w:color w:val="auto"/>
              </w:rPr>
              <w:t>Net premiums earned</w:t>
            </w:r>
          </w:p>
        </w:tc>
        <w:tc>
          <w:tcPr>
            <w:tcW w:w="4440" w:type="dxa"/>
            <w:vAlign w:val="bottom"/>
            <w:gridSpan w:val="2"/>
          </w:tcPr>
          <w:p>
            <w:pPr>
              <w:jc w:val="right"/>
              <w:ind w:right="645"/>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2"/>
                <w:szCs w:val="12"/>
                <w:color w:val="auto"/>
              </w:rPr>
              <w:t>50,677</w:t>
            </w:r>
          </w:p>
        </w:tc>
        <w:tc>
          <w:tcPr>
            <w:tcW w:w="740" w:type="dxa"/>
            <w:vAlign w:val="bottom"/>
          </w:tcPr>
          <w:p>
            <w:pPr>
              <w:jc w:val="right"/>
              <w:ind w:right="628"/>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w w:val="97"/>
              </w:rPr>
              <w:t>45,653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Fee and other income</w:t>
            </w:r>
          </w:p>
        </w:tc>
        <w:tc>
          <w:tcPr>
            <w:tcW w:w="36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470</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40" w:type="dxa"/>
            <w:vAlign w:val="bottom"/>
          </w:tcPr>
          <w:p>
            <w:pPr>
              <w:ind w:left="100"/>
              <w:spacing w:after="0"/>
              <w:rPr>
                <w:sz w:val="20"/>
                <w:szCs w:val="20"/>
                <w:color w:val="auto"/>
              </w:rPr>
            </w:pPr>
            <w:r>
              <w:rPr>
                <w:rFonts w:ascii="Arial" w:cs="Arial" w:eastAsia="Arial" w:hAnsi="Arial"/>
                <w:sz w:val="12"/>
                <w:szCs w:val="12"/>
                <w:color w:val="auto"/>
              </w:rPr>
              <w:t>Net investment income</w:t>
            </w:r>
          </w:p>
        </w:tc>
        <w:tc>
          <w:tcPr>
            <w:tcW w:w="3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1,523</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1,303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1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Net realized capital gain on investments</w:t>
            </w:r>
          </w:p>
        </w:tc>
        <w:tc>
          <w:tcPr>
            <w:tcW w:w="36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w:t>
            </w: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339</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140" w:type="dxa"/>
            <w:vAlign w:val="bottom"/>
            <w:tcBorders>
              <w:bottom w:val="single" w:sz="8" w:color="CCEEFF"/>
            </w:tcBorders>
          </w:tcPr>
          <w:p>
            <w:pPr>
              <w:ind w:left="240"/>
              <w:spacing w:after="0" w:line="133" w:lineRule="exact"/>
              <w:rPr>
                <w:sz w:val="20"/>
                <w:szCs w:val="20"/>
                <w:color w:val="auto"/>
              </w:rPr>
            </w:pPr>
            <w:r>
              <w:rPr>
                <w:rFonts w:ascii="Arial" w:cs="Arial" w:eastAsia="Arial" w:hAnsi="Arial"/>
                <w:sz w:val="12"/>
                <w:szCs w:val="12"/>
                <w:color w:val="auto"/>
              </w:rPr>
              <w:t>Total revenues</w:t>
            </w:r>
          </w:p>
        </w:tc>
        <w:tc>
          <w:tcPr>
            <w:tcW w:w="3680" w:type="dxa"/>
            <w:vAlign w:val="bottom"/>
            <w:tcBorders>
              <w:bottom w:val="single" w:sz="8" w:color="CCEEFF"/>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645"/>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52,920</w:t>
            </w:r>
          </w:p>
        </w:tc>
        <w:tc>
          <w:tcPr>
            <w:tcW w:w="240" w:type="dxa"/>
            <w:vAlign w:val="bottom"/>
            <w:tcBorders>
              <w:bottom w:val="single" w:sz="8" w:color="CCEEFF"/>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97"/>
              </w:rPr>
              <w:t>47,616</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5140" w:type="dxa"/>
            <w:vAlign w:val="bottom"/>
            <w:shd w:val="clear" w:color="auto" w:fill="CCEEFF"/>
          </w:tcPr>
          <w:p>
            <w:pPr>
              <w:spacing w:after="0"/>
              <w:rPr>
                <w:sz w:val="11"/>
                <w:szCs w:val="11"/>
                <w:color w:val="auto"/>
              </w:rPr>
            </w:pPr>
          </w:p>
        </w:tc>
        <w:tc>
          <w:tcPr>
            <w:tcW w:w="36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140" w:type="dxa"/>
            <w:vAlign w:val="bottom"/>
          </w:tcPr>
          <w:p>
            <w:pPr>
              <w:spacing w:after="0"/>
              <w:rPr>
                <w:sz w:val="20"/>
                <w:szCs w:val="20"/>
                <w:color w:val="auto"/>
              </w:rPr>
            </w:pPr>
            <w:r>
              <w:rPr>
                <w:rFonts w:ascii="Arial" w:cs="Arial" w:eastAsia="Arial" w:hAnsi="Arial"/>
                <w:sz w:val="12"/>
                <w:szCs w:val="12"/>
                <w:color w:val="auto"/>
              </w:rPr>
              <w:t>Components of net income:</w:t>
            </w:r>
          </w:p>
        </w:tc>
        <w:tc>
          <w:tcPr>
            <w:tcW w:w="3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Net premiums earned</w:t>
            </w:r>
          </w:p>
        </w:tc>
        <w:tc>
          <w:tcPr>
            <w:tcW w:w="4440" w:type="dxa"/>
            <w:vAlign w:val="bottom"/>
            <w:gridSpan w:val="2"/>
            <w:shd w:val="clear" w:color="auto" w:fill="CCEEFF"/>
          </w:tcPr>
          <w:p>
            <w:pPr>
              <w:jc w:val="right"/>
              <w:ind w:right="645"/>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50,677</w:t>
            </w:r>
          </w:p>
        </w:tc>
        <w:tc>
          <w:tcPr>
            <w:tcW w:w="740" w:type="dxa"/>
            <w:vAlign w:val="bottom"/>
            <w:shd w:val="clear" w:color="auto" w:fill="CCEEFF"/>
          </w:tcPr>
          <w:p>
            <w:pPr>
              <w:jc w:val="right"/>
              <w:ind w:right="628"/>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7"/>
              </w:rPr>
              <w:t>45,653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40" w:type="dxa"/>
            <w:vAlign w:val="bottom"/>
          </w:tcPr>
          <w:p>
            <w:pPr>
              <w:ind w:left="100"/>
              <w:spacing w:after="0"/>
              <w:rPr>
                <w:sz w:val="20"/>
                <w:szCs w:val="20"/>
                <w:color w:val="auto"/>
              </w:rPr>
            </w:pPr>
            <w:r>
              <w:rPr>
                <w:rFonts w:ascii="Arial" w:cs="Arial" w:eastAsia="Arial" w:hAnsi="Arial"/>
                <w:sz w:val="12"/>
                <w:szCs w:val="12"/>
                <w:color w:val="auto"/>
              </w:rPr>
              <w:t>Losses and loss adjustment expenses</w:t>
            </w:r>
          </w:p>
        </w:tc>
        <w:tc>
          <w:tcPr>
            <w:tcW w:w="3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2"/>
                <w:szCs w:val="12"/>
                <w:color w:val="auto"/>
              </w:rPr>
              <w:t>40,721</w:t>
            </w:r>
          </w:p>
        </w:tc>
        <w:tc>
          <w:tcPr>
            <w:tcW w:w="74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w w:val="97"/>
              </w:rPr>
              <w:t>36,230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1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Amortization of deferred policy acquisition costs and other underwriting and general expenses</w:t>
            </w:r>
          </w:p>
        </w:tc>
        <w:tc>
          <w:tcPr>
            <w:tcW w:w="368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11,802</w:t>
            </w:r>
          </w:p>
        </w:tc>
        <w:tc>
          <w:tcPr>
            <w:tcW w:w="24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11,425</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140" w:type="dxa"/>
            <w:vAlign w:val="bottom"/>
          </w:tcPr>
          <w:p>
            <w:pPr>
              <w:ind w:left="240"/>
              <w:spacing w:after="0" w:line="133" w:lineRule="exact"/>
              <w:rPr>
                <w:sz w:val="20"/>
                <w:szCs w:val="20"/>
                <w:color w:val="auto"/>
              </w:rPr>
            </w:pPr>
            <w:r>
              <w:rPr>
                <w:rFonts w:ascii="Arial" w:cs="Arial" w:eastAsia="Arial" w:hAnsi="Arial"/>
                <w:sz w:val="12"/>
                <w:szCs w:val="12"/>
                <w:color w:val="auto"/>
              </w:rPr>
              <w:t>Underwriting income (loss)</w:t>
            </w:r>
          </w:p>
        </w:tc>
        <w:tc>
          <w:tcPr>
            <w:tcW w:w="3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jc w:val="right"/>
              <w:spacing w:after="0" w:line="133" w:lineRule="exact"/>
              <w:rPr>
                <w:sz w:val="20"/>
                <w:szCs w:val="20"/>
                <w:color w:val="auto"/>
              </w:rPr>
            </w:pPr>
            <w:r>
              <w:rPr>
                <w:rFonts w:ascii="Arial" w:cs="Arial" w:eastAsia="Arial" w:hAnsi="Arial"/>
                <w:sz w:val="12"/>
                <w:szCs w:val="12"/>
                <w:color w:val="auto"/>
                <w:w w:val="99"/>
              </w:rPr>
              <w:t>(1,846)</w:t>
            </w: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jc w:val="right"/>
              <w:spacing w:after="0" w:line="133" w:lineRule="exact"/>
              <w:rPr>
                <w:sz w:val="20"/>
                <w:szCs w:val="20"/>
                <w:color w:val="auto"/>
              </w:rPr>
            </w:pPr>
            <w:r>
              <w:rPr>
                <w:rFonts w:ascii="Arial" w:cs="Arial" w:eastAsia="Arial" w:hAnsi="Arial"/>
                <w:sz w:val="12"/>
                <w:szCs w:val="12"/>
                <w:color w:val="auto"/>
                <w:w w:val="94"/>
              </w:rPr>
              <w:t>(2,002)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Fee and other income</w:t>
            </w:r>
          </w:p>
        </w:tc>
        <w:tc>
          <w:tcPr>
            <w:tcW w:w="36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470</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40" w:type="dxa"/>
            <w:vAlign w:val="bottom"/>
          </w:tcPr>
          <w:p>
            <w:pPr>
              <w:ind w:left="100"/>
              <w:spacing w:after="0"/>
              <w:rPr>
                <w:sz w:val="20"/>
                <w:szCs w:val="20"/>
                <w:color w:val="auto"/>
              </w:rPr>
            </w:pPr>
            <w:r>
              <w:rPr>
                <w:rFonts w:ascii="Arial" w:cs="Arial" w:eastAsia="Arial" w:hAnsi="Arial"/>
                <w:sz w:val="12"/>
                <w:szCs w:val="12"/>
                <w:color w:val="auto"/>
              </w:rPr>
              <w:t>Net investment income</w:t>
            </w:r>
          </w:p>
        </w:tc>
        <w:tc>
          <w:tcPr>
            <w:tcW w:w="3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1,523</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1,303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1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Net realized capital gain on investments</w:t>
            </w:r>
          </w:p>
        </w:tc>
        <w:tc>
          <w:tcPr>
            <w:tcW w:w="36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w:t>
            </w: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339</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140" w:type="dxa"/>
            <w:vAlign w:val="bottom"/>
          </w:tcPr>
          <w:p>
            <w:pPr>
              <w:ind w:left="240"/>
              <w:spacing w:after="0" w:line="133" w:lineRule="exact"/>
              <w:rPr>
                <w:sz w:val="20"/>
                <w:szCs w:val="20"/>
                <w:color w:val="auto"/>
              </w:rPr>
            </w:pPr>
            <w:r>
              <w:rPr>
                <w:rFonts w:ascii="Arial" w:cs="Arial" w:eastAsia="Arial" w:hAnsi="Arial"/>
                <w:sz w:val="12"/>
                <w:szCs w:val="12"/>
                <w:color w:val="auto"/>
              </w:rPr>
              <w:t>Income (loss) before income taxes</w:t>
            </w:r>
          </w:p>
        </w:tc>
        <w:tc>
          <w:tcPr>
            <w:tcW w:w="368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397</w:t>
            </w:r>
          </w:p>
        </w:tc>
        <w:tc>
          <w:tcPr>
            <w:tcW w:w="2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(39)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14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Income taxes (benefit)</w:t>
            </w:r>
          </w:p>
        </w:tc>
        <w:tc>
          <w:tcPr>
            <w:tcW w:w="36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w:t>
            </w: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ind w:left="240"/>
              <w:spacing w:after="0"/>
              <w:rPr>
                <w:sz w:val="20"/>
                <w:szCs w:val="20"/>
                <w:color w:val="auto"/>
              </w:rPr>
            </w:pPr>
            <w:r>
              <w:rPr>
                <w:rFonts w:ascii="Arial" w:cs="Arial" w:eastAsia="Arial" w:hAnsi="Arial"/>
                <w:sz w:val="12"/>
                <w:szCs w:val="12"/>
                <w:color w:val="auto"/>
              </w:rPr>
              <w:t>Net income</w:t>
            </w:r>
          </w:p>
        </w:tc>
        <w:tc>
          <w:tcPr>
            <w:tcW w:w="36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vMerge w:val="continue"/>
          </w:tcPr>
          <w:p>
            <w:pPr>
              <w:spacing w:after="0"/>
              <w:rPr>
                <w:sz w:val="12"/>
                <w:szCs w:val="12"/>
                <w:color w:val="auto"/>
              </w:rPr>
            </w:pPr>
          </w:p>
        </w:tc>
        <w:tc>
          <w:tcPr>
            <w:tcW w:w="3680" w:type="dxa"/>
            <w:vAlign w:val="bottom"/>
          </w:tcPr>
          <w:p>
            <w:pPr>
              <w:spacing w:after="0"/>
              <w:rPr>
                <w:sz w:val="12"/>
                <w:szCs w:val="12"/>
                <w:color w:val="auto"/>
              </w:rPr>
            </w:pPr>
          </w:p>
        </w:tc>
        <w:tc>
          <w:tcPr>
            <w:tcW w:w="760" w:type="dxa"/>
            <w:vAlign w:val="bottom"/>
          </w:tcPr>
          <w:p>
            <w:pPr>
              <w:jc w:val="right"/>
              <w:ind w:right="645"/>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256</w:t>
            </w:r>
          </w:p>
        </w:tc>
        <w:tc>
          <w:tcPr>
            <w:tcW w:w="240" w:type="dxa"/>
            <w:vAlign w:val="bottom"/>
          </w:tcPr>
          <w:p>
            <w:pPr>
              <w:spacing w:after="0"/>
              <w:rPr>
                <w:sz w:val="12"/>
                <w:szCs w:val="12"/>
                <w:color w:val="auto"/>
              </w:rPr>
            </w:pPr>
          </w:p>
        </w:tc>
        <w:tc>
          <w:tcPr>
            <w:tcW w:w="740" w:type="dxa"/>
            <w:vAlign w:val="bottom"/>
          </w:tcPr>
          <w:p>
            <w:pPr>
              <w:jc w:val="right"/>
              <w:ind w:right="628"/>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117</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jc w:val="right"/>
              <w:ind w:right="3000"/>
              <w:spacing w:after="0"/>
              <w:rPr>
                <w:sz w:val="20"/>
                <w:szCs w:val="20"/>
                <w:color w:val="auto"/>
              </w:rPr>
            </w:pPr>
            <w:r>
              <w:rPr>
                <w:rFonts w:ascii="Arial" w:cs="Arial" w:eastAsia="Arial" w:hAnsi="Arial"/>
                <w:sz w:val="12"/>
                <w:szCs w:val="12"/>
                <w:color w:val="auto"/>
              </w:rPr>
              <w:t>46</w:t>
            </w:r>
          </w:p>
        </w:tc>
        <w:tc>
          <w:tcPr>
            <w:tcW w:w="76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203" w:right="199" w:bottom="144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8820" w:type="dxa"/>
            <w:vAlign w:val="bottom"/>
            <w:gridSpan w:val="2"/>
          </w:tcPr>
          <w:p>
            <w:pPr>
              <w:spacing w:after="0"/>
              <w:rPr>
                <w:rFonts w:ascii="Arial" w:cs="Arial" w:eastAsia="Arial" w:hAnsi="Arial"/>
                <w:sz w:val="12"/>
                <w:szCs w:val="12"/>
                <w:i w:val="1"/>
                <w:iCs w:val="1"/>
                <w:color w:val="0000EE"/>
              </w:rPr>
            </w:pPr>
            <w:hyperlink w:anchor="page2">
              <w:r>
                <w:rPr>
                  <w:rFonts w:ascii="Arial" w:cs="Arial" w:eastAsia="Arial" w:hAnsi="Arial"/>
                  <w:sz w:val="12"/>
                  <w:szCs w:val="12"/>
                  <w:i w:val="1"/>
                  <w:iCs w:val="1"/>
                  <w:color w:val="0000EE"/>
                </w:rPr>
                <w:t>Table of Contents</w:t>
              </w:r>
            </w:hyperlink>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820" w:type="dxa"/>
            <w:vAlign w:val="bottom"/>
            <w:gridSpan w:val="2"/>
          </w:tcPr>
          <w:p>
            <w:pPr>
              <w:ind w:left="400"/>
              <w:spacing w:after="0"/>
              <w:rPr>
                <w:sz w:val="20"/>
                <w:szCs w:val="20"/>
                <w:color w:val="auto"/>
              </w:rPr>
            </w:pPr>
            <w:r>
              <w:rPr>
                <w:rFonts w:ascii="Arial" w:cs="Arial" w:eastAsia="Arial" w:hAnsi="Arial"/>
                <w:sz w:val="12"/>
                <w:szCs w:val="12"/>
                <w:i w:val="1"/>
                <w:iCs w:val="1"/>
                <w:color w:val="auto"/>
              </w:rPr>
              <w:t>Net Premiums Earned</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820" w:type="dxa"/>
            <w:vAlign w:val="bottom"/>
            <w:gridSpan w:val="2"/>
          </w:tcPr>
          <w:p>
            <w:pPr>
              <w:ind w:left="400"/>
              <w:spacing w:after="0"/>
              <w:rPr>
                <w:sz w:val="20"/>
                <w:szCs w:val="20"/>
                <w:color w:val="auto"/>
              </w:rPr>
            </w:pPr>
            <w:r>
              <w:rPr>
                <w:rFonts w:ascii="Arial" w:cs="Arial" w:eastAsia="Arial" w:hAnsi="Arial"/>
                <w:sz w:val="12"/>
                <w:szCs w:val="12"/>
                <w:color w:val="auto"/>
                <w:w w:val="92"/>
              </w:rPr>
              <w:t>NI Holdings’ net premiums earned for the three months ended June 30, 2018 increased 11.1% to $50,677 compared to $45,653 for the three months ended June 30, 2017.</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980" w:type="dxa"/>
            <w:vAlign w:val="bottom"/>
          </w:tcPr>
          <w:p>
            <w:pPr>
              <w:spacing w:after="0"/>
              <w:rPr>
                <w:sz w:val="23"/>
                <w:szCs w:val="23"/>
                <w:color w:val="auto"/>
              </w:rPr>
            </w:pPr>
          </w:p>
        </w:tc>
        <w:tc>
          <w:tcPr>
            <w:tcW w:w="214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2"/>
                <w:szCs w:val="12"/>
                <w:b w:val="1"/>
                <w:bCs w:val="1"/>
                <w:color w:val="auto"/>
              </w:rPr>
              <w:t>Three Months Ended June 30,</w:t>
            </w:r>
          </w:p>
        </w:tc>
        <w:tc>
          <w:tcPr>
            <w:tcW w:w="3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79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b w:val="1"/>
                <w:bCs w:val="1"/>
                <w:color w:val="auto"/>
              </w:rPr>
              <w:t>2018</w:t>
            </w:r>
          </w:p>
        </w:tc>
        <w:tc>
          <w:tcPr>
            <w:tcW w:w="40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7"/>
              <w:spacing w:after="0"/>
              <w:rPr>
                <w:sz w:val="20"/>
                <w:szCs w:val="20"/>
                <w:color w:val="auto"/>
              </w:rPr>
            </w:pPr>
            <w:r>
              <w:rPr>
                <w:rFonts w:ascii="Arial" w:cs="Arial" w:eastAsia="Arial" w:hAnsi="Arial"/>
                <w:sz w:val="12"/>
                <w:szCs w:val="12"/>
                <w:b w:val="1"/>
                <w:bCs w:val="1"/>
                <w:color w:val="auto"/>
              </w:rPr>
              <w:t>2017</w:t>
            </w:r>
          </w:p>
        </w:tc>
        <w:tc>
          <w:tcPr>
            <w:tcW w:w="3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8840" w:type="dxa"/>
            <w:vAlign w:val="bottom"/>
            <w:gridSpan w:val="3"/>
            <w:shd w:val="clear" w:color="auto" w:fill="CCEEFF"/>
          </w:tcPr>
          <w:p>
            <w:pPr>
              <w:spacing w:after="0" w:line="133" w:lineRule="exact"/>
              <w:rPr>
                <w:sz w:val="20"/>
                <w:szCs w:val="20"/>
                <w:color w:val="auto"/>
              </w:rPr>
            </w:pPr>
            <w:r>
              <w:rPr>
                <w:rFonts w:ascii="Arial" w:cs="Arial" w:eastAsia="Arial" w:hAnsi="Arial"/>
                <w:sz w:val="12"/>
                <w:szCs w:val="12"/>
                <w:color w:val="auto"/>
              </w:rPr>
              <w:t>Net premiums earned:</w:t>
            </w:r>
          </w:p>
        </w:tc>
        <w:tc>
          <w:tcPr>
            <w:tcW w:w="7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ind w:left="100"/>
              <w:spacing w:after="0"/>
              <w:rPr>
                <w:sz w:val="20"/>
                <w:szCs w:val="20"/>
                <w:color w:val="auto"/>
              </w:rPr>
            </w:pPr>
            <w:r>
              <w:rPr>
                <w:rFonts w:ascii="Arial" w:cs="Arial" w:eastAsia="Arial" w:hAnsi="Arial"/>
                <w:sz w:val="12"/>
                <w:szCs w:val="12"/>
                <w:color w:val="auto"/>
              </w:rPr>
              <w:t>Private passenger auto</w:t>
            </w:r>
          </w:p>
        </w:tc>
        <w:tc>
          <w:tcPr>
            <w:tcW w:w="760" w:type="dxa"/>
            <w:vAlign w:val="bottom"/>
          </w:tcPr>
          <w:p>
            <w:pPr>
              <w:jc w:val="right"/>
              <w:ind w:right="645"/>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40"/>
              <w:spacing w:after="0"/>
              <w:rPr>
                <w:sz w:val="20"/>
                <w:szCs w:val="20"/>
                <w:color w:val="auto"/>
              </w:rPr>
            </w:pPr>
            <w:r>
              <w:rPr>
                <w:rFonts w:ascii="Arial" w:cs="Arial" w:eastAsia="Arial" w:hAnsi="Arial"/>
                <w:sz w:val="12"/>
                <w:szCs w:val="12"/>
                <w:color w:val="auto"/>
              </w:rPr>
              <w:t>15,310</w:t>
            </w:r>
          </w:p>
        </w:tc>
        <w:tc>
          <w:tcPr>
            <w:tcW w:w="740" w:type="dxa"/>
            <w:vAlign w:val="bottom"/>
          </w:tcPr>
          <w:p>
            <w:pPr>
              <w:jc w:val="right"/>
              <w:ind w:right="627"/>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w w:val="97"/>
              </w:rPr>
              <w:t>13,520</w:t>
            </w: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88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Non-standard auto</w:t>
            </w: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3,476</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2,590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ind w:left="100"/>
              <w:spacing w:after="0"/>
              <w:rPr>
                <w:sz w:val="20"/>
                <w:szCs w:val="20"/>
                <w:color w:val="auto"/>
              </w:rPr>
            </w:pPr>
            <w:r>
              <w:rPr>
                <w:rFonts w:ascii="Arial" w:cs="Arial" w:eastAsia="Arial" w:hAnsi="Arial"/>
                <w:sz w:val="12"/>
                <w:szCs w:val="12"/>
                <w:color w:val="auto"/>
              </w:rPr>
              <w:t>Home and farm</w:t>
            </w:r>
          </w:p>
        </w:tc>
        <w:tc>
          <w:tcPr>
            <w:tcW w:w="760" w:type="dxa"/>
            <w:vAlign w:val="bottom"/>
          </w:tcPr>
          <w:p>
            <w:pPr>
              <w:spacing w:after="0"/>
              <w:rPr>
                <w:sz w:val="12"/>
                <w:szCs w:val="1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2"/>
                <w:szCs w:val="12"/>
                <w:color w:val="auto"/>
              </w:rPr>
              <w:t>15,621</w:t>
            </w:r>
          </w:p>
        </w:tc>
        <w:tc>
          <w:tcPr>
            <w:tcW w:w="74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w w:val="97"/>
              </w:rPr>
              <w:t>14,071</w:t>
            </w: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882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Crop</w:t>
            </w:r>
          </w:p>
        </w:tc>
        <w:tc>
          <w:tcPr>
            <w:tcW w:w="7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13,441</w:t>
            </w:r>
          </w:p>
        </w:tc>
        <w:tc>
          <w:tcPr>
            <w:tcW w:w="7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7"/>
              </w:rPr>
              <w:t>12,814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20" w:type="dxa"/>
            <w:vAlign w:val="bottom"/>
            <w:gridSpan w:val="2"/>
          </w:tcPr>
          <w:p>
            <w:pPr>
              <w:ind w:left="100"/>
              <w:spacing w:after="0"/>
              <w:rPr>
                <w:sz w:val="20"/>
                <w:szCs w:val="20"/>
                <w:color w:val="auto"/>
              </w:rPr>
            </w:pPr>
            <w:r>
              <w:rPr>
                <w:rFonts w:ascii="Arial" w:cs="Arial" w:eastAsia="Arial" w:hAnsi="Arial"/>
                <w:sz w:val="12"/>
                <w:szCs w:val="12"/>
                <w:color w:val="auto"/>
              </w:rPr>
              <w:t>All other</w:t>
            </w:r>
          </w:p>
        </w:tc>
        <w:tc>
          <w:tcPr>
            <w:tcW w:w="7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2,829</w:t>
            </w: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2,658</w:t>
            </w:r>
          </w:p>
        </w:tc>
        <w:tc>
          <w:tcPr>
            <w:tcW w:w="0" w:type="dxa"/>
            <w:vAlign w:val="bottom"/>
          </w:tcPr>
          <w:p>
            <w:pPr>
              <w:spacing w:after="0"/>
              <w:rPr>
                <w:sz w:val="1"/>
                <w:szCs w:val="1"/>
                <w:color w:val="auto"/>
              </w:rPr>
            </w:pPr>
          </w:p>
        </w:tc>
      </w:tr>
      <w:tr>
        <w:trPr>
          <w:trHeight w:val="20"/>
        </w:trPr>
        <w:tc>
          <w:tcPr>
            <w:tcW w:w="20" w:type="dxa"/>
            <w:vAlign w:val="bottom"/>
            <w:vMerge w:val="restart"/>
            <w:shd w:val="clear" w:color="auto" w:fill="CCEEFF"/>
          </w:tcPr>
          <w:p>
            <w:pPr>
              <w:spacing w:after="0" w:line="20" w:lineRule="exact"/>
              <w:rPr>
                <w:sz w:val="1"/>
                <w:szCs w:val="1"/>
                <w:color w:val="auto"/>
              </w:rPr>
            </w:pPr>
          </w:p>
        </w:tc>
        <w:tc>
          <w:tcPr>
            <w:tcW w:w="8820" w:type="dxa"/>
            <w:vAlign w:val="bottom"/>
            <w:gridSpan w:val="2"/>
            <w:vMerge w:val="restart"/>
            <w:shd w:val="clear" w:color="auto" w:fill="CCEEFF"/>
          </w:tcPr>
          <w:p>
            <w:pPr>
              <w:ind w:left="240"/>
              <w:spacing w:after="0"/>
              <w:rPr>
                <w:sz w:val="20"/>
                <w:szCs w:val="20"/>
                <w:color w:val="auto"/>
              </w:rPr>
            </w:pPr>
            <w:r>
              <w:rPr>
                <w:rFonts w:ascii="Arial" w:cs="Arial" w:eastAsia="Arial" w:hAnsi="Arial"/>
                <w:sz w:val="12"/>
                <w:szCs w:val="12"/>
                <w:color w:val="auto"/>
              </w:rPr>
              <w:t>Total net premiums earned</w:t>
            </w:r>
          </w:p>
        </w:tc>
        <w:tc>
          <w:tcPr>
            <w:tcW w:w="7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shd w:val="clear" w:color="auto" w:fill="CCEEFF"/>
          </w:tcPr>
          <w:p>
            <w:pPr>
              <w:spacing w:after="0"/>
              <w:rPr>
                <w:sz w:val="12"/>
                <w:szCs w:val="12"/>
                <w:color w:val="auto"/>
              </w:rPr>
            </w:pPr>
          </w:p>
        </w:tc>
        <w:tc>
          <w:tcPr>
            <w:tcW w:w="8820" w:type="dxa"/>
            <w:vAlign w:val="bottom"/>
            <w:gridSpan w:val="2"/>
            <w:vMerge w:val="continue"/>
            <w:shd w:val="clear" w:color="auto" w:fill="CCEEFF"/>
          </w:tcPr>
          <w:p>
            <w:pPr>
              <w:spacing w:after="0"/>
              <w:rPr>
                <w:sz w:val="12"/>
                <w:szCs w:val="12"/>
                <w:color w:val="auto"/>
              </w:rPr>
            </w:pPr>
          </w:p>
        </w:tc>
        <w:tc>
          <w:tcPr>
            <w:tcW w:w="760" w:type="dxa"/>
            <w:vAlign w:val="bottom"/>
            <w:shd w:val="clear" w:color="auto" w:fill="CCEEFF"/>
          </w:tcPr>
          <w:p>
            <w:pPr>
              <w:jc w:val="right"/>
              <w:ind w:right="645"/>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50,677</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27"/>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7"/>
              </w:rPr>
              <w:t>45,653</w:t>
            </w: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798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280" w:firstLine="432"/>
        <w:spacing w:after="0" w:line="276" w:lineRule="auto"/>
        <w:rPr>
          <w:sz w:val="20"/>
          <w:szCs w:val="20"/>
          <w:color w:val="auto"/>
        </w:rPr>
      </w:pPr>
      <w:r>
        <w:rPr>
          <w:rFonts w:ascii="Arial" w:cs="Arial" w:eastAsia="Arial" w:hAnsi="Arial"/>
          <w:sz w:val="12"/>
          <w:szCs w:val="12"/>
          <w:color w:val="auto"/>
        </w:rPr>
        <w:t>Our personal lines of business (private passenger auto, home and farm) continued to grow outside of North Dakota. Our non-standard auto business also grew year-over-year due to rate increases in Nevada. Our crop business began recognizing premiums in second quarter as the planting season started.</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Losses and LAE</w:t>
      </w:r>
    </w:p>
    <w:p>
      <w:pPr>
        <w:spacing w:after="0" w:line="123" w:lineRule="exact"/>
        <w:rPr>
          <w:sz w:val="20"/>
          <w:szCs w:val="20"/>
          <w:color w:val="auto"/>
        </w:rPr>
      </w:pPr>
    </w:p>
    <w:p>
      <w:pPr>
        <w:ind w:right="140" w:firstLine="432"/>
        <w:spacing w:after="0" w:line="276" w:lineRule="auto"/>
        <w:rPr>
          <w:sz w:val="20"/>
          <w:szCs w:val="20"/>
          <w:color w:val="auto"/>
        </w:rPr>
      </w:pPr>
      <w:r>
        <w:rPr>
          <w:rFonts w:ascii="Arial" w:cs="Arial" w:eastAsia="Arial" w:hAnsi="Arial"/>
          <w:sz w:val="12"/>
          <w:szCs w:val="12"/>
          <w:color w:val="auto"/>
        </w:rPr>
        <w:t>NI Holdings’ net losses and LAE for the three months ended June 30, 2018 increased 12.4% to $40,721 compared to $36,230 for the three months ended June 30, 2017. The Company’s loss and LAE ratio increased to 80.4% for 2018, compared to 79.4% for 2017.</w:t>
      </w:r>
    </w:p>
    <w:p>
      <w:pPr>
        <w:spacing w:after="0" w:line="93" w:lineRule="exact"/>
        <w:rPr>
          <w:sz w:val="20"/>
          <w:szCs w:val="20"/>
          <w:color w:val="auto"/>
        </w:rPr>
      </w:pPr>
    </w:p>
    <w:p>
      <w:pPr>
        <w:ind w:left="9340"/>
        <w:spacing w:after="0"/>
        <w:rPr>
          <w:sz w:val="20"/>
          <w:szCs w:val="20"/>
          <w:color w:val="auto"/>
        </w:rPr>
      </w:pPr>
      <w:r>
        <w:rPr>
          <w:rFonts w:ascii="Arial" w:cs="Arial" w:eastAsia="Arial" w:hAnsi="Arial"/>
          <w:sz w:val="12"/>
          <w:szCs w:val="12"/>
          <w:b w:val="1"/>
          <w:bCs w:val="1"/>
          <w:color w:val="auto"/>
        </w:rPr>
        <w:t>Three Months Ended June 30,</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84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2018</w:t>
            </w:r>
          </w:p>
        </w:tc>
        <w:tc>
          <w:tcPr>
            <w:tcW w:w="4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88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Loss and LAE ratio:</w:t>
            </w:r>
          </w:p>
        </w:tc>
        <w:tc>
          <w:tcPr>
            <w:tcW w:w="7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580" w:type="dxa"/>
            <w:vAlign w:val="bottom"/>
            <w:gridSpan w:val="2"/>
          </w:tcPr>
          <w:p>
            <w:pPr>
              <w:ind w:left="120"/>
              <w:spacing w:after="0"/>
              <w:rPr>
                <w:sz w:val="20"/>
                <w:szCs w:val="20"/>
                <w:color w:val="auto"/>
              </w:rPr>
            </w:pPr>
            <w:r>
              <w:rPr>
                <w:rFonts w:ascii="Arial" w:cs="Arial" w:eastAsia="Arial" w:hAnsi="Arial"/>
                <w:sz w:val="12"/>
                <w:szCs w:val="12"/>
                <w:color w:val="auto"/>
              </w:rPr>
              <w:t>Private passenger auto</w:t>
            </w:r>
          </w:p>
        </w:tc>
        <w:tc>
          <w:tcPr>
            <w:tcW w:w="420" w:type="dxa"/>
            <w:vAlign w:val="bottom"/>
          </w:tcPr>
          <w:p>
            <w:pPr>
              <w:jc w:val="right"/>
              <w:spacing w:after="0"/>
              <w:rPr>
                <w:sz w:val="20"/>
                <w:szCs w:val="20"/>
                <w:color w:val="auto"/>
              </w:rPr>
            </w:pPr>
            <w:r>
              <w:rPr>
                <w:rFonts w:ascii="Arial" w:cs="Arial" w:eastAsia="Arial" w:hAnsi="Arial"/>
                <w:sz w:val="12"/>
                <w:szCs w:val="12"/>
                <w:color w:val="auto"/>
              </w:rPr>
              <w:t>73.0%</w:t>
            </w:r>
          </w:p>
        </w:tc>
        <w:tc>
          <w:tcPr>
            <w:tcW w:w="24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57.2%</w:t>
            </w:r>
          </w:p>
        </w:tc>
        <w:tc>
          <w:tcPr>
            <w:tcW w:w="0" w:type="dxa"/>
            <w:vAlign w:val="bottom"/>
          </w:tcPr>
          <w:p>
            <w:pPr>
              <w:spacing w:after="0"/>
              <w:rPr>
                <w:sz w:val="1"/>
                <w:szCs w:val="1"/>
                <w:color w:val="auto"/>
              </w:rPr>
            </w:pPr>
          </w:p>
        </w:tc>
      </w:tr>
      <w:tr>
        <w:trPr>
          <w:trHeight w:val="144"/>
        </w:trPr>
        <w:tc>
          <w:tcPr>
            <w:tcW w:w="95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Non-standard auto</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85.5%</w:t>
            </w: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90.6%</w:t>
            </w:r>
          </w:p>
        </w:tc>
        <w:tc>
          <w:tcPr>
            <w:tcW w:w="0" w:type="dxa"/>
            <w:vAlign w:val="bottom"/>
          </w:tcPr>
          <w:p>
            <w:pPr>
              <w:spacing w:after="0"/>
              <w:rPr>
                <w:sz w:val="1"/>
                <w:szCs w:val="1"/>
                <w:color w:val="auto"/>
              </w:rPr>
            </w:pPr>
          </w:p>
        </w:tc>
      </w:tr>
      <w:tr>
        <w:trPr>
          <w:trHeight w:val="144"/>
        </w:trPr>
        <w:tc>
          <w:tcPr>
            <w:tcW w:w="9580" w:type="dxa"/>
            <w:vAlign w:val="bottom"/>
            <w:gridSpan w:val="2"/>
          </w:tcPr>
          <w:p>
            <w:pPr>
              <w:ind w:left="120"/>
              <w:spacing w:after="0"/>
              <w:rPr>
                <w:sz w:val="20"/>
                <w:szCs w:val="20"/>
                <w:color w:val="auto"/>
              </w:rPr>
            </w:pPr>
            <w:r>
              <w:rPr>
                <w:rFonts w:ascii="Arial" w:cs="Arial" w:eastAsia="Arial" w:hAnsi="Arial"/>
                <w:sz w:val="12"/>
                <w:szCs w:val="12"/>
                <w:color w:val="auto"/>
              </w:rPr>
              <w:t>Home and farm</w:t>
            </w: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w w:val="98"/>
              </w:rPr>
              <w:t>105.8%</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103.6%</w:t>
            </w:r>
          </w:p>
        </w:tc>
        <w:tc>
          <w:tcPr>
            <w:tcW w:w="0" w:type="dxa"/>
            <w:vAlign w:val="bottom"/>
          </w:tcPr>
          <w:p>
            <w:pPr>
              <w:spacing w:after="0"/>
              <w:rPr>
                <w:sz w:val="1"/>
                <w:szCs w:val="1"/>
                <w:color w:val="auto"/>
              </w:rPr>
            </w:pPr>
          </w:p>
        </w:tc>
      </w:tr>
      <w:tr>
        <w:trPr>
          <w:trHeight w:val="144"/>
        </w:trPr>
        <w:tc>
          <w:tcPr>
            <w:tcW w:w="95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Crop</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67.0%</w:t>
            </w: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85.2%</w:t>
            </w:r>
          </w:p>
        </w:tc>
        <w:tc>
          <w:tcPr>
            <w:tcW w:w="0" w:type="dxa"/>
            <w:vAlign w:val="bottom"/>
          </w:tcPr>
          <w:p>
            <w:pPr>
              <w:spacing w:after="0"/>
              <w:rPr>
                <w:sz w:val="1"/>
                <w:szCs w:val="1"/>
                <w:color w:val="auto"/>
              </w:rPr>
            </w:pPr>
          </w:p>
        </w:tc>
      </w:tr>
      <w:tr>
        <w:trPr>
          <w:trHeight w:val="153"/>
        </w:trPr>
        <w:tc>
          <w:tcPr>
            <w:tcW w:w="8840" w:type="dxa"/>
            <w:vAlign w:val="bottom"/>
          </w:tcPr>
          <w:p>
            <w:pPr>
              <w:ind w:left="120"/>
              <w:spacing w:after="0"/>
              <w:rPr>
                <w:sz w:val="20"/>
                <w:szCs w:val="20"/>
                <w:color w:val="auto"/>
              </w:rPr>
            </w:pPr>
            <w:r>
              <w:rPr>
                <w:rFonts w:ascii="Arial" w:cs="Arial" w:eastAsia="Arial" w:hAnsi="Arial"/>
                <w:sz w:val="12"/>
                <w:szCs w:val="12"/>
                <w:color w:val="auto"/>
              </w:rPr>
              <w:t>All other</w:t>
            </w:r>
          </w:p>
        </w:tc>
        <w:tc>
          <w:tcPr>
            <w:tcW w:w="7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36.7%</w:t>
            </w:r>
          </w:p>
        </w:tc>
        <w:tc>
          <w:tcPr>
            <w:tcW w:w="24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25.0%</w:t>
            </w:r>
          </w:p>
        </w:tc>
        <w:tc>
          <w:tcPr>
            <w:tcW w:w="0" w:type="dxa"/>
            <w:vAlign w:val="bottom"/>
          </w:tcPr>
          <w:p>
            <w:pPr>
              <w:spacing w:after="0"/>
              <w:rPr>
                <w:sz w:val="1"/>
                <w:szCs w:val="1"/>
                <w:color w:val="auto"/>
              </w:rPr>
            </w:pPr>
          </w:p>
        </w:tc>
      </w:tr>
      <w:tr>
        <w:trPr>
          <w:trHeight w:val="20"/>
        </w:trPr>
        <w:tc>
          <w:tcPr>
            <w:tcW w:w="8840" w:type="dxa"/>
            <w:vAlign w:val="bottom"/>
            <w:vMerge w:val="restart"/>
            <w:shd w:val="clear" w:color="auto" w:fill="CCEEFF"/>
          </w:tcPr>
          <w:p>
            <w:pPr>
              <w:ind w:left="260"/>
              <w:spacing w:after="0"/>
              <w:rPr>
                <w:sz w:val="20"/>
                <w:szCs w:val="20"/>
                <w:color w:val="auto"/>
              </w:rPr>
            </w:pPr>
            <w:r>
              <w:rPr>
                <w:rFonts w:ascii="Arial" w:cs="Arial" w:eastAsia="Arial" w:hAnsi="Arial"/>
                <w:sz w:val="12"/>
                <w:szCs w:val="12"/>
                <w:color w:val="auto"/>
              </w:rPr>
              <w:t>Total loss and LAE ratio</w:t>
            </w: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vMerge w:val="continue"/>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80.4%</w:t>
            </w: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79.4%</w:t>
            </w:r>
          </w:p>
        </w:tc>
        <w:tc>
          <w:tcPr>
            <w:tcW w:w="0" w:type="dxa"/>
            <w:vAlign w:val="bottom"/>
          </w:tcPr>
          <w:p>
            <w:pPr>
              <w:spacing w:after="0"/>
              <w:rPr>
                <w:sz w:val="1"/>
                <w:szCs w:val="1"/>
                <w:color w:val="auto"/>
              </w:rPr>
            </w:pPr>
          </w:p>
        </w:tc>
      </w:tr>
      <w:tr>
        <w:trPr>
          <w:trHeight w:val="27"/>
        </w:trPr>
        <w:tc>
          <w:tcPr>
            <w:tcW w:w="884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320" w:firstLine="432"/>
        <w:spacing w:after="0" w:line="259" w:lineRule="auto"/>
        <w:rPr>
          <w:sz w:val="20"/>
          <w:szCs w:val="20"/>
          <w:color w:val="auto"/>
        </w:rPr>
      </w:pPr>
      <w:r>
        <w:rPr>
          <w:rFonts w:ascii="Arial" w:cs="Arial" w:eastAsia="Arial" w:hAnsi="Arial"/>
          <w:sz w:val="12"/>
          <w:szCs w:val="12"/>
          <w:color w:val="auto"/>
        </w:rPr>
        <w:t>The Company’s overall loss and LAE experience deteriorated slightly year-over-year. While non-standard auto business improved as a result of strategic pricing and underwriting actions, private passenger auto experience increased from a year ago due to a normal frequency of claims compared to a favorable volume last year. Home and farm experience was slightly higher in 2018 due to additional losses established for late June storms in 2018. Crop insurance experience for second quarter is near targeted levels compared to the early season drought conditions in western North Dakota that we experienced in 2017. The commercial and assumed reinsurance portions of the all other segment experience ran at targeted levels in second quarter 2018 after a favorable second quarter 2017.</w:t>
      </w:r>
    </w:p>
    <w:p>
      <w:pPr>
        <w:spacing w:after="0" w:line="107" w:lineRule="exact"/>
        <w:rPr>
          <w:sz w:val="20"/>
          <w:szCs w:val="20"/>
          <w:color w:val="auto"/>
        </w:rPr>
      </w:pPr>
    </w:p>
    <w:p>
      <w:pPr>
        <w:ind w:right="120" w:firstLine="432"/>
        <w:spacing w:after="0" w:line="263" w:lineRule="auto"/>
        <w:rPr>
          <w:sz w:val="20"/>
          <w:szCs w:val="20"/>
          <w:color w:val="auto"/>
        </w:rPr>
      </w:pPr>
      <w:r>
        <w:rPr>
          <w:rFonts w:ascii="Arial" w:cs="Arial" w:eastAsia="Arial" w:hAnsi="Arial"/>
          <w:sz w:val="12"/>
          <w:szCs w:val="12"/>
          <w:color w:val="auto"/>
        </w:rPr>
        <w:t>NI Holdings realized favorable development on prior accident years of $658 in the second quarter of 2018, compared to $2,167 of favorable development on prior accident years realized in the second quarter of 2017. Net favorable development is primarily the result of prior years’ claims settling for less than originally estimated. Adjustments to our original estimates resulting from claims are not made until the period in which there is reasonable evidence that an adjustment to the reserve is appropriate.</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Amortization of Deferred Policy Acquisition Costs and Other Underwriting and General Expenses</w:t>
      </w:r>
    </w:p>
    <w:p>
      <w:pPr>
        <w:spacing w:after="0" w:line="123"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Total underwriting and general expenses, including amortization of deferred policy acquisition costs, increased slightly to $11,802 in second quarter 2018 compared to $11,425 in 2017. Underlying expenses were $857 lower in the three months ended June 30, 2018 compared to a year ago across various expense categories. Expense deferrals were $1,083 higher in second quarter 2018 compared to second quarter 2017 due to the increase in direct premiums written in 2018, whereas amortization of those costs was $2,317 higher in 2018 due to updated assumptions in our methodology for deferred policy acquisition costs. The expense ratio of 23.3% for the three months ended June 30, 2018 was 1.7% lower than the expense ratio in the second quarter of 2017 due to the increase in net premiums earned.</w:t>
      </w:r>
    </w:p>
    <w:p>
      <w:pPr>
        <w:spacing w:after="0" w:line="125"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2340" cy="17145"/>
                    </a:xfrm>
                    <a:prstGeom prst="rect">
                      <a:avLst/>
                    </a:prstGeom>
                    <a:noFill/>
                  </pic:spPr>
                </pic:pic>
              </a:graphicData>
            </a:graphic>
          </wp:anchor>
        </w:drawing>
      </w:r>
    </w:p>
    <w:p>
      <w:pPr>
        <w:sectPr>
          <w:pgSz w:w="11900" w:h="16838" w:orient="portrait"/>
          <w:cols w:equalWidth="0" w:num="1">
            <w:col w:w="11480"/>
          </w:cols>
          <w:pgMar w:left="220" w:top="191" w:right="199" w:bottom="1440" w:gutter="0" w:footer="0" w:header="0"/>
        </w:sectPr>
      </w:pPr>
    </w:p>
    <w:bookmarkStart w:id="49" w:name="page50"/>
    <w:bookmarkEnd w:id="49"/>
    <w:p>
      <w:pPr>
        <w:ind w:left="2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294"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Underwriting Gain (Loss)</w:t>
      </w:r>
    </w:p>
    <w:p>
      <w:pPr>
        <w:spacing w:after="0" w:line="123" w:lineRule="exact"/>
        <w:rPr>
          <w:sz w:val="20"/>
          <w:szCs w:val="20"/>
          <w:color w:val="auto"/>
        </w:rPr>
      </w:pPr>
    </w:p>
    <w:p>
      <w:pPr>
        <w:ind w:right="340" w:firstLine="432"/>
        <w:spacing w:after="0" w:line="276" w:lineRule="auto"/>
        <w:rPr>
          <w:sz w:val="20"/>
          <w:szCs w:val="20"/>
          <w:color w:val="auto"/>
        </w:rPr>
      </w:pPr>
      <w:r>
        <w:rPr>
          <w:rFonts w:ascii="Arial" w:cs="Arial" w:eastAsia="Arial" w:hAnsi="Arial"/>
          <w:sz w:val="12"/>
          <w:szCs w:val="12"/>
          <w:color w:val="auto"/>
        </w:rPr>
        <w:t>Underwriting gain (loss) measures the pretax profitability of a company’s insurance business. It is derived by subtracting losses and LAE, amortization of deferred policy acquisition costs, and other underwriting and general expenses from net premiums earned.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840" w:type="dxa"/>
            <w:vAlign w:val="bottom"/>
          </w:tcPr>
          <w:p>
            <w:pPr>
              <w:spacing w:after="0"/>
              <w:rPr>
                <w:sz w:val="13"/>
                <w:szCs w:val="13"/>
                <w:color w:val="auto"/>
              </w:rPr>
            </w:pPr>
          </w:p>
        </w:tc>
        <w:tc>
          <w:tcPr>
            <w:tcW w:w="214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2"/>
                <w:szCs w:val="12"/>
                <w:b w:val="1"/>
                <w:bCs w:val="1"/>
                <w:color w:val="auto"/>
              </w:rPr>
              <w:t>Three Months Ended June 30,</w:t>
            </w:r>
          </w:p>
        </w:tc>
        <w:tc>
          <w:tcPr>
            <w:tcW w:w="3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88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ind w:right="25"/>
              <w:spacing w:after="0"/>
              <w:rPr>
                <w:sz w:val="20"/>
                <w:szCs w:val="20"/>
                <w:color w:val="auto"/>
              </w:rPr>
            </w:pPr>
            <w:r>
              <w:rPr>
                <w:rFonts w:ascii="Arial" w:cs="Arial" w:eastAsia="Arial" w:hAnsi="Arial"/>
                <w:sz w:val="12"/>
                <w:szCs w:val="12"/>
                <w:b w:val="1"/>
                <w:bCs w:val="1"/>
                <w:color w:val="auto"/>
              </w:rPr>
              <w:t>2018</w:t>
            </w:r>
          </w:p>
        </w:tc>
        <w:tc>
          <w:tcPr>
            <w:tcW w:w="38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7"/>
              <w:spacing w:after="0"/>
              <w:rPr>
                <w:sz w:val="20"/>
                <w:szCs w:val="20"/>
                <w:color w:val="auto"/>
              </w:rPr>
            </w:pPr>
            <w:r>
              <w:rPr>
                <w:rFonts w:ascii="Arial" w:cs="Arial" w:eastAsia="Arial" w:hAnsi="Arial"/>
                <w:sz w:val="12"/>
                <w:szCs w:val="12"/>
                <w:b w:val="1"/>
                <w:bCs w:val="1"/>
                <w:color w:val="auto"/>
              </w:rPr>
              <w:t>2017</w:t>
            </w:r>
          </w:p>
        </w:tc>
        <w:tc>
          <w:tcPr>
            <w:tcW w:w="3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r>
      <w:tr>
        <w:trPr>
          <w:trHeight w:val="133"/>
        </w:trPr>
        <w:tc>
          <w:tcPr>
            <w:tcW w:w="88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Underwriting gain (loss):</w:t>
            </w:r>
          </w:p>
        </w:tc>
        <w:tc>
          <w:tcPr>
            <w:tcW w:w="7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4"/>
        </w:trPr>
        <w:tc>
          <w:tcPr>
            <w:tcW w:w="8840" w:type="dxa"/>
            <w:vAlign w:val="bottom"/>
          </w:tcPr>
          <w:p>
            <w:pPr>
              <w:ind w:left="120"/>
              <w:spacing w:after="0"/>
              <w:rPr>
                <w:sz w:val="20"/>
                <w:szCs w:val="20"/>
                <w:color w:val="auto"/>
              </w:rPr>
            </w:pPr>
            <w:r>
              <w:rPr>
                <w:rFonts w:ascii="Arial" w:cs="Arial" w:eastAsia="Arial" w:hAnsi="Arial"/>
                <w:sz w:val="12"/>
                <w:szCs w:val="12"/>
                <w:color w:val="auto"/>
              </w:rPr>
              <w:t>Private passenger auto</w:t>
            </w:r>
          </w:p>
        </w:tc>
        <w:tc>
          <w:tcPr>
            <w:tcW w:w="780" w:type="dxa"/>
            <w:vAlign w:val="bottom"/>
          </w:tcPr>
          <w:p>
            <w:pPr>
              <w:jc w:val="right"/>
              <w:ind w:right="665"/>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(568)</w:t>
            </w:r>
          </w:p>
        </w:tc>
        <w:tc>
          <w:tcPr>
            <w:tcW w:w="740" w:type="dxa"/>
            <w:vAlign w:val="bottom"/>
          </w:tcPr>
          <w:p>
            <w:pPr>
              <w:jc w:val="right"/>
              <w:ind w:right="627"/>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(134)</w:t>
            </w:r>
          </w:p>
        </w:tc>
      </w:tr>
      <w:tr>
        <w:trPr>
          <w:trHeight w:val="144"/>
        </w:trPr>
        <w:tc>
          <w:tcPr>
            <w:tcW w:w="88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Non-standard auto</w:t>
            </w:r>
          </w:p>
        </w:tc>
        <w:tc>
          <w:tcPr>
            <w:tcW w:w="7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(387)</w:t>
            </w:r>
          </w:p>
        </w:tc>
        <w:tc>
          <w:tcPr>
            <w:tcW w:w="7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(564)</w:t>
            </w:r>
          </w:p>
        </w:tc>
      </w:tr>
      <w:tr>
        <w:trPr>
          <w:trHeight w:val="144"/>
        </w:trPr>
        <w:tc>
          <w:tcPr>
            <w:tcW w:w="8840" w:type="dxa"/>
            <w:vAlign w:val="bottom"/>
          </w:tcPr>
          <w:p>
            <w:pPr>
              <w:ind w:left="120"/>
              <w:spacing w:after="0"/>
              <w:rPr>
                <w:sz w:val="20"/>
                <w:szCs w:val="20"/>
                <w:color w:val="auto"/>
              </w:rPr>
            </w:pPr>
            <w:r>
              <w:rPr>
                <w:rFonts w:ascii="Arial" w:cs="Arial" w:eastAsia="Arial" w:hAnsi="Arial"/>
                <w:sz w:val="12"/>
                <w:szCs w:val="12"/>
                <w:color w:val="auto"/>
              </w:rPr>
              <w:t>Home and farm</w:t>
            </w:r>
          </w:p>
        </w:tc>
        <w:tc>
          <w:tcPr>
            <w:tcW w:w="78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(6,044)</w:t>
            </w:r>
          </w:p>
        </w:tc>
        <w:tc>
          <w:tcPr>
            <w:tcW w:w="74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(6,764)</w:t>
            </w:r>
          </w:p>
        </w:tc>
      </w:tr>
      <w:tr>
        <w:trPr>
          <w:trHeight w:val="144"/>
        </w:trPr>
        <w:tc>
          <w:tcPr>
            <w:tcW w:w="88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Crop</w:t>
            </w:r>
          </w:p>
        </w:tc>
        <w:tc>
          <w:tcPr>
            <w:tcW w:w="7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4,271</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4,144</w:t>
            </w:r>
          </w:p>
        </w:tc>
      </w:tr>
      <w:tr>
        <w:trPr>
          <w:trHeight w:val="153"/>
        </w:trPr>
        <w:tc>
          <w:tcPr>
            <w:tcW w:w="8840" w:type="dxa"/>
            <w:vAlign w:val="bottom"/>
          </w:tcPr>
          <w:p>
            <w:pPr>
              <w:ind w:left="120"/>
              <w:spacing w:after="0"/>
              <w:rPr>
                <w:sz w:val="20"/>
                <w:szCs w:val="20"/>
                <w:color w:val="auto"/>
              </w:rPr>
            </w:pPr>
            <w:r>
              <w:rPr>
                <w:rFonts w:ascii="Arial" w:cs="Arial" w:eastAsia="Arial" w:hAnsi="Arial"/>
                <w:sz w:val="12"/>
                <w:szCs w:val="12"/>
                <w:color w:val="auto"/>
              </w:rPr>
              <w:t>All other</w:t>
            </w:r>
          </w:p>
        </w:tc>
        <w:tc>
          <w:tcPr>
            <w:tcW w:w="7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882</w:t>
            </w: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1,316</w:t>
            </w:r>
          </w:p>
        </w:tc>
      </w:tr>
      <w:tr>
        <w:trPr>
          <w:trHeight w:val="149"/>
        </w:trPr>
        <w:tc>
          <w:tcPr>
            <w:tcW w:w="8840" w:type="dxa"/>
            <w:vAlign w:val="bottom"/>
            <w:tcBorders>
              <w:top w:val="single" w:sz="8" w:color="CCEEFF"/>
              <w:bottom w:val="single" w:sz="8" w:color="CCEEFF"/>
            </w:tcBorders>
            <w:shd w:val="clear" w:color="auto" w:fill="CCEEFF"/>
          </w:tcPr>
          <w:p>
            <w:pPr>
              <w:ind w:left="260"/>
              <w:spacing w:after="0" w:line="133" w:lineRule="exact"/>
              <w:rPr>
                <w:sz w:val="20"/>
                <w:szCs w:val="20"/>
                <w:color w:val="auto"/>
              </w:rPr>
            </w:pPr>
            <w:r>
              <w:rPr>
                <w:rFonts w:ascii="Arial" w:cs="Arial" w:eastAsia="Arial" w:hAnsi="Arial"/>
                <w:sz w:val="12"/>
                <w:szCs w:val="12"/>
                <w:color w:val="auto"/>
              </w:rPr>
              <w:t>Total underwriting gain (loss)</w:t>
            </w:r>
          </w:p>
        </w:tc>
        <w:tc>
          <w:tcPr>
            <w:tcW w:w="780" w:type="dxa"/>
            <w:vAlign w:val="bottom"/>
            <w:tcBorders>
              <w:top w:val="single" w:sz="8" w:color="auto"/>
              <w:bottom w:val="single" w:sz="8" w:color="auto"/>
            </w:tcBorders>
            <w:shd w:val="clear" w:color="auto" w:fill="CCEEFF"/>
          </w:tcPr>
          <w:p>
            <w:pPr>
              <w:jc w:val="right"/>
              <w:ind w:right="665"/>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(1,846</w:t>
            </w:r>
          </w:p>
        </w:tc>
        <w:tc>
          <w:tcPr>
            <w:tcW w:w="24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8"/>
                <w:szCs w:val="8"/>
                <w:color w:val="auto"/>
                <w:w w:val="73"/>
              </w:rPr>
              <w:t>)</w:t>
            </w:r>
          </w:p>
        </w:tc>
        <w:tc>
          <w:tcPr>
            <w:tcW w:w="740" w:type="dxa"/>
            <w:vAlign w:val="bottom"/>
            <w:tcBorders>
              <w:top w:val="single" w:sz="8" w:color="auto"/>
              <w:bottom w:val="single" w:sz="8" w:color="auto"/>
            </w:tcBorders>
            <w:shd w:val="clear" w:color="auto" w:fill="CCEEFF"/>
          </w:tcPr>
          <w:p>
            <w:pPr>
              <w:jc w:val="right"/>
              <w:ind w:right="627"/>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(2,002</w:t>
            </w:r>
          </w:p>
        </w:tc>
        <w:tc>
          <w:tcPr>
            <w:tcW w:w="12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8"/>
                <w:szCs w:val="8"/>
                <w:color w:val="auto"/>
                <w:w w:val="73"/>
              </w:rPr>
              <w:t>)</w:t>
            </w:r>
          </w:p>
        </w:tc>
      </w:tr>
    </w:tbl>
    <w:p>
      <w:pPr>
        <w:spacing w:after="0" w:line="279" w:lineRule="exact"/>
        <w:rPr>
          <w:sz w:val="20"/>
          <w:szCs w:val="20"/>
          <w:color w:val="auto"/>
        </w:rPr>
      </w:pPr>
    </w:p>
    <w:p>
      <w:pPr>
        <w:ind w:right="60" w:firstLine="432"/>
        <w:spacing w:after="0" w:line="259" w:lineRule="auto"/>
        <w:rPr>
          <w:sz w:val="20"/>
          <w:szCs w:val="20"/>
          <w:color w:val="auto"/>
        </w:rPr>
      </w:pPr>
      <w:r>
        <w:rPr>
          <w:rFonts w:ascii="Arial" w:cs="Arial" w:eastAsia="Arial" w:hAnsi="Arial"/>
          <w:sz w:val="12"/>
          <w:szCs w:val="12"/>
          <w:color w:val="auto"/>
        </w:rPr>
        <w:t>The underwriting results of the Company for second quarter improved year-over-year. Private passenger auto had higher loss experience in the second quarter 2018 compared to 2017, while non-standard auto results benefitted from strategic pricing actions taken over the last year. The underwriting loss on home and farm business decreased due to improvement in expenses, partially offset by higher loss experience. Our crop insurance business was slightly better net of reinsurance impacts without the severe drought conditions that impacted 2017. Loss experience on our all other segment increased in 2018 after a favorable second quarter 2017, resulting in a lower comparable underwriting gain in second quarter 2018.</w:t>
      </w:r>
    </w:p>
    <w:p>
      <w:pPr>
        <w:spacing w:after="0" w:line="98" w:lineRule="exact"/>
        <w:rPr>
          <w:sz w:val="20"/>
          <w:szCs w:val="20"/>
          <w:color w:val="auto"/>
        </w:rPr>
      </w:pPr>
    </w:p>
    <w:p>
      <w:pPr>
        <w:ind w:left="420"/>
        <w:spacing w:after="0"/>
        <w:rPr>
          <w:sz w:val="20"/>
          <w:szCs w:val="20"/>
          <w:color w:val="auto"/>
        </w:rPr>
      </w:pPr>
      <w:r>
        <w:rPr>
          <w:rFonts w:ascii="Arial" w:cs="Arial" w:eastAsia="Arial" w:hAnsi="Arial"/>
          <w:sz w:val="10"/>
          <w:szCs w:val="10"/>
          <w:color w:val="auto"/>
        </w:rPr>
        <w:t>Rate increases and other underwriting actions on our non-standard auto business reduced the underwriting loss modestly from a year ago. Fee income attributable to this segment is a key component in measuring its profitability.</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Fee income on this business was $330 and $262 for the three months ended June 30, 2018 and 2017, respectively.</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Fee and Other Income</w:t>
      </w:r>
    </w:p>
    <w:p>
      <w:pPr>
        <w:spacing w:after="0" w:line="132" w:lineRule="exact"/>
        <w:rPr>
          <w:sz w:val="20"/>
          <w:szCs w:val="20"/>
          <w:color w:val="auto"/>
        </w:rPr>
      </w:pPr>
    </w:p>
    <w:p>
      <w:pPr>
        <w:ind w:left="420"/>
        <w:spacing w:after="0"/>
        <w:rPr>
          <w:sz w:val="20"/>
          <w:szCs w:val="20"/>
          <w:color w:val="auto"/>
        </w:rPr>
      </w:pPr>
      <w:r>
        <w:rPr>
          <w:rFonts w:ascii="Arial" w:cs="Arial" w:eastAsia="Arial" w:hAnsi="Arial"/>
          <w:sz w:val="10"/>
          <w:szCs w:val="10"/>
          <w:color w:val="auto"/>
        </w:rPr>
        <w:t>NI Holdings had fee and other income of $470 for the three months ended June 30, 2018, compared to $321 for the three months ended June 30, 2017. The majority of fee income is attributable to the non-standard auto business.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8820" w:type="dxa"/>
            <w:vAlign w:val="bottom"/>
          </w:tcPr>
          <w:p>
            <w:pPr>
              <w:ind w:left="400"/>
              <w:spacing w:after="0"/>
              <w:rPr>
                <w:sz w:val="20"/>
                <w:szCs w:val="20"/>
                <w:color w:val="auto"/>
              </w:rPr>
            </w:pPr>
            <w:r>
              <w:rPr>
                <w:rFonts w:ascii="Arial" w:cs="Arial" w:eastAsia="Arial" w:hAnsi="Arial"/>
                <w:sz w:val="12"/>
                <w:szCs w:val="12"/>
                <w:i w:val="1"/>
                <w:iCs w:val="1"/>
                <w:color w:val="auto"/>
              </w:rPr>
              <w:t>Net Investment Income</w:t>
            </w: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820" w:type="dxa"/>
            <w:vAlign w:val="bottom"/>
          </w:tcPr>
          <w:p>
            <w:pPr>
              <w:ind w:left="400"/>
              <w:spacing w:after="0"/>
              <w:rPr>
                <w:sz w:val="20"/>
                <w:szCs w:val="20"/>
                <w:color w:val="auto"/>
              </w:rPr>
            </w:pPr>
            <w:r>
              <w:rPr>
                <w:rFonts w:ascii="Arial" w:cs="Arial" w:eastAsia="Arial" w:hAnsi="Arial"/>
                <w:sz w:val="12"/>
                <w:szCs w:val="12"/>
                <w:color w:val="auto"/>
                <w:w w:val="95"/>
              </w:rPr>
              <w:t>The following table sets forth our average cash and invested assets, net investment income, and return on average cash and invested assets for the reported periods:</w:t>
            </w: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210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2"/>
                <w:szCs w:val="12"/>
                <w:b w:val="1"/>
                <w:bCs w:val="1"/>
                <w:color w:val="auto"/>
              </w:rPr>
              <w:t>Three Months Ended June 30,</w:t>
            </w:r>
          </w:p>
        </w:tc>
        <w:tc>
          <w:tcPr>
            <w:tcW w:w="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2018</w:t>
            </w:r>
          </w:p>
        </w:tc>
        <w:tc>
          <w:tcPr>
            <w:tcW w:w="4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2017</w:t>
            </w:r>
          </w:p>
        </w:tc>
        <w:tc>
          <w:tcPr>
            <w:tcW w:w="4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Average cash and invested assets</w:t>
            </w:r>
          </w:p>
        </w:tc>
        <w:tc>
          <w:tcPr>
            <w:tcW w:w="740" w:type="dxa"/>
            <w:vAlign w:val="bottom"/>
            <w:shd w:val="clear" w:color="auto" w:fill="CCEEFF"/>
          </w:tcPr>
          <w:p>
            <w:pPr>
              <w:jc w:val="right"/>
              <w:ind w:right="626"/>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319,016</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87"/>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2"/>
              </w:rPr>
              <w:t>304,514</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82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Gross investment income</w:t>
            </w:r>
          </w:p>
        </w:tc>
        <w:tc>
          <w:tcPr>
            <w:tcW w:w="740" w:type="dxa"/>
            <w:vAlign w:val="bottom"/>
            <w:shd w:val="clear" w:color="auto" w:fill="CCEEFF"/>
          </w:tcPr>
          <w:p>
            <w:pPr>
              <w:jc w:val="right"/>
              <w:ind w:right="626"/>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2,051</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87"/>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1,794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Investment expenses</w:t>
            </w:r>
          </w:p>
        </w:tc>
        <w:tc>
          <w:tcPr>
            <w:tcW w:w="7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528</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491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vMerge w:val="restart"/>
            <w:shd w:val="clear" w:color="auto" w:fill="CCEEFF"/>
          </w:tcPr>
          <w:p>
            <w:pPr>
              <w:ind w:left="60"/>
              <w:spacing w:after="0"/>
              <w:rPr>
                <w:sz w:val="20"/>
                <w:szCs w:val="20"/>
                <w:color w:val="auto"/>
              </w:rPr>
            </w:pPr>
            <w:r>
              <w:rPr>
                <w:rFonts w:ascii="Arial" w:cs="Arial" w:eastAsia="Arial" w:hAnsi="Arial"/>
                <w:sz w:val="12"/>
                <w:szCs w:val="12"/>
                <w:color w:val="auto"/>
              </w:rPr>
              <w:t>Net investment income</w:t>
            </w: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vMerge w:val="continue"/>
            <w:shd w:val="clear" w:color="auto" w:fill="CCEEFF"/>
          </w:tcPr>
          <w:p>
            <w:pPr>
              <w:spacing w:after="0"/>
              <w:rPr>
                <w:sz w:val="12"/>
                <w:szCs w:val="12"/>
                <w:color w:val="auto"/>
              </w:rPr>
            </w:pPr>
          </w:p>
        </w:tc>
        <w:tc>
          <w:tcPr>
            <w:tcW w:w="740" w:type="dxa"/>
            <w:vAlign w:val="bottom"/>
            <w:shd w:val="clear" w:color="auto" w:fill="CCEEFF"/>
          </w:tcPr>
          <w:p>
            <w:pPr>
              <w:jc w:val="right"/>
              <w:ind w:right="626"/>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1,523</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87"/>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1,303</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82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Gross return on average cash and invested assets</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2.6%</w:t>
            </w:r>
          </w:p>
        </w:tc>
        <w:tc>
          <w:tcPr>
            <w:tcW w:w="7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Net return on average cash and invested assets</w:t>
            </w:r>
          </w:p>
        </w:tc>
        <w:tc>
          <w:tcPr>
            <w:tcW w:w="740" w:type="dxa"/>
            <w:vAlign w:val="bottom"/>
          </w:tcPr>
          <w:p>
            <w:pPr>
              <w:spacing w:after="0"/>
              <w:rPr>
                <w:sz w:val="13"/>
                <w:szCs w:val="1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1.9%</w:t>
            </w:r>
          </w:p>
        </w:tc>
        <w:tc>
          <w:tcPr>
            <w:tcW w:w="70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bl>
    <w:p>
      <w:pPr>
        <w:spacing w:after="0" w:line="243" w:lineRule="exact"/>
        <w:rPr>
          <w:sz w:val="20"/>
          <w:szCs w:val="20"/>
          <w:color w:val="auto"/>
        </w:rPr>
      </w:pPr>
    </w:p>
    <w:p>
      <w:pPr>
        <w:ind w:right="300" w:firstLine="432"/>
        <w:spacing w:after="0" w:line="380" w:lineRule="auto"/>
        <w:rPr>
          <w:sz w:val="20"/>
          <w:szCs w:val="20"/>
          <w:color w:val="auto"/>
        </w:rPr>
      </w:pPr>
      <w:r>
        <w:rPr>
          <w:rFonts w:ascii="Arial" w:cs="Arial" w:eastAsia="Arial" w:hAnsi="Arial"/>
          <w:sz w:val="10"/>
          <w:szCs w:val="10"/>
          <w:color w:val="auto"/>
        </w:rPr>
        <w:t>Investment income, net of investment expense, increased $220 for the three months ended June 30, 2018 compared to 2017. This increase is attributable to an increase in invested assets caused by the timing of the investment actions taken with respect to the receipt of the proceeds of over $90 million from the Company’s initial public offering in March 2017. The weighted average gross yield on invested assets rose to 2.6% in 2018 from 2.4% in 2017.</w:t>
      </w:r>
    </w:p>
    <w:p>
      <w:pPr>
        <w:spacing w:after="0" w:line="41"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Net Realized Capital Gain on Investments</w:t>
      </w:r>
    </w:p>
    <w:p>
      <w:pPr>
        <w:spacing w:after="0" w:line="132" w:lineRule="exact"/>
        <w:rPr>
          <w:sz w:val="20"/>
          <w:szCs w:val="20"/>
          <w:color w:val="auto"/>
        </w:rPr>
      </w:pPr>
    </w:p>
    <w:p>
      <w:pPr>
        <w:ind w:right="140" w:firstLine="432"/>
        <w:spacing w:after="0" w:line="276" w:lineRule="auto"/>
        <w:rPr>
          <w:sz w:val="20"/>
          <w:szCs w:val="20"/>
          <w:color w:val="auto"/>
        </w:rPr>
      </w:pPr>
      <w:r>
        <w:rPr>
          <w:rFonts w:ascii="Arial" w:cs="Arial" w:eastAsia="Arial" w:hAnsi="Arial"/>
          <w:sz w:val="12"/>
          <w:szCs w:val="12"/>
          <w:color w:val="auto"/>
        </w:rPr>
        <w:t>NI Holdings had realized capital gains on investment of $250 for the three months ended June 30, 2018, compared to $339 for the three months ended June 30, 2017. The Company recorded $0 and $206 of other-than-temporary impairments in the three months ended June 30, 2018 and 2017, respectively.</w:t>
      </w:r>
    </w:p>
    <w:p>
      <w:pPr>
        <w:spacing w:after="0" w:line="88" w:lineRule="exact"/>
        <w:rPr>
          <w:sz w:val="20"/>
          <w:szCs w:val="20"/>
          <w:color w:val="auto"/>
        </w:rPr>
      </w:pPr>
    </w:p>
    <w:p>
      <w:pPr>
        <w:ind w:right="40" w:firstLine="432"/>
        <w:spacing w:after="0" w:line="276" w:lineRule="auto"/>
        <w:rPr>
          <w:sz w:val="20"/>
          <w:szCs w:val="20"/>
          <w:color w:val="auto"/>
        </w:rPr>
      </w:pPr>
      <w:r>
        <w:rPr>
          <w:rFonts w:ascii="Arial" w:cs="Arial" w:eastAsia="Arial" w:hAnsi="Arial"/>
          <w:sz w:val="12"/>
          <w:szCs w:val="12"/>
          <w:color w:val="auto"/>
        </w:rPr>
        <w:t>The Company’s fixed income securities and equity securities are classified as available for sale because it will, from time to time, make sales of securities that are not impaired, consistent with our investment goals and policies. At June 30, 2018, the Company had net unrealized losses on fixed income securities of $2,990 and net unrealized gains on equity securities of $19,316. At December</w:t>
      </w:r>
    </w:p>
    <w:p>
      <w:pPr>
        <w:spacing w:after="0" w:line="115"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2340" cy="17145"/>
                    </a:xfrm>
                    <a:prstGeom prst="rect">
                      <a:avLst/>
                    </a:prstGeom>
                    <a:noFill/>
                  </pic:spPr>
                </pic:pic>
              </a:graphicData>
            </a:graphic>
          </wp:anchor>
        </w:drawing>
      </w:r>
    </w:p>
    <w:p>
      <w:pPr>
        <w:sectPr>
          <w:pgSz w:w="11900" w:h="16838" w:orient="portrait"/>
          <w:cols w:equalWidth="0" w:num="1">
            <w:col w:w="11480"/>
          </w:cols>
          <w:pgMar w:left="220" w:top="203" w:right="199" w:bottom="1440" w:gutter="0" w:footer="0" w:header="0"/>
        </w:sectPr>
      </w:pPr>
    </w:p>
    <w:bookmarkStart w:id="50" w:name="page51"/>
    <w:bookmarkEnd w:id="50"/>
    <w:p>
      <w:pPr>
        <w:ind w:left="2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50"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31, 2017, the Company had net unrealized gains on fixed income securities of $1,780 and net unrealized gains on equity securities of $18,533. The decrease in the fair value of our fixed income securities is attributable to a general rise in the interest rate environment during the first six months of 2018.</w:t>
      </w:r>
    </w:p>
    <w:p>
      <w:pPr>
        <w:spacing w:after="0" w:line="88" w:lineRule="exact"/>
        <w:rPr>
          <w:sz w:val="20"/>
          <w:szCs w:val="20"/>
          <w:color w:val="auto"/>
        </w:rPr>
      </w:pPr>
    </w:p>
    <w:p>
      <w:pPr>
        <w:ind w:right="200" w:firstLine="432"/>
        <w:spacing w:after="0" w:line="323" w:lineRule="auto"/>
        <w:rPr>
          <w:sz w:val="20"/>
          <w:szCs w:val="20"/>
          <w:color w:val="auto"/>
        </w:rPr>
      </w:pPr>
      <w:r>
        <w:rPr>
          <w:rFonts w:ascii="Arial" w:cs="Arial" w:eastAsia="Arial" w:hAnsi="Arial"/>
          <w:sz w:val="11"/>
          <w:szCs w:val="11"/>
          <w:color w:val="auto"/>
        </w:rPr>
        <w:t>NI Holdings has evaluated each security in a loss position and taken into account the severity and duration of the impairment, the current rating on the bond, and the outlook for the issuer according to independent analysts. NI Holdings believes that the foregoing declines in fair value in its existing portfolio are most likely attributable to short-term market trends and there is no evidence that the Company will not recover the entire amortized cost basis.</w:t>
      </w:r>
    </w:p>
    <w:p>
      <w:pPr>
        <w:spacing w:after="0" w:line="74"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Income before Income Taxes</w:t>
      </w:r>
    </w:p>
    <w:p>
      <w:pPr>
        <w:spacing w:after="0" w:line="123" w:lineRule="exact"/>
        <w:rPr>
          <w:sz w:val="20"/>
          <w:szCs w:val="20"/>
          <w:color w:val="auto"/>
        </w:rPr>
      </w:pPr>
    </w:p>
    <w:p>
      <w:pPr>
        <w:ind w:right="80" w:firstLine="432"/>
        <w:spacing w:after="0" w:line="276" w:lineRule="auto"/>
        <w:rPr>
          <w:sz w:val="20"/>
          <w:szCs w:val="20"/>
          <w:color w:val="auto"/>
        </w:rPr>
      </w:pPr>
      <w:r>
        <w:rPr>
          <w:rFonts w:ascii="Arial" w:cs="Arial" w:eastAsia="Arial" w:hAnsi="Arial"/>
          <w:sz w:val="12"/>
          <w:szCs w:val="12"/>
          <w:color w:val="auto"/>
        </w:rPr>
        <w:t>For the three months ended June 30, 2018, NI Holdings had pre-tax income of $397 compared to a pre-tax loss of $39 for the three months ended June 30, 2017. The increase in pre-tax income was largely attributable to revenue growth in the private passenger auto line of business while achieving an improved overall combined ratio compared to a year ago.</w:t>
      </w:r>
    </w:p>
    <w:p>
      <w:pPr>
        <w:spacing w:after="0" w:line="88"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Income Taxes</w:t>
      </w:r>
    </w:p>
    <w:p>
      <w:pPr>
        <w:spacing w:after="0" w:line="132"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color w:val="auto"/>
        </w:rPr>
        <w:t>NI Holdings recorded income tax expense of $141 for the three months ended June 30, 2018, compared to income tax benefit of $156 for the three months ended June 30, 2017. Our effective tax rate for the second quarter of 2018 was 35.5% compared to an effective tax rate of 400.0% for the second quarter of 2017. The effective tax rates for the second quarter of both years are not meaningful due to the impact of adjustments made to the estimated annualized effective tax rate from quarter to quarter and the near break-even pre-tax operating results experienced for both years.</w:t>
      </w:r>
    </w:p>
    <w:p>
      <w:pPr>
        <w:spacing w:after="0" w:line="96" w:lineRule="exact"/>
        <w:rPr>
          <w:sz w:val="20"/>
          <w:szCs w:val="20"/>
          <w:color w:val="auto"/>
        </w:rPr>
      </w:pPr>
    </w:p>
    <w:p>
      <w:pPr>
        <w:ind w:right="60" w:firstLine="432"/>
        <w:spacing w:after="0" w:line="290" w:lineRule="auto"/>
        <w:rPr>
          <w:sz w:val="20"/>
          <w:szCs w:val="20"/>
          <w:color w:val="auto"/>
        </w:rPr>
      </w:pPr>
      <w:r>
        <w:rPr>
          <w:rFonts w:ascii="Arial" w:cs="Arial" w:eastAsia="Arial" w:hAnsi="Arial"/>
          <w:sz w:val="11"/>
          <w:szCs w:val="11"/>
          <w:color w:val="auto"/>
        </w:rPr>
        <w:t>Due to recent changes in federal tax laws, the corporate income tax rate decreased from a maximum of 35% in 2017 to a flat 21% for tax years 2018 and beyond. Accounting guidance requires that companies re-measure existing deferred income tax assets (including loss carryforwards) and liabilities in the period of enactment of a tax rate change. The guidance also requires any change to a previously recorded valuation allowance as a result of re-measuring existing temporary differences and loss carryforwards to be recognized in the period of enactment. The resulting impact on our deferred income taxes and the related valuation allowance was recognized in the fourth quarter of 2017. The valuation allowance against certain deferred income tax assets remained at $628 as of June 30, 2018, the same amount as December 31, 2017.</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Net Income</w:t>
      </w:r>
    </w:p>
    <w:p>
      <w:pPr>
        <w:spacing w:after="0" w:line="132" w:lineRule="exact"/>
        <w:rPr>
          <w:sz w:val="20"/>
          <w:szCs w:val="20"/>
          <w:color w:val="auto"/>
        </w:rPr>
      </w:pPr>
    </w:p>
    <w:p>
      <w:pPr>
        <w:ind w:right="240" w:firstLine="432"/>
        <w:spacing w:after="0" w:line="276" w:lineRule="auto"/>
        <w:rPr>
          <w:sz w:val="20"/>
          <w:szCs w:val="20"/>
          <w:color w:val="auto"/>
        </w:rPr>
      </w:pPr>
      <w:r>
        <w:rPr>
          <w:rFonts w:ascii="Arial" w:cs="Arial" w:eastAsia="Arial" w:hAnsi="Arial"/>
          <w:sz w:val="12"/>
          <w:szCs w:val="12"/>
          <w:color w:val="auto"/>
        </w:rPr>
        <w:t>For the three months ended June 30, 2018, NI Holdings had net income after non-controlling interest of $226 compared to net income after non-controlling interest of $129 for 2017. This increase in net income was primarily attributable to the lower overall combined ratio as well as the revenue growth in our private passenger auto line of business.</w:t>
      </w:r>
    </w:p>
    <w:p>
      <w:pPr>
        <w:spacing w:after="0" w:line="88"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Return on Average Equity</w:t>
      </w:r>
    </w:p>
    <w:p>
      <w:pPr>
        <w:spacing w:after="0" w:line="123" w:lineRule="exact"/>
        <w:rPr>
          <w:sz w:val="20"/>
          <w:szCs w:val="20"/>
          <w:color w:val="auto"/>
        </w:rPr>
      </w:pPr>
    </w:p>
    <w:p>
      <w:pPr>
        <w:ind w:right="80" w:firstLine="432"/>
        <w:spacing w:after="0" w:line="276" w:lineRule="auto"/>
        <w:rPr>
          <w:sz w:val="20"/>
          <w:szCs w:val="20"/>
          <w:color w:val="auto"/>
        </w:rPr>
      </w:pPr>
      <w:r>
        <w:rPr>
          <w:rFonts w:ascii="Arial" w:cs="Arial" w:eastAsia="Arial" w:hAnsi="Arial"/>
          <w:sz w:val="12"/>
          <w:szCs w:val="12"/>
          <w:color w:val="auto"/>
        </w:rPr>
        <w:t>For the three months ended June 30, 2018, NI Holdings had annualized return on average equity, after non-controlling interest, of 0.4% compared to annualized return on average equity, after non-controlling interest, of 0.2% for the three months ended June 30, 2017. Average equity is calculated as the average between beginning and ending equity excluding non-controlling interest for the period.</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29234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2340" cy="17145"/>
                    </a:xfrm>
                    <a:prstGeom prst="rect">
                      <a:avLst/>
                    </a:prstGeom>
                    <a:noFill/>
                  </pic:spPr>
                </pic:pic>
              </a:graphicData>
            </a:graphic>
          </wp:anchor>
        </w:drawing>
      </w:r>
    </w:p>
    <w:p>
      <w:pPr>
        <w:sectPr>
          <w:pgSz w:w="11900" w:h="16838" w:orient="portrait"/>
          <w:cols w:equalWidth="0" w:num="1">
            <w:col w:w="11420"/>
          </w:cols>
          <w:pgMar w:left="220" w:top="203" w:right="259" w:bottom="1440" w:gutter="0" w:footer="0" w:header="0"/>
        </w:sectPr>
      </w:pPr>
    </w:p>
    <w:bookmarkStart w:id="51" w:name="page52"/>
    <w:bookmarkEnd w:id="51"/>
    <w:p>
      <w:pPr>
        <w:ind w:left="2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Six Months ended June 30, 2018 and 2017</w:t>
      </w:r>
    </w:p>
    <w:p>
      <w:pPr>
        <w:spacing w:after="0" w:line="123" w:lineRule="exact"/>
        <w:rPr>
          <w:sz w:val="20"/>
          <w:szCs w:val="20"/>
          <w:color w:val="auto"/>
        </w:rPr>
      </w:pPr>
    </w:p>
    <w:p>
      <w:pPr>
        <w:ind w:right="260" w:firstLine="432"/>
        <w:spacing w:after="0" w:line="276" w:lineRule="auto"/>
        <w:rPr>
          <w:sz w:val="20"/>
          <w:szCs w:val="20"/>
          <w:color w:val="auto"/>
        </w:rPr>
      </w:pPr>
      <w:r>
        <w:rPr>
          <w:rFonts w:ascii="Arial" w:cs="Arial" w:eastAsia="Arial" w:hAnsi="Arial"/>
          <w:sz w:val="12"/>
          <w:szCs w:val="12"/>
          <w:color w:val="auto"/>
        </w:rPr>
        <w:t>The consolidated net income for NI Holdings was $6,408 for the six months ended June 30, 2018 compared to $4,866 a year ago. The major components of NI Holdings’ operating revenues and net income for the two periods were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8820" w:type="dxa"/>
            <w:vAlign w:val="bottom"/>
          </w:tcPr>
          <w:p>
            <w:pPr>
              <w:spacing w:after="0"/>
              <w:rPr>
                <w:sz w:val="13"/>
                <w:szCs w:val="13"/>
                <w:color w:val="auto"/>
              </w:rPr>
            </w:pPr>
          </w:p>
        </w:tc>
        <w:tc>
          <w:tcPr>
            <w:tcW w:w="2140" w:type="dxa"/>
            <w:vAlign w:val="bottom"/>
            <w:tcBorders>
              <w:bottom w:val="single" w:sz="8" w:color="auto"/>
            </w:tcBorders>
            <w:gridSpan w:val="4"/>
          </w:tcPr>
          <w:p>
            <w:pPr>
              <w:jc w:val="right"/>
              <w:ind w:right="127"/>
              <w:spacing w:after="0"/>
              <w:rPr>
                <w:sz w:val="20"/>
                <w:szCs w:val="20"/>
                <w:color w:val="auto"/>
              </w:rPr>
            </w:pPr>
            <w:r>
              <w:rPr>
                <w:rFonts w:ascii="Arial" w:cs="Arial" w:eastAsia="Arial" w:hAnsi="Arial"/>
                <w:sz w:val="12"/>
                <w:szCs w:val="12"/>
                <w:b w:val="1"/>
                <w:bCs w:val="1"/>
                <w:color w:val="auto"/>
              </w:rPr>
              <w:t>Six Months Ended June 30,</w:t>
            </w:r>
          </w:p>
        </w:tc>
        <w:tc>
          <w:tcPr>
            <w:tcW w:w="3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6"/>
              <w:spacing w:after="0"/>
              <w:rPr>
                <w:sz w:val="20"/>
                <w:szCs w:val="20"/>
                <w:color w:val="auto"/>
              </w:rPr>
            </w:pPr>
            <w:r>
              <w:rPr>
                <w:rFonts w:ascii="Arial" w:cs="Arial" w:eastAsia="Arial" w:hAnsi="Arial"/>
                <w:sz w:val="12"/>
                <w:szCs w:val="12"/>
                <w:b w:val="1"/>
                <w:bCs w:val="1"/>
                <w:color w:val="auto"/>
              </w:rPr>
              <w:t>2018</w:t>
            </w:r>
          </w:p>
        </w:tc>
        <w:tc>
          <w:tcPr>
            <w:tcW w:w="40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7"/>
              <w:spacing w:after="0"/>
              <w:rPr>
                <w:sz w:val="20"/>
                <w:szCs w:val="20"/>
                <w:color w:val="auto"/>
              </w:rPr>
            </w:pPr>
            <w:r>
              <w:rPr>
                <w:rFonts w:ascii="Arial" w:cs="Arial" w:eastAsia="Arial" w:hAnsi="Arial"/>
                <w:sz w:val="12"/>
                <w:szCs w:val="12"/>
                <w:b w:val="1"/>
                <w:bCs w:val="1"/>
                <w:color w:val="auto"/>
              </w:rPr>
              <w:t>2017</w:t>
            </w:r>
          </w:p>
        </w:tc>
        <w:tc>
          <w:tcPr>
            <w:tcW w:w="3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8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Revenues:</w:t>
            </w:r>
          </w:p>
        </w:tc>
        <w:tc>
          <w:tcPr>
            <w:tcW w:w="7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100"/>
              <w:spacing w:after="0"/>
              <w:rPr>
                <w:sz w:val="20"/>
                <w:szCs w:val="20"/>
                <w:color w:val="auto"/>
              </w:rPr>
            </w:pPr>
            <w:r>
              <w:rPr>
                <w:rFonts w:ascii="Arial" w:cs="Arial" w:eastAsia="Arial" w:hAnsi="Arial"/>
                <w:sz w:val="12"/>
                <w:szCs w:val="12"/>
                <w:color w:val="auto"/>
              </w:rPr>
              <w:t>Net premiums earned</w:t>
            </w:r>
          </w:p>
        </w:tc>
        <w:tc>
          <w:tcPr>
            <w:tcW w:w="760" w:type="dxa"/>
            <w:vAlign w:val="bottom"/>
          </w:tcPr>
          <w:p>
            <w:pPr>
              <w:jc w:val="right"/>
              <w:ind w:right="646"/>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40"/>
              <w:spacing w:after="0"/>
              <w:rPr>
                <w:sz w:val="20"/>
                <w:szCs w:val="20"/>
                <w:color w:val="auto"/>
              </w:rPr>
            </w:pPr>
            <w:r>
              <w:rPr>
                <w:rFonts w:ascii="Arial" w:cs="Arial" w:eastAsia="Arial" w:hAnsi="Arial"/>
                <w:sz w:val="12"/>
                <w:szCs w:val="12"/>
                <w:color w:val="auto"/>
              </w:rPr>
              <w:t>86,789</w:t>
            </w:r>
          </w:p>
        </w:tc>
        <w:tc>
          <w:tcPr>
            <w:tcW w:w="740" w:type="dxa"/>
            <w:vAlign w:val="bottom"/>
          </w:tcPr>
          <w:p>
            <w:pPr>
              <w:jc w:val="right"/>
              <w:ind w:right="627"/>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w w:val="97"/>
              </w:rPr>
              <w:t>78,462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Fee and other income</w:t>
            </w: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847</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668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100"/>
              <w:spacing w:after="0"/>
              <w:rPr>
                <w:sz w:val="20"/>
                <w:szCs w:val="20"/>
                <w:color w:val="auto"/>
              </w:rPr>
            </w:pPr>
            <w:r>
              <w:rPr>
                <w:rFonts w:ascii="Arial" w:cs="Arial" w:eastAsia="Arial" w:hAnsi="Arial"/>
                <w:sz w:val="12"/>
                <w:szCs w:val="12"/>
                <w:color w:val="auto"/>
              </w:rPr>
              <w:t>Net investment income</w:t>
            </w:r>
          </w:p>
        </w:tc>
        <w:tc>
          <w:tcPr>
            <w:tcW w:w="7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2,892</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2,302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Net realized capital gain on investments</w:t>
            </w:r>
          </w:p>
        </w:tc>
        <w:tc>
          <w:tcPr>
            <w:tcW w:w="7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719</w:t>
            </w: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955</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820" w:type="dxa"/>
            <w:vAlign w:val="bottom"/>
            <w:tcBorders>
              <w:bottom w:val="single" w:sz="8" w:color="CCEEFF"/>
            </w:tcBorders>
          </w:tcPr>
          <w:p>
            <w:pPr>
              <w:ind w:left="240"/>
              <w:spacing w:after="0" w:line="133" w:lineRule="exact"/>
              <w:rPr>
                <w:sz w:val="20"/>
                <w:szCs w:val="20"/>
                <w:color w:val="auto"/>
              </w:rPr>
            </w:pPr>
            <w:r>
              <w:rPr>
                <w:rFonts w:ascii="Arial" w:cs="Arial" w:eastAsia="Arial" w:hAnsi="Arial"/>
                <w:sz w:val="12"/>
                <w:szCs w:val="12"/>
                <w:color w:val="auto"/>
              </w:rPr>
              <w:t>Total revenues</w:t>
            </w:r>
          </w:p>
        </w:tc>
        <w:tc>
          <w:tcPr>
            <w:tcW w:w="760" w:type="dxa"/>
            <w:vAlign w:val="bottom"/>
            <w:tcBorders>
              <w:top w:val="single" w:sz="8" w:color="auto"/>
              <w:bottom w:val="single" w:sz="8" w:color="auto"/>
            </w:tcBorders>
          </w:tcPr>
          <w:p>
            <w:pPr>
              <w:jc w:val="right"/>
              <w:ind w:right="646"/>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91,247</w:t>
            </w:r>
          </w:p>
        </w:tc>
        <w:tc>
          <w:tcPr>
            <w:tcW w:w="240" w:type="dxa"/>
            <w:vAlign w:val="bottom"/>
            <w:tcBorders>
              <w:bottom w:val="single" w:sz="8" w:color="CCEEFF"/>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627"/>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97"/>
              </w:rPr>
              <w:t>82,387</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88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Components of net income:</w:t>
            </w: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Net premiums earned</w:t>
            </w:r>
          </w:p>
        </w:tc>
        <w:tc>
          <w:tcPr>
            <w:tcW w:w="760" w:type="dxa"/>
            <w:vAlign w:val="bottom"/>
            <w:shd w:val="clear" w:color="auto" w:fill="CCEEFF"/>
          </w:tcPr>
          <w:p>
            <w:pPr>
              <w:jc w:val="right"/>
              <w:ind w:right="646"/>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86,789</w:t>
            </w:r>
          </w:p>
        </w:tc>
        <w:tc>
          <w:tcPr>
            <w:tcW w:w="740" w:type="dxa"/>
            <w:vAlign w:val="bottom"/>
            <w:shd w:val="clear" w:color="auto" w:fill="CCEEFF"/>
          </w:tcPr>
          <w:p>
            <w:pPr>
              <w:jc w:val="right"/>
              <w:ind w:right="627"/>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7"/>
              </w:rPr>
              <w:t>78,462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100"/>
              <w:spacing w:after="0"/>
              <w:rPr>
                <w:sz w:val="20"/>
                <w:szCs w:val="20"/>
                <w:color w:val="auto"/>
              </w:rPr>
            </w:pPr>
            <w:r>
              <w:rPr>
                <w:rFonts w:ascii="Arial" w:cs="Arial" w:eastAsia="Arial" w:hAnsi="Arial"/>
                <w:sz w:val="12"/>
                <w:szCs w:val="12"/>
                <w:color w:val="auto"/>
              </w:rPr>
              <w:t>Losses and loss adjustment expenses</w:t>
            </w:r>
          </w:p>
        </w:tc>
        <w:tc>
          <w:tcPr>
            <w:tcW w:w="760" w:type="dxa"/>
            <w:vAlign w:val="bottom"/>
          </w:tcPr>
          <w:p>
            <w:pPr>
              <w:spacing w:after="0"/>
              <w:rPr>
                <w:sz w:val="12"/>
                <w:szCs w:val="1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2"/>
                <w:szCs w:val="12"/>
                <w:color w:val="auto"/>
              </w:rPr>
              <w:t>59,570</w:t>
            </w:r>
          </w:p>
        </w:tc>
        <w:tc>
          <w:tcPr>
            <w:tcW w:w="74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w w:val="97"/>
              </w:rPr>
              <w:t>53,951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Amortization of deferred policy acquisition costs and other underwriting and general expenses</w:t>
            </w:r>
          </w:p>
        </w:tc>
        <w:tc>
          <w:tcPr>
            <w:tcW w:w="7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23,679</w:t>
            </w:r>
          </w:p>
        </w:tc>
        <w:tc>
          <w:tcPr>
            <w:tcW w:w="7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7"/>
              </w:rPr>
              <w:t>21,444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820" w:type="dxa"/>
            <w:vAlign w:val="bottom"/>
          </w:tcPr>
          <w:p>
            <w:pPr>
              <w:ind w:left="240"/>
              <w:spacing w:after="0" w:line="133" w:lineRule="exact"/>
              <w:rPr>
                <w:sz w:val="20"/>
                <w:szCs w:val="20"/>
                <w:color w:val="auto"/>
              </w:rPr>
            </w:pPr>
            <w:r>
              <w:rPr>
                <w:rFonts w:ascii="Arial" w:cs="Arial" w:eastAsia="Arial" w:hAnsi="Arial"/>
                <w:sz w:val="12"/>
                <w:szCs w:val="12"/>
                <w:color w:val="auto"/>
              </w:rPr>
              <w:t>Underwriting income</w:t>
            </w:r>
          </w:p>
        </w:tc>
        <w:tc>
          <w:tcPr>
            <w:tcW w:w="7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3,540</w:t>
            </w:r>
          </w:p>
        </w:tc>
        <w:tc>
          <w:tcPr>
            <w:tcW w:w="2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3,067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Fee and other income</w:t>
            </w: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847</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668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100"/>
              <w:spacing w:after="0"/>
              <w:rPr>
                <w:sz w:val="20"/>
                <w:szCs w:val="20"/>
                <w:color w:val="auto"/>
              </w:rPr>
            </w:pPr>
            <w:r>
              <w:rPr>
                <w:rFonts w:ascii="Arial" w:cs="Arial" w:eastAsia="Arial" w:hAnsi="Arial"/>
                <w:sz w:val="12"/>
                <w:szCs w:val="12"/>
                <w:color w:val="auto"/>
              </w:rPr>
              <w:t>Net investment income</w:t>
            </w:r>
          </w:p>
        </w:tc>
        <w:tc>
          <w:tcPr>
            <w:tcW w:w="7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2,892</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2,302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Net realized capital gain on investments</w:t>
            </w:r>
          </w:p>
        </w:tc>
        <w:tc>
          <w:tcPr>
            <w:tcW w:w="7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719</w:t>
            </w: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955</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820" w:type="dxa"/>
            <w:vAlign w:val="bottom"/>
          </w:tcPr>
          <w:p>
            <w:pPr>
              <w:ind w:left="240"/>
              <w:spacing w:after="0" w:line="133" w:lineRule="exact"/>
              <w:rPr>
                <w:sz w:val="20"/>
                <w:szCs w:val="20"/>
                <w:color w:val="auto"/>
              </w:rPr>
            </w:pPr>
            <w:r>
              <w:rPr>
                <w:rFonts w:ascii="Arial" w:cs="Arial" w:eastAsia="Arial" w:hAnsi="Arial"/>
                <w:sz w:val="12"/>
                <w:szCs w:val="12"/>
                <w:color w:val="auto"/>
              </w:rPr>
              <w:t>Income before income taxes</w:t>
            </w:r>
          </w:p>
        </w:tc>
        <w:tc>
          <w:tcPr>
            <w:tcW w:w="7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7,998</w:t>
            </w:r>
          </w:p>
        </w:tc>
        <w:tc>
          <w:tcPr>
            <w:tcW w:w="2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6,992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Income taxes</w:t>
            </w:r>
          </w:p>
        </w:tc>
        <w:tc>
          <w:tcPr>
            <w:tcW w:w="7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1,590</w:t>
            </w: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vMerge w:val="restart"/>
          </w:tcPr>
          <w:p>
            <w:pPr>
              <w:ind w:left="240"/>
              <w:spacing w:after="0"/>
              <w:rPr>
                <w:sz w:val="20"/>
                <w:szCs w:val="20"/>
                <w:color w:val="auto"/>
              </w:rPr>
            </w:pPr>
            <w:r>
              <w:rPr>
                <w:rFonts w:ascii="Arial" w:cs="Arial" w:eastAsia="Arial" w:hAnsi="Arial"/>
                <w:sz w:val="12"/>
                <w:szCs w:val="12"/>
                <w:color w:val="auto"/>
              </w:rPr>
              <w:t>Net income</w:t>
            </w:r>
          </w:p>
        </w:tc>
        <w:tc>
          <w:tcPr>
            <w:tcW w:w="7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vMerge w:val="continue"/>
          </w:tcPr>
          <w:p>
            <w:pPr>
              <w:spacing w:after="0"/>
              <w:rPr>
                <w:sz w:val="12"/>
                <w:szCs w:val="12"/>
                <w:color w:val="auto"/>
              </w:rPr>
            </w:pPr>
          </w:p>
        </w:tc>
        <w:tc>
          <w:tcPr>
            <w:tcW w:w="760" w:type="dxa"/>
            <w:vAlign w:val="bottom"/>
          </w:tcPr>
          <w:p>
            <w:pPr>
              <w:jc w:val="right"/>
              <w:ind w:right="646"/>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6,408</w:t>
            </w:r>
          </w:p>
        </w:tc>
        <w:tc>
          <w:tcPr>
            <w:tcW w:w="240" w:type="dxa"/>
            <w:vAlign w:val="bottom"/>
          </w:tcPr>
          <w:p>
            <w:pPr>
              <w:spacing w:after="0"/>
              <w:rPr>
                <w:sz w:val="12"/>
                <w:szCs w:val="12"/>
                <w:color w:val="auto"/>
              </w:rPr>
            </w:pPr>
          </w:p>
        </w:tc>
        <w:tc>
          <w:tcPr>
            <w:tcW w:w="740" w:type="dxa"/>
            <w:vAlign w:val="bottom"/>
          </w:tcPr>
          <w:p>
            <w:pPr>
              <w:jc w:val="right"/>
              <w:ind w:right="627"/>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4,866</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8820" w:type="dxa"/>
            <w:vAlign w:val="bottom"/>
          </w:tcPr>
          <w:p>
            <w:pPr>
              <w:ind w:left="400"/>
              <w:spacing w:after="0"/>
              <w:rPr>
                <w:sz w:val="20"/>
                <w:szCs w:val="20"/>
                <w:color w:val="auto"/>
              </w:rPr>
            </w:pPr>
            <w:r>
              <w:rPr>
                <w:rFonts w:ascii="Arial" w:cs="Arial" w:eastAsia="Arial" w:hAnsi="Arial"/>
                <w:sz w:val="12"/>
                <w:szCs w:val="12"/>
                <w:i w:val="1"/>
                <w:iCs w:val="1"/>
                <w:color w:val="auto"/>
              </w:rPr>
              <w:t>Net Premiums Earned</w:t>
            </w:r>
          </w:p>
        </w:tc>
        <w:tc>
          <w:tcPr>
            <w:tcW w:w="7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820" w:type="dxa"/>
            <w:vAlign w:val="bottom"/>
          </w:tcPr>
          <w:p>
            <w:pPr>
              <w:ind w:left="400"/>
              <w:spacing w:after="0"/>
              <w:rPr>
                <w:sz w:val="20"/>
                <w:szCs w:val="20"/>
                <w:color w:val="auto"/>
              </w:rPr>
            </w:pPr>
            <w:r>
              <w:rPr>
                <w:rFonts w:ascii="Arial" w:cs="Arial" w:eastAsia="Arial" w:hAnsi="Arial"/>
                <w:sz w:val="12"/>
                <w:szCs w:val="12"/>
                <w:color w:val="auto"/>
                <w:w w:val="95"/>
              </w:rPr>
              <w:t>NI Holdings’ net premiums earned for the six months ended June 30, 2018 increased 10.6% to $86,789 compared to $78,462 for the six months ended June 30, 2017.</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820" w:type="dxa"/>
            <w:vAlign w:val="bottom"/>
          </w:tcPr>
          <w:p>
            <w:pPr>
              <w:spacing w:after="0"/>
              <w:rPr>
                <w:sz w:val="23"/>
                <w:szCs w:val="23"/>
                <w:color w:val="auto"/>
              </w:rPr>
            </w:pPr>
          </w:p>
        </w:tc>
        <w:tc>
          <w:tcPr>
            <w:tcW w:w="2140" w:type="dxa"/>
            <w:vAlign w:val="bottom"/>
            <w:tcBorders>
              <w:bottom w:val="single" w:sz="8" w:color="auto"/>
            </w:tcBorders>
            <w:gridSpan w:val="4"/>
          </w:tcPr>
          <w:p>
            <w:pPr>
              <w:jc w:val="right"/>
              <w:ind w:right="127"/>
              <w:spacing w:after="0"/>
              <w:rPr>
                <w:sz w:val="20"/>
                <w:szCs w:val="20"/>
                <w:color w:val="auto"/>
              </w:rPr>
            </w:pPr>
            <w:r>
              <w:rPr>
                <w:rFonts w:ascii="Arial" w:cs="Arial" w:eastAsia="Arial" w:hAnsi="Arial"/>
                <w:sz w:val="12"/>
                <w:szCs w:val="12"/>
                <w:b w:val="1"/>
                <w:bCs w:val="1"/>
                <w:color w:val="auto"/>
              </w:rPr>
              <w:t>Six Months Ended June 30,</w:t>
            </w:r>
          </w:p>
        </w:tc>
        <w:tc>
          <w:tcPr>
            <w:tcW w:w="3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6"/>
              <w:spacing w:after="0"/>
              <w:rPr>
                <w:sz w:val="20"/>
                <w:szCs w:val="20"/>
                <w:color w:val="auto"/>
              </w:rPr>
            </w:pPr>
            <w:r>
              <w:rPr>
                <w:rFonts w:ascii="Arial" w:cs="Arial" w:eastAsia="Arial" w:hAnsi="Arial"/>
                <w:sz w:val="12"/>
                <w:szCs w:val="12"/>
                <w:b w:val="1"/>
                <w:bCs w:val="1"/>
                <w:color w:val="auto"/>
              </w:rPr>
              <w:t>2018</w:t>
            </w:r>
          </w:p>
        </w:tc>
        <w:tc>
          <w:tcPr>
            <w:tcW w:w="40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7"/>
              <w:spacing w:after="0"/>
              <w:rPr>
                <w:sz w:val="20"/>
                <w:szCs w:val="20"/>
                <w:color w:val="auto"/>
              </w:rPr>
            </w:pPr>
            <w:r>
              <w:rPr>
                <w:rFonts w:ascii="Arial" w:cs="Arial" w:eastAsia="Arial" w:hAnsi="Arial"/>
                <w:sz w:val="12"/>
                <w:szCs w:val="12"/>
                <w:b w:val="1"/>
                <w:bCs w:val="1"/>
                <w:color w:val="auto"/>
              </w:rPr>
              <w:t>2017</w:t>
            </w:r>
          </w:p>
        </w:tc>
        <w:tc>
          <w:tcPr>
            <w:tcW w:w="3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8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Net premiums earned:</w:t>
            </w:r>
          </w:p>
        </w:tc>
        <w:tc>
          <w:tcPr>
            <w:tcW w:w="7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100"/>
              <w:spacing w:after="0"/>
              <w:rPr>
                <w:sz w:val="20"/>
                <w:szCs w:val="20"/>
                <w:color w:val="auto"/>
              </w:rPr>
            </w:pPr>
            <w:r>
              <w:rPr>
                <w:rFonts w:ascii="Arial" w:cs="Arial" w:eastAsia="Arial" w:hAnsi="Arial"/>
                <w:sz w:val="12"/>
                <w:szCs w:val="12"/>
                <w:color w:val="auto"/>
              </w:rPr>
              <w:t>Private passenger auto</w:t>
            </w:r>
          </w:p>
        </w:tc>
        <w:tc>
          <w:tcPr>
            <w:tcW w:w="760" w:type="dxa"/>
            <w:vAlign w:val="bottom"/>
          </w:tcPr>
          <w:p>
            <w:pPr>
              <w:jc w:val="right"/>
              <w:ind w:right="646"/>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40"/>
              <w:spacing w:after="0"/>
              <w:rPr>
                <w:sz w:val="20"/>
                <w:szCs w:val="20"/>
                <w:color w:val="auto"/>
              </w:rPr>
            </w:pPr>
            <w:r>
              <w:rPr>
                <w:rFonts w:ascii="Arial" w:cs="Arial" w:eastAsia="Arial" w:hAnsi="Arial"/>
                <w:sz w:val="12"/>
                <w:szCs w:val="12"/>
                <w:color w:val="auto"/>
              </w:rPr>
              <w:t>30,135</w:t>
            </w:r>
          </w:p>
        </w:tc>
        <w:tc>
          <w:tcPr>
            <w:tcW w:w="740" w:type="dxa"/>
            <w:vAlign w:val="bottom"/>
          </w:tcPr>
          <w:p>
            <w:pPr>
              <w:jc w:val="right"/>
              <w:ind w:right="627"/>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w w:val="97"/>
              </w:rPr>
              <w:t>26,164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Non-standard auto</w:t>
            </w: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6,467</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5,121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100"/>
              <w:spacing w:after="0"/>
              <w:rPr>
                <w:sz w:val="20"/>
                <w:szCs w:val="20"/>
                <w:color w:val="auto"/>
              </w:rPr>
            </w:pPr>
            <w:r>
              <w:rPr>
                <w:rFonts w:ascii="Arial" w:cs="Arial" w:eastAsia="Arial" w:hAnsi="Arial"/>
                <w:sz w:val="12"/>
                <w:szCs w:val="12"/>
                <w:color w:val="auto"/>
              </w:rPr>
              <w:t>Home and farm</w:t>
            </w:r>
          </w:p>
        </w:tc>
        <w:tc>
          <w:tcPr>
            <w:tcW w:w="760" w:type="dxa"/>
            <w:vAlign w:val="bottom"/>
          </w:tcPr>
          <w:p>
            <w:pPr>
              <w:spacing w:after="0"/>
              <w:rPr>
                <w:sz w:val="12"/>
                <w:szCs w:val="1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2"/>
                <w:szCs w:val="12"/>
                <w:color w:val="auto"/>
              </w:rPr>
              <w:t>30,739</w:t>
            </w:r>
          </w:p>
        </w:tc>
        <w:tc>
          <w:tcPr>
            <w:tcW w:w="74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w w:val="97"/>
              </w:rPr>
              <w:t>27,709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Crop</w:t>
            </w:r>
          </w:p>
        </w:tc>
        <w:tc>
          <w:tcPr>
            <w:tcW w:w="7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13,542</w:t>
            </w:r>
          </w:p>
        </w:tc>
        <w:tc>
          <w:tcPr>
            <w:tcW w:w="7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7"/>
              </w:rPr>
              <w:t>13,914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20" w:type="dxa"/>
            <w:vAlign w:val="bottom"/>
          </w:tcPr>
          <w:p>
            <w:pPr>
              <w:ind w:left="100"/>
              <w:spacing w:after="0"/>
              <w:rPr>
                <w:sz w:val="20"/>
                <w:szCs w:val="20"/>
                <w:color w:val="auto"/>
              </w:rPr>
            </w:pPr>
            <w:r>
              <w:rPr>
                <w:rFonts w:ascii="Arial" w:cs="Arial" w:eastAsia="Arial" w:hAnsi="Arial"/>
                <w:sz w:val="12"/>
                <w:szCs w:val="12"/>
                <w:color w:val="auto"/>
              </w:rPr>
              <w:t>All other</w:t>
            </w:r>
          </w:p>
        </w:tc>
        <w:tc>
          <w:tcPr>
            <w:tcW w:w="7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5,906</w:t>
            </w: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5,554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vMerge w:val="restart"/>
            <w:shd w:val="clear" w:color="auto" w:fill="CCEEFF"/>
          </w:tcPr>
          <w:p>
            <w:pPr>
              <w:ind w:left="240"/>
              <w:spacing w:after="0"/>
              <w:rPr>
                <w:sz w:val="20"/>
                <w:szCs w:val="20"/>
                <w:color w:val="auto"/>
              </w:rPr>
            </w:pPr>
            <w:r>
              <w:rPr>
                <w:rFonts w:ascii="Arial" w:cs="Arial" w:eastAsia="Arial" w:hAnsi="Arial"/>
                <w:sz w:val="12"/>
                <w:szCs w:val="12"/>
                <w:color w:val="auto"/>
              </w:rPr>
              <w:t>Total net premiums earned</w:t>
            </w:r>
          </w:p>
        </w:tc>
        <w:tc>
          <w:tcPr>
            <w:tcW w:w="7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vMerge w:val="continue"/>
            <w:shd w:val="clear" w:color="auto" w:fill="CCEEFF"/>
          </w:tcPr>
          <w:p>
            <w:pPr>
              <w:spacing w:after="0"/>
              <w:rPr>
                <w:sz w:val="12"/>
                <w:szCs w:val="12"/>
                <w:color w:val="auto"/>
              </w:rPr>
            </w:pPr>
          </w:p>
        </w:tc>
        <w:tc>
          <w:tcPr>
            <w:tcW w:w="760" w:type="dxa"/>
            <w:vAlign w:val="bottom"/>
            <w:shd w:val="clear" w:color="auto" w:fill="CCEEFF"/>
          </w:tcPr>
          <w:p>
            <w:pPr>
              <w:jc w:val="right"/>
              <w:ind w:right="646"/>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86,789</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27"/>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7"/>
              </w:rPr>
              <w:t>78,462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280" w:firstLine="432"/>
        <w:spacing w:after="0" w:line="323" w:lineRule="auto"/>
        <w:rPr>
          <w:sz w:val="20"/>
          <w:szCs w:val="20"/>
          <w:color w:val="auto"/>
        </w:rPr>
      </w:pPr>
      <w:r>
        <w:rPr>
          <w:rFonts w:ascii="Arial" w:cs="Arial" w:eastAsia="Arial" w:hAnsi="Arial"/>
          <w:sz w:val="11"/>
          <w:szCs w:val="11"/>
          <w:color w:val="auto"/>
        </w:rPr>
        <w:t>Our personal lines of business (private passenger auto, home and farm) continued to grow outside of North Dakota. Our non-standard auto business also grew year-over-year due to rate increases in Nevada. Our crop business began to recognize premiums in second quarter as the planting season started, and the current year net premiums earned are based on a lower estimate of annual crop premiums than this same time a year ago.</w:t>
      </w:r>
    </w:p>
    <w:p>
      <w:pPr>
        <w:spacing w:after="0" w:line="74"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Losses and LAE</w:t>
      </w:r>
    </w:p>
    <w:p>
      <w:pPr>
        <w:spacing w:after="0" w:line="123" w:lineRule="exact"/>
        <w:rPr>
          <w:sz w:val="20"/>
          <w:szCs w:val="20"/>
          <w:color w:val="auto"/>
        </w:rPr>
      </w:pPr>
    </w:p>
    <w:p>
      <w:pPr>
        <w:ind w:right="100" w:firstLine="432"/>
        <w:spacing w:after="0" w:line="276" w:lineRule="auto"/>
        <w:rPr>
          <w:sz w:val="20"/>
          <w:szCs w:val="20"/>
          <w:color w:val="auto"/>
        </w:rPr>
      </w:pPr>
      <w:r>
        <w:rPr>
          <w:rFonts w:ascii="Arial" w:cs="Arial" w:eastAsia="Arial" w:hAnsi="Arial"/>
          <w:sz w:val="12"/>
          <w:szCs w:val="12"/>
          <w:color w:val="auto"/>
        </w:rPr>
        <w:t>NI Holdings’ net losses and LAE for the six months ended June 30, 2018 increased 10.4% to $59,570 compared to $53,951 for the six months ended June 30, 2017. The Company’s loss and LAE ratio decreased slightly to 68.6% for 2018, compared to 68.8% for 2017.</w:t>
      </w:r>
    </w:p>
    <w:p>
      <w:pPr>
        <w:spacing w:after="0" w:line="93" w:lineRule="exact"/>
        <w:rPr>
          <w:sz w:val="20"/>
          <w:szCs w:val="20"/>
          <w:color w:val="auto"/>
        </w:rPr>
      </w:pPr>
    </w:p>
    <w:p>
      <w:pPr>
        <w:ind w:left="9400"/>
        <w:spacing w:after="0"/>
        <w:rPr>
          <w:sz w:val="20"/>
          <w:szCs w:val="20"/>
          <w:color w:val="auto"/>
        </w:rPr>
      </w:pPr>
      <w:r>
        <w:rPr>
          <w:rFonts w:ascii="Arial" w:cs="Arial" w:eastAsia="Arial" w:hAnsi="Arial"/>
          <w:sz w:val="12"/>
          <w:szCs w:val="12"/>
          <w:b w:val="1"/>
          <w:bCs w:val="1"/>
          <w:color w:val="auto"/>
        </w:rPr>
        <w:t>Six Months Ended June 30,</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84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2018</w:t>
            </w:r>
          </w:p>
        </w:tc>
        <w:tc>
          <w:tcPr>
            <w:tcW w:w="3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88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Loss and LAE ratio:</w:t>
            </w:r>
          </w:p>
        </w:tc>
        <w:tc>
          <w:tcPr>
            <w:tcW w:w="7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620" w:type="dxa"/>
            <w:vAlign w:val="bottom"/>
            <w:gridSpan w:val="2"/>
          </w:tcPr>
          <w:p>
            <w:pPr>
              <w:ind w:left="120"/>
              <w:spacing w:after="0"/>
              <w:rPr>
                <w:sz w:val="20"/>
                <w:szCs w:val="20"/>
                <w:color w:val="auto"/>
              </w:rPr>
            </w:pPr>
            <w:r>
              <w:rPr>
                <w:rFonts w:ascii="Arial" w:cs="Arial" w:eastAsia="Arial" w:hAnsi="Arial"/>
                <w:sz w:val="12"/>
                <w:szCs w:val="12"/>
                <w:color w:val="auto"/>
              </w:rPr>
              <w:t>Private passenger auto</w:t>
            </w:r>
          </w:p>
        </w:tc>
        <w:tc>
          <w:tcPr>
            <w:tcW w:w="380" w:type="dxa"/>
            <w:vAlign w:val="bottom"/>
          </w:tcPr>
          <w:p>
            <w:pPr>
              <w:jc w:val="right"/>
              <w:spacing w:after="0"/>
              <w:rPr>
                <w:sz w:val="20"/>
                <w:szCs w:val="20"/>
                <w:color w:val="auto"/>
              </w:rPr>
            </w:pPr>
            <w:r>
              <w:rPr>
                <w:rFonts w:ascii="Arial" w:cs="Arial" w:eastAsia="Arial" w:hAnsi="Arial"/>
                <w:sz w:val="12"/>
                <w:szCs w:val="12"/>
                <w:color w:val="auto"/>
              </w:rPr>
              <w:t>70.7%</w:t>
            </w:r>
          </w:p>
        </w:tc>
        <w:tc>
          <w:tcPr>
            <w:tcW w:w="24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67.7%</w:t>
            </w:r>
          </w:p>
        </w:tc>
        <w:tc>
          <w:tcPr>
            <w:tcW w:w="0" w:type="dxa"/>
            <w:vAlign w:val="bottom"/>
          </w:tcPr>
          <w:p>
            <w:pPr>
              <w:spacing w:after="0"/>
              <w:rPr>
                <w:sz w:val="1"/>
                <w:szCs w:val="1"/>
                <w:color w:val="auto"/>
              </w:rPr>
            </w:pPr>
          </w:p>
        </w:tc>
      </w:tr>
      <w:tr>
        <w:trPr>
          <w:trHeight w:val="144"/>
        </w:trPr>
        <w:tc>
          <w:tcPr>
            <w:tcW w:w="962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Non-standard auto</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76.3%</w:t>
            </w: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92.1%</w:t>
            </w:r>
          </w:p>
        </w:tc>
        <w:tc>
          <w:tcPr>
            <w:tcW w:w="0" w:type="dxa"/>
            <w:vAlign w:val="bottom"/>
          </w:tcPr>
          <w:p>
            <w:pPr>
              <w:spacing w:after="0"/>
              <w:rPr>
                <w:sz w:val="1"/>
                <w:szCs w:val="1"/>
                <w:color w:val="auto"/>
              </w:rPr>
            </w:pPr>
          </w:p>
        </w:tc>
      </w:tr>
      <w:tr>
        <w:trPr>
          <w:trHeight w:val="144"/>
        </w:trPr>
        <w:tc>
          <w:tcPr>
            <w:tcW w:w="9620" w:type="dxa"/>
            <w:vAlign w:val="bottom"/>
            <w:gridSpan w:val="2"/>
          </w:tcPr>
          <w:p>
            <w:pPr>
              <w:ind w:left="120"/>
              <w:spacing w:after="0"/>
              <w:rPr>
                <w:sz w:val="20"/>
                <w:szCs w:val="20"/>
                <w:color w:val="auto"/>
              </w:rPr>
            </w:pPr>
            <w:r>
              <w:rPr>
                <w:rFonts w:ascii="Arial" w:cs="Arial" w:eastAsia="Arial" w:hAnsi="Arial"/>
                <w:sz w:val="12"/>
                <w:szCs w:val="12"/>
                <w:color w:val="auto"/>
              </w:rPr>
              <w:t>Home and farm</w:t>
            </w:r>
          </w:p>
        </w:tc>
        <w:tc>
          <w:tcPr>
            <w:tcW w:w="380" w:type="dxa"/>
            <w:vAlign w:val="bottom"/>
          </w:tcPr>
          <w:p>
            <w:pPr>
              <w:jc w:val="right"/>
              <w:spacing w:after="0"/>
              <w:rPr>
                <w:sz w:val="20"/>
                <w:szCs w:val="20"/>
                <w:color w:val="auto"/>
              </w:rPr>
            </w:pPr>
            <w:r>
              <w:rPr>
                <w:rFonts w:ascii="Arial" w:cs="Arial" w:eastAsia="Arial" w:hAnsi="Arial"/>
                <w:sz w:val="12"/>
                <w:szCs w:val="12"/>
                <w:color w:val="auto"/>
              </w:rPr>
              <w:t>71.1%</w:t>
            </w:r>
          </w:p>
        </w:tc>
        <w:tc>
          <w:tcPr>
            <w:tcW w:w="240" w:type="dxa"/>
            <w:vAlign w:val="bottom"/>
          </w:tcPr>
          <w:p>
            <w:pPr>
              <w:spacing w:after="0"/>
              <w:rPr>
                <w:sz w:val="12"/>
                <w:szCs w:val="1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68.6%</w:t>
            </w:r>
          </w:p>
        </w:tc>
        <w:tc>
          <w:tcPr>
            <w:tcW w:w="0" w:type="dxa"/>
            <w:vAlign w:val="bottom"/>
          </w:tcPr>
          <w:p>
            <w:pPr>
              <w:spacing w:after="0"/>
              <w:rPr>
                <w:sz w:val="1"/>
                <w:szCs w:val="1"/>
                <w:color w:val="auto"/>
              </w:rPr>
            </w:pPr>
          </w:p>
        </w:tc>
      </w:tr>
      <w:tr>
        <w:trPr>
          <w:trHeight w:val="144"/>
        </w:trPr>
        <w:tc>
          <w:tcPr>
            <w:tcW w:w="962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Crop</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68.8%</w:t>
            </w: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82.6%</w:t>
            </w:r>
          </w:p>
        </w:tc>
        <w:tc>
          <w:tcPr>
            <w:tcW w:w="0" w:type="dxa"/>
            <w:vAlign w:val="bottom"/>
          </w:tcPr>
          <w:p>
            <w:pPr>
              <w:spacing w:after="0"/>
              <w:rPr>
                <w:sz w:val="1"/>
                <w:szCs w:val="1"/>
                <w:color w:val="auto"/>
              </w:rPr>
            </w:pPr>
          </w:p>
        </w:tc>
      </w:tr>
      <w:tr>
        <w:trPr>
          <w:trHeight w:val="153"/>
        </w:trPr>
        <w:tc>
          <w:tcPr>
            <w:tcW w:w="8840" w:type="dxa"/>
            <w:vAlign w:val="bottom"/>
          </w:tcPr>
          <w:p>
            <w:pPr>
              <w:ind w:left="120"/>
              <w:spacing w:after="0"/>
              <w:rPr>
                <w:sz w:val="20"/>
                <w:szCs w:val="20"/>
                <w:color w:val="auto"/>
              </w:rPr>
            </w:pPr>
            <w:r>
              <w:rPr>
                <w:rFonts w:ascii="Arial" w:cs="Arial" w:eastAsia="Arial" w:hAnsi="Arial"/>
                <w:sz w:val="12"/>
                <w:szCs w:val="12"/>
                <w:color w:val="auto"/>
              </w:rPr>
              <w:t>All other</w:t>
            </w:r>
          </w:p>
        </w:tc>
        <w:tc>
          <w:tcPr>
            <w:tcW w:w="7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36.7%</w:t>
            </w:r>
          </w:p>
        </w:tc>
        <w:tc>
          <w:tcPr>
            <w:tcW w:w="24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18.3%</w:t>
            </w:r>
          </w:p>
        </w:tc>
        <w:tc>
          <w:tcPr>
            <w:tcW w:w="0" w:type="dxa"/>
            <w:vAlign w:val="bottom"/>
          </w:tcPr>
          <w:p>
            <w:pPr>
              <w:spacing w:after="0"/>
              <w:rPr>
                <w:sz w:val="1"/>
                <w:szCs w:val="1"/>
                <w:color w:val="auto"/>
              </w:rPr>
            </w:pPr>
          </w:p>
        </w:tc>
      </w:tr>
      <w:tr>
        <w:trPr>
          <w:trHeight w:val="20"/>
        </w:trPr>
        <w:tc>
          <w:tcPr>
            <w:tcW w:w="8840" w:type="dxa"/>
            <w:vAlign w:val="bottom"/>
            <w:vMerge w:val="restart"/>
            <w:shd w:val="clear" w:color="auto" w:fill="CCEEFF"/>
          </w:tcPr>
          <w:p>
            <w:pPr>
              <w:ind w:left="260"/>
              <w:spacing w:after="0"/>
              <w:rPr>
                <w:sz w:val="20"/>
                <w:szCs w:val="20"/>
                <w:color w:val="auto"/>
              </w:rPr>
            </w:pPr>
            <w:r>
              <w:rPr>
                <w:rFonts w:ascii="Arial" w:cs="Arial" w:eastAsia="Arial" w:hAnsi="Arial"/>
                <w:sz w:val="12"/>
                <w:szCs w:val="12"/>
                <w:color w:val="auto"/>
              </w:rPr>
              <w:t>Total loss and LAE ratio</w:t>
            </w: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840" w:type="dxa"/>
            <w:vAlign w:val="bottom"/>
            <w:vMerge w:val="continue"/>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68.6%</w:t>
            </w:r>
          </w:p>
        </w:tc>
        <w:tc>
          <w:tcPr>
            <w:tcW w:w="2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68.8%</w:t>
            </w:r>
          </w:p>
        </w:tc>
        <w:tc>
          <w:tcPr>
            <w:tcW w:w="0" w:type="dxa"/>
            <w:vAlign w:val="bottom"/>
          </w:tcPr>
          <w:p>
            <w:pPr>
              <w:spacing w:after="0"/>
              <w:rPr>
                <w:sz w:val="1"/>
                <w:szCs w:val="1"/>
                <w:color w:val="auto"/>
              </w:rPr>
            </w:pPr>
          </w:p>
        </w:tc>
      </w:tr>
      <w:tr>
        <w:trPr>
          <w:trHeight w:val="571"/>
        </w:trPr>
        <w:tc>
          <w:tcPr>
            <w:tcW w:w="8840" w:type="dxa"/>
            <w:vAlign w:val="bottom"/>
            <w:tcBorders>
              <w:top w:val="single" w:sz="8" w:color="CCEEFF"/>
              <w:bottom w:val="single" w:sz="8" w:color="auto"/>
            </w:tcBorders>
          </w:tcPr>
          <w:p>
            <w:pPr>
              <w:ind w:left="5660"/>
              <w:spacing w:after="0"/>
              <w:rPr>
                <w:sz w:val="20"/>
                <w:szCs w:val="20"/>
                <w:color w:val="auto"/>
              </w:rPr>
            </w:pPr>
            <w:r>
              <w:rPr>
                <w:rFonts w:ascii="Arial" w:cs="Arial" w:eastAsia="Arial" w:hAnsi="Arial"/>
                <w:sz w:val="12"/>
                <w:szCs w:val="12"/>
                <w:color w:val="auto"/>
              </w:rPr>
              <w:t>50</w:t>
            </w:r>
          </w:p>
        </w:tc>
        <w:tc>
          <w:tcPr>
            <w:tcW w:w="78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203" w:right="199" w:bottom="1440" w:gutter="0" w:footer="0" w:header="0"/>
        </w:sectPr>
      </w:pPr>
    </w:p>
    <w:bookmarkStart w:id="52" w:name="page53"/>
    <w:bookmarkEnd w:id="52"/>
    <w:p>
      <w:pPr>
        <w:ind w:left="2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50" w:lineRule="exact"/>
        <w:rPr>
          <w:sz w:val="20"/>
          <w:szCs w:val="20"/>
          <w:color w:val="auto"/>
        </w:rPr>
      </w:pPr>
    </w:p>
    <w:p>
      <w:pPr>
        <w:ind w:right="40" w:firstLine="432"/>
        <w:spacing w:after="0" w:line="380" w:lineRule="auto"/>
        <w:rPr>
          <w:sz w:val="20"/>
          <w:szCs w:val="20"/>
          <w:color w:val="auto"/>
        </w:rPr>
      </w:pPr>
      <w:r>
        <w:rPr>
          <w:rFonts w:ascii="Arial" w:cs="Arial" w:eastAsia="Arial" w:hAnsi="Arial"/>
          <w:sz w:val="10"/>
          <w:szCs w:val="10"/>
          <w:color w:val="auto"/>
        </w:rPr>
        <w:t>The Company’s overall loss and LAE experience was generally steady year-over-year. Private passenger auto as well as home and farm both experienced modestly higher loss and LAE ratios, while experience on the non-standard auto and crop businesses both improved from last year. The assumed reinsurance portion of the all other segment experience rose to more normal levels in the first six months of 2018 compared to a minimal amount of losses in 2017.</w:t>
      </w:r>
    </w:p>
    <w:p>
      <w:pPr>
        <w:spacing w:after="0" w:line="41" w:lineRule="exact"/>
        <w:rPr>
          <w:sz w:val="20"/>
          <w:szCs w:val="20"/>
          <w:color w:val="auto"/>
        </w:rPr>
      </w:pPr>
    </w:p>
    <w:p>
      <w:pPr>
        <w:ind w:right="200" w:firstLine="432"/>
        <w:spacing w:after="0" w:line="263" w:lineRule="auto"/>
        <w:rPr>
          <w:sz w:val="20"/>
          <w:szCs w:val="20"/>
          <w:color w:val="auto"/>
        </w:rPr>
      </w:pPr>
      <w:r>
        <w:rPr>
          <w:rFonts w:ascii="Arial" w:cs="Arial" w:eastAsia="Arial" w:hAnsi="Arial"/>
          <w:sz w:val="12"/>
          <w:szCs w:val="12"/>
          <w:color w:val="auto"/>
        </w:rPr>
        <w:t>NI Holdings realized favorable development on prior accident years of $582 in the six months ended June 30, 2018, compared to $4,966 of favorable development on prior accident years realized in the first six months of 2017. Net favorable development is primarily the result of prior years’ claims settling for less than originally estimated. Adjustments to our original estimates resulting from claims are not made until the period in which there is reasonable evidence that an adjustment to the reserve is appropriate.</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Amortization of Deferred Policy Acquisition Costs and Other Underwriting and General Expenses</w:t>
      </w:r>
    </w:p>
    <w:p>
      <w:pPr>
        <w:spacing w:after="0" w:line="123"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Total underwriting and general expenses, including amortization of deferred policy acquisition costs, increased $2,235 in 2018, or 10.4%, compared to 2017. Underlying expenses were $382 higher in the six months ended June 30, 2018 due to increased commissions and processing fees related to the increased premium writings, and higher share-based compensation. Expense deferrals were $2,494 higher in 2018 than 2017 due to the increase in direct premiums written in 2018, whereas amortization of those costs was $4,347 higher in 2018 due to updated assumptions in our methodology for deferred policy acquisition costs. The expense ratio of 27.3% for the six months ended June 30, 2018 was the same as a year ago.</w:t>
      </w:r>
    </w:p>
    <w:p>
      <w:pPr>
        <w:spacing w:after="0" w:line="98"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Underwriting Gain (Loss)</w:t>
      </w:r>
    </w:p>
    <w:p>
      <w:pPr>
        <w:spacing w:after="0" w:line="132" w:lineRule="exact"/>
        <w:rPr>
          <w:sz w:val="20"/>
          <w:szCs w:val="20"/>
          <w:color w:val="auto"/>
        </w:rPr>
      </w:pPr>
    </w:p>
    <w:p>
      <w:pPr>
        <w:ind w:right="340" w:firstLine="432"/>
        <w:spacing w:after="0" w:line="276" w:lineRule="auto"/>
        <w:rPr>
          <w:sz w:val="20"/>
          <w:szCs w:val="20"/>
          <w:color w:val="auto"/>
        </w:rPr>
      </w:pPr>
      <w:r>
        <w:rPr>
          <w:rFonts w:ascii="Arial" w:cs="Arial" w:eastAsia="Arial" w:hAnsi="Arial"/>
          <w:sz w:val="12"/>
          <w:szCs w:val="12"/>
          <w:color w:val="auto"/>
        </w:rPr>
        <w:t>Underwriting gain (loss) measures the pretax profitability of a company’s insurance business. It is derived by subtracting losses and LAE, amortization of deferred policy acquisition costs, and other underwriting and general expenses from net premiums earned.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840" w:type="dxa"/>
            <w:vAlign w:val="bottom"/>
          </w:tcPr>
          <w:p>
            <w:pPr>
              <w:spacing w:after="0"/>
              <w:rPr>
                <w:sz w:val="13"/>
                <w:szCs w:val="13"/>
                <w:color w:val="auto"/>
              </w:rPr>
            </w:pPr>
          </w:p>
        </w:tc>
        <w:tc>
          <w:tcPr>
            <w:tcW w:w="2140" w:type="dxa"/>
            <w:vAlign w:val="bottom"/>
            <w:tcBorders>
              <w:bottom w:val="single" w:sz="8" w:color="auto"/>
            </w:tcBorders>
            <w:gridSpan w:val="4"/>
          </w:tcPr>
          <w:p>
            <w:pPr>
              <w:jc w:val="right"/>
              <w:ind w:right="127"/>
              <w:spacing w:after="0"/>
              <w:rPr>
                <w:sz w:val="20"/>
                <w:szCs w:val="20"/>
                <w:color w:val="auto"/>
              </w:rPr>
            </w:pPr>
            <w:r>
              <w:rPr>
                <w:rFonts w:ascii="Arial" w:cs="Arial" w:eastAsia="Arial" w:hAnsi="Arial"/>
                <w:sz w:val="12"/>
                <w:szCs w:val="12"/>
                <w:b w:val="1"/>
                <w:bCs w:val="1"/>
                <w:color w:val="auto"/>
              </w:rPr>
              <w:t>Six Months Ended June 30,</w:t>
            </w:r>
          </w:p>
        </w:tc>
        <w:tc>
          <w:tcPr>
            <w:tcW w:w="3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8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ind w:right="25"/>
              <w:spacing w:after="0"/>
              <w:rPr>
                <w:sz w:val="20"/>
                <w:szCs w:val="20"/>
                <w:color w:val="auto"/>
              </w:rPr>
            </w:pPr>
            <w:r>
              <w:rPr>
                <w:rFonts w:ascii="Arial" w:cs="Arial" w:eastAsia="Arial" w:hAnsi="Arial"/>
                <w:sz w:val="12"/>
                <w:szCs w:val="12"/>
                <w:b w:val="1"/>
                <w:bCs w:val="1"/>
                <w:color w:val="auto"/>
              </w:rPr>
              <w:t>2018</w:t>
            </w:r>
          </w:p>
        </w:tc>
        <w:tc>
          <w:tcPr>
            <w:tcW w:w="38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7"/>
              <w:spacing w:after="0"/>
              <w:rPr>
                <w:sz w:val="20"/>
                <w:szCs w:val="20"/>
                <w:color w:val="auto"/>
              </w:rPr>
            </w:pPr>
            <w:r>
              <w:rPr>
                <w:rFonts w:ascii="Arial" w:cs="Arial" w:eastAsia="Arial" w:hAnsi="Arial"/>
                <w:sz w:val="12"/>
                <w:szCs w:val="12"/>
                <w:b w:val="1"/>
                <w:bCs w:val="1"/>
                <w:color w:val="auto"/>
              </w:rPr>
              <w:t>2017</w:t>
            </w:r>
          </w:p>
        </w:tc>
        <w:tc>
          <w:tcPr>
            <w:tcW w:w="3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88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Underwriting gain (loss):</w:t>
            </w:r>
          </w:p>
        </w:tc>
        <w:tc>
          <w:tcPr>
            <w:tcW w:w="7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840" w:type="dxa"/>
            <w:vAlign w:val="bottom"/>
          </w:tcPr>
          <w:p>
            <w:pPr>
              <w:ind w:left="120"/>
              <w:spacing w:after="0"/>
              <w:rPr>
                <w:sz w:val="20"/>
                <w:szCs w:val="20"/>
                <w:color w:val="auto"/>
              </w:rPr>
            </w:pPr>
            <w:r>
              <w:rPr>
                <w:rFonts w:ascii="Arial" w:cs="Arial" w:eastAsia="Arial" w:hAnsi="Arial"/>
                <w:sz w:val="12"/>
                <w:szCs w:val="12"/>
                <w:color w:val="auto"/>
              </w:rPr>
              <w:t>Private passenger auto</w:t>
            </w:r>
          </w:p>
        </w:tc>
        <w:tc>
          <w:tcPr>
            <w:tcW w:w="780" w:type="dxa"/>
            <w:vAlign w:val="bottom"/>
          </w:tcPr>
          <w:p>
            <w:pPr>
              <w:jc w:val="right"/>
              <w:ind w:right="665"/>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(284)</w:t>
            </w:r>
          </w:p>
        </w:tc>
        <w:tc>
          <w:tcPr>
            <w:tcW w:w="740" w:type="dxa"/>
            <w:vAlign w:val="bottom"/>
          </w:tcPr>
          <w:p>
            <w:pPr>
              <w:jc w:val="right"/>
              <w:ind w:right="627"/>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(1,684)</w:t>
            </w:r>
          </w:p>
        </w:tc>
        <w:tc>
          <w:tcPr>
            <w:tcW w:w="0" w:type="dxa"/>
            <w:vAlign w:val="bottom"/>
          </w:tcPr>
          <w:p>
            <w:pPr>
              <w:spacing w:after="0"/>
              <w:rPr>
                <w:sz w:val="1"/>
                <w:szCs w:val="1"/>
                <w:color w:val="auto"/>
              </w:rPr>
            </w:pPr>
          </w:p>
        </w:tc>
      </w:tr>
      <w:tr>
        <w:trPr>
          <w:trHeight w:val="144"/>
        </w:trPr>
        <w:tc>
          <w:tcPr>
            <w:tcW w:w="88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Non-standard auto</w:t>
            </w:r>
          </w:p>
        </w:tc>
        <w:tc>
          <w:tcPr>
            <w:tcW w:w="7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(395)</w:t>
            </w:r>
          </w:p>
        </w:tc>
        <w:tc>
          <w:tcPr>
            <w:tcW w:w="7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(1,090)</w:t>
            </w:r>
          </w:p>
        </w:tc>
        <w:tc>
          <w:tcPr>
            <w:tcW w:w="0" w:type="dxa"/>
            <w:vAlign w:val="bottom"/>
          </w:tcPr>
          <w:p>
            <w:pPr>
              <w:spacing w:after="0"/>
              <w:rPr>
                <w:sz w:val="1"/>
                <w:szCs w:val="1"/>
                <w:color w:val="auto"/>
              </w:rPr>
            </w:pPr>
          </w:p>
        </w:tc>
      </w:tr>
      <w:tr>
        <w:trPr>
          <w:trHeight w:val="144"/>
        </w:trPr>
        <w:tc>
          <w:tcPr>
            <w:tcW w:w="8840" w:type="dxa"/>
            <w:vAlign w:val="bottom"/>
          </w:tcPr>
          <w:p>
            <w:pPr>
              <w:ind w:left="120"/>
              <w:spacing w:after="0"/>
              <w:rPr>
                <w:sz w:val="20"/>
                <w:szCs w:val="20"/>
                <w:color w:val="auto"/>
              </w:rPr>
            </w:pPr>
            <w:r>
              <w:rPr>
                <w:rFonts w:ascii="Arial" w:cs="Arial" w:eastAsia="Arial" w:hAnsi="Arial"/>
                <w:sz w:val="12"/>
                <w:szCs w:val="12"/>
                <w:color w:val="auto"/>
              </w:rPr>
              <w:t>Home and farm</w:t>
            </w:r>
          </w:p>
        </w:tc>
        <w:tc>
          <w:tcPr>
            <w:tcW w:w="78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2"/>
                <w:szCs w:val="12"/>
                <w:color w:val="auto"/>
              </w:rPr>
              <w:t>(1,202)</w:t>
            </w:r>
          </w:p>
        </w:tc>
        <w:tc>
          <w:tcPr>
            <w:tcW w:w="74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(1,071)</w:t>
            </w:r>
          </w:p>
        </w:tc>
        <w:tc>
          <w:tcPr>
            <w:tcW w:w="0" w:type="dxa"/>
            <w:vAlign w:val="bottom"/>
          </w:tcPr>
          <w:p>
            <w:pPr>
              <w:spacing w:after="0"/>
              <w:rPr>
                <w:sz w:val="1"/>
                <w:szCs w:val="1"/>
                <w:color w:val="auto"/>
              </w:rPr>
            </w:pPr>
          </w:p>
        </w:tc>
      </w:tr>
      <w:tr>
        <w:trPr>
          <w:trHeight w:val="144"/>
        </w:trPr>
        <w:tc>
          <w:tcPr>
            <w:tcW w:w="88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Crop</w:t>
            </w:r>
          </w:p>
        </w:tc>
        <w:tc>
          <w:tcPr>
            <w:tcW w:w="7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3,569</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3,812</w:t>
            </w:r>
          </w:p>
        </w:tc>
        <w:tc>
          <w:tcPr>
            <w:tcW w:w="0" w:type="dxa"/>
            <w:vAlign w:val="bottom"/>
          </w:tcPr>
          <w:p>
            <w:pPr>
              <w:spacing w:after="0"/>
              <w:rPr>
                <w:sz w:val="1"/>
                <w:szCs w:val="1"/>
                <w:color w:val="auto"/>
              </w:rPr>
            </w:pPr>
          </w:p>
        </w:tc>
      </w:tr>
      <w:tr>
        <w:trPr>
          <w:trHeight w:val="153"/>
        </w:trPr>
        <w:tc>
          <w:tcPr>
            <w:tcW w:w="8840" w:type="dxa"/>
            <w:vAlign w:val="bottom"/>
          </w:tcPr>
          <w:p>
            <w:pPr>
              <w:ind w:left="120"/>
              <w:spacing w:after="0"/>
              <w:rPr>
                <w:sz w:val="20"/>
                <w:szCs w:val="20"/>
                <w:color w:val="auto"/>
              </w:rPr>
            </w:pPr>
            <w:r>
              <w:rPr>
                <w:rFonts w:ascii="Arial" w:cs="Arial" w:eastAsia="Arial" w:hAnsi="Arial"/>
                <w:sz w:val="12"/>
                <w:szCs w:val="12"/>
                <w:color w:val="auto"/>
              </w:rPr>
              <w:t>All other</w:t>
            </w:r>
          </w:p>
        </w:tc>
        <w:tc>
          <w:tcPr>
            <w:tcW w:w="7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1,852</w:t>
            </w: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3,100</w:t>
            </w:r>
          </w:p>
        </w:tc>
        <w:tc>
          <w:tcPr>
            <w:tcW w:w="0" w:type="dxa"/>
            <w:vAlign w:val="bottom"/>
          </w:tcPr>
          <w:p>
            <w:pPr>
              <w:spacing w:after="0"/>
              <w:rPr>
                <w:sz w:val="1"/>
                <w:szCs w:val="1"/>
                <w:color w:val="auto"/>
              </w:rPr>
            </w:pPr>
          </w:p>
        </w:tc>
      </w:tr>
      <w:tr>
        <w:trPr>
          <w:trHeight w:val="20"/>
        </w:trPr>
        <w:tc>
          <w:tcPr>
            <w:tcW w:w="8840" w:type="dxa"/>
            <w:vAlign w:val="bottom"/>
            <w:vMerge w:val="restart"/>
            <w:shd w:val="clear" w:color="auto" w:fill="CCEEFF"/>
          </w:tcPr>
          <w:p>
            <w:pPr>
              <w:ind w:left="260"/>
              <w:spacing w:after="0"/>
              <w:rPr>
                <w:sz w:val="20"/>
                <w:szCs w:val="20"/>
                <w:color w:val="auto"/>
              </w:rPr>
            </w:pPr>
            <w:r>
              <w:rPr>
                <w:rFonts w:ascii="Arial" w:cs="Arial" w:eastAsia="Arial" w:hAnsi="Arial"/>
                <w:sz w:val="12"/>
                <w:szCs w:val="12"/>
                <w:color w:val="auto"/>
              </w:rPr>
              <w:t>Total underwriting gain</w:t>
            </w: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vMerge w:val="continue"/>
            <w:shd w:val="clear" w:color="auto" w:fill="CCEEFF"/>
          </w:tcPr>
          <w:p>
            <w:pPr>
              <w:spacing w:after="0"/>
              <w:rPr>
                <w:sz w:val="12"/>
                <w:szCs w:val="12"/>
                <w:color w:val="auto"/>
              </w:rPr>
            </w:pPr>
          </w:p>
        </w:tc>
        <w:tc>
          <w:tcPr>
            <w:tcW w:w="780" w:type="dxa"/>
            <w:vAlign w:val="bottom"/>
            <w:shd w:val="clear" w:color="auto" w:fill="CCEEFF"/>
          </w:tcPr>
          <w:p>
            <w:pPr>
              <w:jc w:val="right"/>
              <w:ind w:right="665"/>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3,540</w:t>
            </w: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27"/>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3,067</w:t>
            </w:r>
          </w:p>
        </w:tc>
        <w:tc>
          <w:tcPr>
            <w:tcW w:w="0" w:type="dxa"/>
            <w:vAlign w:val="bottom"/>
          </w:tcPr>
          <w:p>
            <w:pPr>
              <w:spacing w:after="0"/>
              <w:rPr>
                <w:sz w:val="1"/>
                <w:szCs w:val="1"/>
                <w:color w:val="auto"/>
              </w:rPr>
            </w:pPr>
          </w:p>
        </w:tc>
      </w:tr>
      <w:tr>
        <w:trPr>
          <w:trHeight w:val="27"/>
        </w:trPr>
        <w:tc>
          <w:tcPr>
            <w:tcW w:w="884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420"/>
        <w:spacing w:after="0"/>
        <w:rPr>
          <w:sz w:val="20"/>
          <w:szCs w:val="20"/>
          <w:color w:val="auto"/>
        </w:rPr>
      </w:pPr>
      <w:r>
        <w:rPr>
          <w:rFonts w:ascii="Arial" w:cs="Arial" w:eastAsia="Arial" w:hAnsi="Arial"/>
          <w:sz w:val="10"/>
          <w:szCs w:val="10"/>
          <w:color w:val="auto"/>
        </w:rPr>
        <w:t>The underwriting results for our private passenger auto and non-standard auto businesses improved significantly year-over-year, partially offset by lower underwriting results in home and farm business and our all other segments.</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Strategic pricing and underwriting actions implemented across the personal lines of business throughout 2017 helped to improve the underlying profitability of those lines in the first half of 2018.</w:t>
      </w:r>
    </w:p>
    <w:p>
      <w:pPr>
        <w:spacing w:after="0" w:line="114" w:lineRule="exact"/>
        <w:rPr>
          <w:sz w:val="20"/>
          <w:szCs w:val="20"/>
          <w:color w:val="auto"/>
        </w:rPr>
      </w:pPr>
    </w:p>
    <w:p>
      <w:pPr>
        <w:ind w:right="600" w:firstLine="432"/>
        <w:spacing w:after="0" w:line="276" w:lineRule="auto"/>
        <w:rPr>
          <w:sz w:val="20"/>
          <w:szCs w:val="20"/>
          <w:color w:val="auto"/>
        </w:rPr>
      </w:pPr>
      <w:r>
        <w:rPr>
          <w:rFonts w:ascii="Arial" w:cs="Arial" w:eastAsia="Arial" w:hAnsi="Arial"/>
          <w:sz w:val="12"/>
          <w:szCs w:val="12"/>
          <w:color w:val="auto"/>
        </w:rPr>
        <w:t>Rate increases and other underwriting actions on our non-standard auto business reduced the underwriting loss considerably from a year ago. Fee income attributable to this segment is a key component in measuring its profitability. Fee income on this business was $651 and $526 for the six months ended June 30, 2018 and 2017, respectively.</w:t>
      </w:r>
    </w:p>
    <w:p>
      <w:pPr>
        <w:spacing w:after="0" w:line="97" w:lineRule="exact"/>
        <w:rPr>
          <w:sz w:val="20"/>
          <w:szCs w:val="20"/>
          <w:color w:val="auto"/>
        </w:rPr>
      </w:pPr>
    </w:p>
    <w:p>
      <w:pPr>
        <w:jc w:val="both"/>
        <w:ind w:right="40" w:firstLine="432"/>
        <w:spacing w:after="0" w:line="263" w:lineRule="auto"/>
        <w:rPr>
          <w:sz w:val="20"/>
          <w:szCs w:val="20"/>
          <w:color w:val="auto"/>
        </w:rPr>
      </w:pPr>
      <w:r>
        <w:rPr>
          <w:rFonts w:ascii="Arial" w:cs="Arial" w:eastAsia="Arial" w:hAnsi="Arial"/>
          <w:sz w:val="12"/>
          <w:szCs w:val="12"/>
          <w:color w:val="auto"/>
        </w:rPr>
        <w:t>The underwriting results on our crop insurance business are lower than a year ago. In 2017, the higher loss ratio caused by the early season drought conditions in western North Dakota were offset by a high level of deferred policy acquisition costs. In 2018, normal loss and expense ratios, including a lower level of deferred policy acquisition costs based on updated assumptions in our methodology, equates to a combined ratio that is slightly higher than last year. The all other segment returned to more normal levels in the first six months of 2018 after a favorable first half of 2017.</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Fee and Other Income</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1"/>
          <w:szCs w:val="11"/>
          <w:color w:val="auto"/>
        </w:rPr>
        <w:t>NI Holdings had fee and other income of $847 for the six months ended June 30, 2018, compared to $668 for the six months ended June 30, 2017. The majority of fee income is attributable to the non-standard auto business.</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2340" cy="17145"/>
                    </a:xfrm>
                    <a:prstGeom prst="rect">
                      <a:avLst/>
                    </a:prstGeom>
                    <a:noFill/>
                  </pic:spPr>
                </pic:pic>
              </a:graphicData>
            </a:graphic>
          </wp:anchor>
        </w:drawing>
      </w:r>
    </w:p>
    <w:p>
      <w:pPr>
        <w:sectPr>
          <w:pgSz w:w="11900" w:h="16838" w:orient="portrait"/>
          <w:cols w:equalWidth="0" w:num="1">
            <w:col w:w="11480"/>
          </w:cols>
          <w:pgMar w:left="220" w:top="203" w:right="19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8820" w:type="dxa"/>
            <w:vAlign w:val="bottom"/>
            <w:gridSpan w:val="2"/>
          </w:tcPr>
          <w:p>
            <w:pPr>
              <w:spacing w:after="0"/>
              <w:rPr>
                <w:rFonts w:ascii="Arial" w:cs="Arial" w:eastAsia="Arial" w:hAnsi="Arial"/>
                <w:sz w:val="12"/>
                <w:szCs w:val="12"/>
                <w:i w:val="1"/>
                <w:iCs w:val="1"/>
                <w:color w:val="0000EE"/>
              </w:rPr>
            </w:pPr>
            <w:hyperlink w:anchor="page2">
              <w:r>
                <w:rPr>
                  <w:rFonts w:ascii="Arial" w:cs="Arial" w:eastAsia="Arial" w:hAnsi="Arial"/>
                  <w:sz w:val="12"/>
                  <w:szCs w:val="12"/>
                  <w:i w:val="1"/>
                  <w:iCs w:val="1"/>
                  <w:color w:val="0000EE"/>
                </w:rPr>
                <w:t>Table of Contents</w:t>
              </w:r>
            </w:hyperlink>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820" w:type="dxa"/>
            <w:vAlign w:val="bottom"/>
            <w:gridSpan w:val="2"/>
          </w:tcPr>
          <w:p>
            <w:pPr>
              <w:ind w:left="400"/>
              <w:spacing w:after="0"/>
              <w:rPr>
                <w:sz w:val="20"/>
                <w:szCs w:val="20"/>
                <w:color w:val="auto"/>
              </w:rPr>
            </w:pPr>
            <w:r>
              <w:rPr>
                <w:rFonts w:ascii="Arial" w:cs="Arial" w:eastAsia="Arial" w:hAnsi="Arial"/>
                <w:sz w:val="12"/>
                <w:szCs w:val="12"/>
                <w:i w:val="1"/>
                <w:iCs w:val="1"/>
                <w:color w:val="auto"/>
              </w:rPr>
              <w:t>Net Investment Income</w:t>
            </w: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820" w:type="dxa"/>
            <w:vAlign w:val="bottom"/>
            <w:gridSpan w:val="2"/>
          </w:tcPr>
          <w:p>
            <w:pPr>
              <w:ind w:left="400"/>
              <w:spacing w:after="0"/>
              <w:rPr>
                <w:sz w:val="20"/>
                <w:szCs w:val="20"/>
                <w:color w:val="auto"/>
              </w:rPr>
            </w:pPr>
            <w:r>
              <w:rPr>
                <w:rFonts w:ascii="Arial" w:cs="Arial" w:eastAsia="Arial" w:hAnsi="Arial"/>
                <w:sz w:val="12"/>
                <w:szCs w:val="12"/>
                <w:color w:val="auto"/>
                <w:w w:val="95"/>
              </w:rPr>
              <w:t>The following table sets forth our average cash and invested assets, net investment income, and return on average cash and invested assets for the reported periods:</w:t>
            </w: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2120" w:type="dxa"/>
            <w:vAlign w:val="bottom"/>
            <w:tcBorders>
              <w:bottom w:val="single" w:sz="8" w:color="auto"/>
            </w:tcBorders>
            <w:gridSpan w:val="4"/>
          </w:tcPr>
          <w:p>
            <w:pPr>
              <w:jc w:val="right"/>
              <w:ind w:right="107"/>
              <w:spacing w:after="0"/>
              <w:rPr>
                <w:sz w:val="20"/>
                <w:szCs w:val="20"/>
                <w:color w:val="auto"/>
              </w:rPr>
            </w:pPr>
            <w:r>
              <w:rPr>
                <w:rFonts w:ascii="Arial" w:cs="Arial" w:eastAsia="Arial" w:hAnsi="Arial"/>
                <w:sz w:val="12"/>
                <w:szCs w:val="12"/>
                <w:b w:val="1"/>
                <w:bCs w:val="1"/>
                <w:color w:val="auto"/>
              </w:rPr>
              <w:t>Six Months Ended June 30,</w:t>
            </w:r>
          </w:p>
        </w:tc>
        <w:tc>
          <w:tcPr>
            <w:tcW w:w="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79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2018</w:t>
            </w:r>
          </w:p>
        </w:tc>
        <w:tc>
          <w:tcPr>
            <w:tcW w:w="4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2017</w:t>
            </w:r>
          </w:p>
        </w:tc>
        <w:tc>
          <w:tcPr>
            <w:tcW w:w="4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Average cash and invested assets</w:t>
            </w:r>
          </w:p>
        </w:tc>
        <w:tc>
          <w:tcPr>
            <w:tcW w:w="740" w:type="dxa"/>
            <w:vAlign w:val="bottom"/>
            <w:shd w:val="clear" w:color="auto" w:fill="CCEEFF"/>
          </w:tcPr>
          <w:p>
            <w:pPr>
              <w:jc w:val="right"/>
              <w:ind w:right="626"/>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319,093</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07"/>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87"/>
              </w:rPr>
              <w:t>255,611</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40" w:type="dxa"/>
            <w:vAlign w:val="bottom"/>
            <w:tcBorders>
              <w:top w:val="single" w:sz="8" w:color="CCEEFF"/>
            </w:tcBorders>
          </w:tcPr>
          <w:p>
            <w:pPr>
              <w:spacing w:after="0"/>
              <w:rPr>
                <w:sz w:val="12"/>
                <w:szCs w:val="12"/>
                <w:color w:val="auto"/>
              </w:rPr>
            </w:pPr>
          </w:p>
        </w:tc>
        <w:tc>
          <w:tcPr>
            <w:tcW w:w="798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Gross investment income</w:t>
            </w:r>
          </w:p>
        </w:tc>
        <w:tc>
          <w:tcPr>
            <w:tcW w:w="740" w:type="dxa"/>
            <w:vAlign w:val="bottom"/>
            <w:shd w:val="clear" w:color="auto" w:fill="CCEEFF"/>
          </w:tcPr>
          <w:p>
            <w:pPr>
              <w:jc w:val="right"/>
              <w:ind w:right="626"/>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3,989</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07"/>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3,291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Investment expenses</w:t>
            </w:r>
          </w:p>
        </w:tc>
        <w:tc>
          <w:tcPr>
            <w:tcW w:w="7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1,097</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989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gridSpan w:val="2"/>
            <w:vMerge w:val="restart"/>
            <w:shd w:val="clear" w:color="auto" w:fill="CCEEFF"/>
          </w:tcPr>
          <w:p>
            <w:pPr>
              <w:ind w:left="60"/>
              <w:spacing w:after="0"/>
              <w:rPr>
                <w:sz w:val="20"/>
                <w:szCs w:val="20"/>
                <w:color w:val="auto"/>
              </w:rPr>
            </w:pPr>
            <w:r>
              <w:rPr>
                <w:rFonts w:ascii="Arial" w:cs="Arial" w:eastAsia="Arial" w:hAnsi="Arial"/>
                <w:sz w:val="12"/>
                <w:szCs w:val="12"/>
                <w:color w:val="auto"/>
              </w:rPr>
              <w:t>Net investment income</w:t>
            </w: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gridSpan w:val="2"/>
            <w:vMerge w:val="continue"/>
            <w:shd w:val="clear" w:color="auto" w:fill="CCEEFF"/>
          </w:tcPr>
          <w:p>
            <w:pPr>
              <w:spacing w:after="0"/>
              <w:rPr>
                <w:sz w:val="12"/>
                <w:szCs w:val="12"/>
                <w:color w:val="auto"/>
              </w:rPr>
            </w:pPr>
          </w:p>
        </w:tc>
        <w:tc>
          <w:tcPr>
            <w:tcW w:w="740" w:type="dxa"/>
            <w:vAlign w:val="bottom"/>
            <w:shd w:val="clear" w:color="auto" w:fill="CCEEFF"/>
          </w:tcPr>
          <w:p>
            <w:pPr>
              <w:jc w:val="right"/>
              <w:ind w:right="626"/>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2,892</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07"/>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2,302</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40" w:type="dxa"/>
            <w:vAlign w:val="bottom"/>
            <w:tcBorders>
              <w:top w:val="single" w:sz="8" w:color="CCEEFF"/>
            </w:tcBorders>
          </w:tcPr>
          <w:p>
            <w:pPr>
              <w:spacing w:after="0"/>
              <w:rPr>
                <w:sz w:val="12"/>
                <w:szCs w:val="12"/>
                <w:color w:val="auto"/>
              </w:rPr>
            </w:pPr>
          </w:p>
        </w:tc>
        <w:tc>
          <w:tcPr>
            <w:tcW w:w="798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Gross return on average cash and invested assets</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2.5%</w:t>
            </w:r>
          </w:p>
        </w:tc>
        <w:tc>
          <w:tcPr>
            <w:tcW w:w="7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Net return on average cash and invested assets</w:t>
            </w:r>
          </w:p>
        </w:tc>
        <w:tc>
          <w:tcPr>
            <w:tcW w:w="740" w:type="dxa"/>
            <w:vAlign w:val="bottom"/>
          </w:tcPr>
          <w:p>
            <w:pPr>
              <w:spacing w:after="0"/>
              <w:rPr>
                <w:sz w:val="13"/>
                <w:szCs w:val="1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1.8%</w:t>
            </w:r>
          </w:p>
        </w:tc>
        <w:tc>
          <w:tcPr>
            <w:tcW w:w="72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1.8%</w:t>
            </w:r>
          </w:p>
        </w:tc>
        <w:tc>
          <w:tcPr>
            <w:tcW w:w="0" w:type="dxa"/>
            <w:vAlign w:val="bottom"/>
          </w:tcPr>
          <w:p>
            <w:pPr>
              <w:spacing w:after="0"/>
              <w:rPr>
                <w:sz w:val="1"/>
                <w:szCs w:val="1"/>
                <w:color w:val="auto"/>
              </w:rPr>
            </w:pPr>
          </w:p>
        </w:tc>
      </w:tr>
    </w:tbl>
    <w:p>
      <w:pPr>
        <w:spacing w:after="0" w:line="243" w:lineRule="exact"/>
        <w:rPr>
          <w:sz w:val="20"/>
          <w:szCs w:val="20"/>
          <w:color w:val="auto"/>
        </w:rPr>
      </w:pPr>
    </w:p>
    <w:p>
      <w:pPr>
        <w:jc w:val="both"/>
        <w:ind w:right="120" w:firstLine="432"/>
        <w:spacing w:after="0" w:line="263" w:lineRule="auto"/>
        <w:rPr>
          <w:sz w:val="20"/>
          <w:szCs w:val="20"/>
          <w:color w:val="auto"/>
        </w:rPr>
      </w:pPr>
      <w:r>
        <w:rPr>
          <w:rFonts w:ascii="Arial" w:cs="Arial" w:eastAsia="Arial" w:hAnsi="Arial"/>
          <w:sz w:val="12"/>
          <w:szCs w:val="12"/>
          <w:color w:val="auto"/>
        </w:rPr>
        <w:t>Investment income, net of investment expense, increased $590 for the six months ended June 30, 2018 compared to 2017. This increase is attributable to an increase in invested assets caused by the receipt of the proceeds of over $90 million from the Company’s initial public offering in March 2017. The weighted average gross yield on invested assets decreased slightly to 2.5% in 2018 compared to 2.6% in 2017, due to the significant increase in the average cash and invested assets from 2017 to 2018.</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Net Realized Capital Gain on Investments</w:t>
      </w:r>
    </w:p>
    <w:p>
      <w:pPr>
        <w:spacing w:after="0" w:line="132" w:lineRule="exact"/>
        <w:rPr>
          <w:sz w:val="20"/>
          <w:szCs w:val="20"/>
          <w:color w:val="auto"/>
        </w:rPr>
      </w:pPr>
    </w:p>
    <w:p>
      <w:pPr>
        <w:ind w:right="340" w:firstLine="432"/>
        <w:spacing w:after="0" w:line="276" w:lineRule="auto"/>
        <w:rPr>
          <w:sz w:val="20"/>
          <w:szCs w:val="20"/>
          <w:color w:val="auto"/>
        </w:rPr>
      </w:pPr>
      <w:r>
        <w:rPr>
          <w:rFonts w:ascii="Arial" w:cs="Arial" w:eastAsia="Arial" w:hAnsi="Arial"/>
          <w:sz w:val="12"/>
          <w:szCs w:val="12"/>
          <w:color w:val="auto"/>
        </w:rPr>
        <w:t>NI Holdings had realized capital gains on investment of $719 for the six months ended June 30, 2018, compared to $955 for the six months ended June 30, 2017. The Company recorded $0 and $206 of other-than-temporary impairments in the six months ended June 30, 2018 and 2017, respectively.</w:t>
      </w:r>
    </w:p>
    <w:p>
      <w:pPr>
        <w:spacing w:after="0" w:line="88" w:lineRule="exact"/>
        <w:rPr>
          <w:sz w:val="20"/>
          <w:szCs w:val="20"/>
          <w:color w:val="auto"/>
        </w:rPr>
      </w:pPr>
    </w:p>
    <w:p>
      <w:pPr>
        <w:jc w:val="both"/>
        <w:ind w:right="40" w:firstLine="432"/>
        <w:spacing w:after="0" w:line="298" w:lineRule="auto"/>
        <w:rPr>
          <w:sz w:val="20"/>
          <w:szCs w:val="20"/>
          <w:color w:val="auto"/>
        </w:rPr>
      </w:pPr>
      <w:r>
        <w:rPr>
          <w:rFonts w:ascii="Arial" w:cs="Arial" w:eastAsia="Arial" w:hAnsi="Arial"/>
          <w:sz w:val="11"/>
          <w:szCs w:val="11"/>
          <w:color w:val="auto"/>
        </w:rPr>
        <w:t>The Company’s fixed income securities and equity securities are classified as available for sale because it will, from time to time, make sales of securities that are not impaired, consistent with our investment goals and policies. At June 30, 2018, the Company had net unrealized losses on fixed income securities of $2,990 and net unrealized gains on equity securities of $19,316. At December 31, 2017, the Company had net unrealized gains on fixed income securities of $1,780 and net unrealized gains on equity securities of $18,533. The decrease in the fair value of our fixed income securities is attributable to a general rise in the interest rate environment during the first six months of 2018.</w:t>
      </w:r>
    </w:p>
    <w:p>
      <w:pPr>
        <w:spacing w:after="0" w:line="78" w:lineRule="exact"/>
        <w:rPr>
          <w:sz w:val="20"/>
          <w:szCs w:val="20"/>
          <w:color w:val="auto"/>
        </w:rPr>
      </w:pPr>
    </w:p>
    <w:p>
      <w:pPr>
        <w:ind w:right="260" w:firstLine="432"/>
        <w:spacing w:after="0" w:line="323" w:lineRule="auto"/>
        <w:rPr>
          <w:sz w:val="20"/>
          <w:szCs w:val="20"/>
          <w:color w:val="auto"/>
        </w:rPr>
      </w:pPr>
      <w:r>
        <w:rPr>
          <w:rFonts w:ascii="Arial" w:cs="Arial" w:eastAsia="Arial" w:hAnsi="Arial"/>
          <w:sz w:val="11"/>
          <w:szCs w:val="11"/>
          <w:color w:val="auto"/>
        </w:rPr>
        <w:t>NI Holdings has evaluated each security in a loss position and taken into account the severity and duration of the impairment, the current rating on the bond, and the outlook for the issuer according to independent analysts. NI Holdings believes that the foregoing declines in fair value in its existing portfolio are most likely attributable to short-term market trends and there is no evidence that the Company will not recover the entire amortized cost basis.</w:t>
      </w:r>
    </w:p>
    <w:p>
      <w:pPr>
        <w:spacing w:after="0" w:line="74"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Income before Income Taxes</w:t>
      </w:r>
    </w:p>
    <w:p>
      <w:pPr>
        <w:spacing w:after="0" w:line="123"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For the six months ended June 30, 2018, NI Holdings had pre-tax income of $7,998 compared to pre-tax income of $6,992 for the six months ended June 30, 2017. The increase in pre-tax income was largely attributable to revenue growth in the private passenger auto and home and farm lines of business while maintaining a consistent overall combined ratio compared to a year ago.</w:t>
      </w:r>
    </w:p>
    <w:p>
      <w:pPr>
        <w:spacing w:after="0" w:line="88"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Income Taxes</w:t>
      </w:r>
    </w:p>
    <w:p>
      <w:pPr>
        <w:spacing w:after="0" w:line="132" w:lineRule="exact"/>
        <w:rPr>
          <w:sz w:val="20"/>
          <w:szCs w:val="20"/>
          <w:color w:val="auto"/>
        </w:rPr>
      </w:pPr>
    </w:p>
    <w:p>
      <w:pPr>
        <w:ind w:right="100" w:firstLine="432"/>
        <w:spacing w:after="0" w:line="276" w:lineRule="auto"/>
        <w:rPr>
          <w:sz w:val="20"/>
          <w:szCs w:val="20"/>
          <w:color w:val="auto"/>
        </w:rPr>
      </w:pPr>
      <w:r>
        <w:rPr>
          <w:rFonts w:ascii="Arial" w:cs="Arial" w:eastAsia="Arial" w:hAnsi="Arial"/>
          <w:sz w:val="12"/>
          <w:szCs w:val="12"/>
          <w:color w:val="auto"/>
        </w:rPr>
        <w:t>NI Holdings recorded income tax expense of $1,590 for the six months ended June 30, 2018, compared to $2,126 of income tax expense for the six months ended June 30, 2017. Our effective tax rate for the first half of 2018 was 19.9% compared to an effective tax rate of 30.4% for the same period of 2017.</w:t>
      </w:r>
    </w:p>
    <w:p>
      <w:pPr>
        <w:spacing w:after="0" w:line="88" w:lineRule="exact"/>
        <w:rPr>
          <w:sz w:val="20"/>
          <w:szCs w:val="20"/>
          <w:color w:val="auto"/>
        </w:rPr>
      </w:pPr>
    </w:p>
    <w:p>
      <w:pPr>
        <w:ind w:right="120" w:firstLine="432"/>
        <w:spacing w:after="0" w:line="290" w:lineRule="auto"/>
        <w:rPr>
          <w:sz w:val="20"/>
          <w:szCs w:val="20"/>
          <w:color w:val="auto"/>
        </w:rPr>
      </w:pPr>
      <w:r>
        <w:rPr>
          <w:rFonts w:ascii="Arial" w:cs="Arial" w:eastAsia="Arial" w:hAnsi="Arial"/>
          <w:sz w:val="11"/>
          <w:szCs w:val="11"/>
          <w:color w:val="auto"/>
        </w:rPr>
        <w:t>Due to recent changes in federal tax laws, the corporate income tax rate decreased from a maximum of 35% in 2017 to a flat 21% for tax years 2018 and beyond. Accounting guidance requires that companies re-measure existing deferred income tax assets (including loss carryforwards) and liabilities in the period of enactment of a tax rate change. The guidance also requires any change to a previously recorded valuation allowance as a result of re-measuring existing temporary differences and loss carryforwards to be recognized in the period of enactment. The resulting impact on our deferred income taxes and the related valuation allowance was recognized in the fourth quarter of 2017. The valuation allowance against certain deferred income tax assets remained at $628 as of June 30, 2018, the same amount as December 31, 2017.</w:t>
      </w:r>
    </w:p>
    <w:p>
      <w:pPr>
        <w:spacing w:after="0" w:line="109"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2340" cy="17145"/>
                    </a:xfrm>
                    <a:prstGeom prst="rect">
                      <a:avLst/>
                    </a:prstGeom>
                    <a:noFill/>
                  </pic:spPr>
                </pic:pic>
              </a:graphicData>
            </a:graphic>
          </wp:anchor>
        </w:drawing>
      </w:r>
    </w:p>
    <w:p>
      <w:pPr>
        <w:sectPr>
          <w:pgSz w:w="11900" w:h="16838" w:orient="portrait"/>
          <w:cols w:equalWidth="0" w:num="1">
            <w:col w:w="11480"/>
          </w:cols>
          <w:pgMar w:left="220" w:top="191" w:right="199" w:bottom="1440" w:gutter="0" w:footer="0" w:header="0"/>
        </w:sectPr>
      </w:pPr>
    </w:p>
    <w:bookmarkStart w:id="54" w:name="page55"/>
    <w:bookmarkEnd w:id="54"/>
    <w:p>
      <w:pPr>
        <w:ind w:left="2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294"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Net Income</w:t>
      </w:r>
    </w:p>
    <w:p>
      <w:pPr>
        <w:spacing w:after="0" w:line="123" w:lineRule="exact"/>
        <w:rPr>
          <w:sz w:val="20"/>
          <w:szCs w:val="20"/>
          <w:color w:val="auto"/>
        </w:rPr>
      </w:pPr>
    </w:p>
    <w:p>
      <w:pPr>
        <w:ind w:right="160" w:firstLine="432"/>
        <w:spacing w:after="0" w:line="276" w:lineRule="auto"/>
        <w:rPr>
          <w:sz w:val="20"/>
          <w:szCs w:val="20"/>
          <w:color w:val="auto"/>
        </w:rPr>
      </w:pPr>
      <w:r>
        <w:rPr>
          <w:rFonts w:ascii="Arial" w:cs="Arial" w:eastAsia="Arial" w:hAnsi="Arial"/>
          <w:sz w:val="12"/>
          <w:szCs w:val="12"/>
          <w:color w:val="auto"/>
        </w:rPr>
        <w:t>For the six months ended June 30, 2018, NI Holdings had net income after non-controlling interest of $6,348 compared to net income after non-controlling interest of $4,818 for 2017. This increase in net income was primarily attributable to the revenue growth in our personal lines of business as well as the lower corporate income tax rate.</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Return on Average Equity</w:t>
      </w:r>
    </w:p>
    <w:p>
      <w:pPr>
        <w:spacing w:after="0" w:line="123"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For the six months ended June 30, 2018, NI Holdings had annualized return on average equity, after non-controlling interest, of 5.0% compared to annualized return on average equity, after non-controlling interest, of 5.0% for the six months ended June 30, 2017. Average equity is calculated as the average between beginning and ending equity excluding non-controlling interest for the period.</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2340" cy="17145"/>
                    </a:xfrm>
                    <a:prstGeom prst="rect">
                      <a:avLst/>
                    </a:prstGeom>
                    <a:noFill/>
                  </pic:spPr>
                </pic:pic>
              </a:graphicData>
            </a:graphic>
          </wp:anchor>
        </w:drawing>
      </w:r>
    </w:p>
    <w:p>
      <w:pPr>
        <w:sectPr>
          <w:pgSz w:w="11900" w:h="16838" w:orient="portrait"/>
          <w:cols w:equalWidth="0" w:num="1">
            <w:col w:w="11420"/>
          </w:cols>
          <w:pgMar w:left="220" w:top="203" w:right="259" w:bottom="1440" w:gutter="0" w:footer="0" w:header="0"/>
        </w:sectPr>
      </w:pPr>
    </w:p>
    <w:bookmarkStart w:id="55" w:name="page56"/>
    <w:bookmarkEnd w:id="55"/>
    <w:p>
      <w:pPr>
        <w:ind w:left="20"/>
        <w:spacing w:after="0"/>
        <w:rPr>
          <w:rFonts w:ascii="Arial" w:cs="Arial" w:eastAsia="Arial" w:hAnsi="Arial"/>
          <w:sz w:val="10"/>
          <w:szCs w:val="10"/>
          <w:i w:val="1"/>
          <w:iCs w:val="1"/>
          <w:u w:val="single" w:color="auto"/>
          <w:color w:val="0000EE"/>
        </w:rPr>
      </w:pPr>
      <w:hyperlink w:anchor="page2">
        <w:r>
          <w:rPr>
            <w:rFonts w:ascii="Arial" w:cs="Arial" w:eastAsia="Arial" w:hAnsi="Arial"/>
            <w:sz w:val="10"/>
            <w:szCs w:val="10"/>
            <w:i w:val="1"/>
            <w:iCs w:val="1"/>
            <w:u w:val="single" w:color="auto"/>
            <w:color w:val="0000EE"/>
          </w:rPr>
          <w:t>Table of Contents</w:t>
        </w:r>
      </w:hyperlink>
    </w:p>
    <w:p>
      <w:pPr>
        <w:sectPr>
          <w:pgSz w:w="11900" w:h="16838" w:orient="portrait"/>
          <w:cols w:equalWidth="0" w:num="1">
            <w:col w:w="11480"/>
          </w:cols>
          <w:pgMar w:left="220" w:top="203" w:right="199" w:bottom="1440" w:gutter="0" w:footer="0" w:header="0"/>
        </w:sectPr>
      </w:pPr>
    </w:p>
    <w:p>
      <w:pPr>
        <w:spacing w:after="0" w:line="31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Position</w:t>
      </w:r>
    </w:p>
    <w:p>
      <w:pPr>
        <w:spacing w:after="0" w:line="127" w:lineRule="exact"/>
        <w:rPr>
          <w:sz w:val="20"/>
          <w:szCs w:val="20"/>
          <w:color w:val="auto"/>
        </w:rPr>
      </w:pPr>
    </w:p>
    <w:p>
      <w:pPr>
        <w:jc w:val="right"/>
        <w:ind w:right="4200"/>
        <w:spacing w:after="0"/>
        <w:rPr>
          <w:sz w:val="20"/>
          <w:szCs w:val="20"/>
          <w:color w:val="auto"/>
        </w:rPr>
      </w:pPr>
      <w:r>
        <w:rPr>
          <w:rFonts w:ascii="Arial" w:cs="Arial" w:eastAsia="Arial" w:hAnsi="Arial"/>
          <w:sz w:val="12"/>
          <w:szCs w:val="12"/>
          <w:color w:val="auto"/>
        </w:rPr>
        <w:t>The major components of NI Holdings’ financial position are as follows:</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Assets</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2"/>
          <w:szCs w:val="12"/>
          <w:color w:val="auto"/>
        </w:rPr>
        <w:t>Cash and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7292340" cy="971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2340" cy="971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2"/>
          <w:szCs w:val="12"/>
          <w:color w:val="auto"/>
        </w:rPr>
        <w:t>Premiums and agents’ balances receivable</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2"/>
          <w:szCs w:val="12"/>
          <w:color w:val="auto"/>
        </w:rPr>
        <w:t>Deferred policy acquisition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92340" cy="971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2340" cy="971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2"/>
          <w:szCs w:val="12"/>
          <w:color w:val="auto"/>
        </w:rPr>
        <w:t>Other assets</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292340" cy="1085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2340" cy="1085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140" w:type="dxa"/>
            <w:vAlign w:val="bottom"/>
          </w:tcPr>
          <w:p>
            <w:pPr>
              <w:spacing w:after="0"/>
              <w:rPr>
                <w:sz w:val="13"/>
                <w:szCs w:val="13"/>
                <w:color w:val="auto"/>
              </w:rPr>
            </w:pPr>
          </w:p>
        </w:tc>
        <w:tc>
          <w:tcPr>
            <w:tcW w:w="1260" w:type="dxa"/>
            <w:vAlign w:val="bottom"/>
            <w:gridSpan w:val="2"/>
          </w:tcPr>
          <w:p>
            <w:pPr>
              <w:ind w:left="100"/>
              <w:spacing w:after="0"/>
              <w:rPr>
                <w:sz w:val="20"/>
                <w:szCs w:val="20"/>
                <w:color w:val="auto"/>
              </w:rPr>
            </w:pPr>
            <w:r>
              <w:rPr>
                <w:rFonts w:ascii="Arial" w:cs="Arial" w:eastAsia="Arial" w:hAnsi="Arial"/>
                <w:sz w:val="12"/>
                <w:szCs w:val="12"/>
                <w:b w:val="1"/>
                <w:bCs w:val="1"/>
                <w:color w:val="auto"/>
              </w:rPr>
              <w:t>June 30, 2018</w:t>
            </w:r>
          </w:p>
        </w:tc>
        <w:tc>
          <w:tcPr>
            <w:tcW w:w="60" w:type="dxa"/>
            <w:vAlign w:val="bottom"/>
          </w:tcPr>
          <w:p>
            <w:pPr>
              <w:spacing w:after="0"/>
              <w:rPr>
                <w:sz w:val="13"/>
                <w:szCs w:val="13"/>
                <w:color w:val="auto"/>
              </w:rPr>
            </w:pPr>
          </w:p>
        </w:tc>
        <w:tc>
          <w:tcPr>
            <w:tcW w:w="1060" w:type="dxa"/>
            <w:vAlign w:val="bottom"/>
          </w:tcPr>
          <w:p>
            <w:pPr>
              <w:jc w:val="right"/>
              <w:ind w:right="20"/>
              <w:spacing w:after="0"/>
              <w:rPr>
                <w:sz w:val="20"/>
                <w:szCs w:val="20"/>
                <w:color w:val="auto"/>
              </w:rPr>
            </w:pPr>
            <w:r>
              <w:rPr>
                <w:rFonts w:ascii="Arial" w:cs="Arial" w:eastAsia="Arial" w:hAnsi="Arial"/>
                <w:sz w:val="12"/>
                <w:szCs w:val="12"/>
                <w:b w:val="1"/>
                <w:bCs w:val="1"/>
                <w:color w:val="auto"/>
                <w:w w:val="88"/>
              </w:rPr>
              <w:t>December 31, 2017</w:t>
            </w:r>
          </w:p>
        </w:tc>
      </w:tr>
      <w:tr>
        <w:trPr>
          <w:trHeight w:val="277"/>
        </w:trPr>
        <w:tc>
          <w:tcPr>
            <w:tcW w:w="14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324,301</w:t>
            </w:r>
          </w:p>
        </w:tc>
        <w:tc>
          <w:tcPr>
            <w:tcW w:w="240" w:type="dxa"/>
            <w:vAlign w:val="bottom"/>
          </w:tcPr>
          <w:p>
            <w:pPr>
              <w:spacing w:after="0"/>
              <w:rPr>
                <w:sz w:val="24"/>
                <w:szCs w:val="24"/>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313,885</w:t>
            </w:r>
          </w:p>
        </w:tc>
      </w:tr>
      <w:tr>
        <w:trPr>
          <w:trHeight w:val="153"/>
        </w:trPr>
        <w:tc>
          <w:tcPr>
            <w:tcW w:w="140" w:type="dxa"/>
            <w:vAlign w:val="bottom"/>
          </w:tcPr>
          <w:p>
            <w:pPr>
              <w:spacing w:after="0"/>
              <w:rPr>
                <w:sz w:val="13"/>
                <w:szCs w:val="1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74,175</w:t>
            </w:r>
          </w:p>
        </w:tc>
        <w:tc>
          <w:tcPr>
            <w:tcW w:w="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25,632</w:t>
            </w:r>
          </w:p>
        </w:tc>
      </w:tr>
      <w:tr>
        <w:trPr>
          <w:trHeight w:val="153"/>
        </w:trPr>
        <w:tc>
          <w:tcPr>
            <w:tcW w:w="140" w:type="dxa"/>
            <w:vAlign w:val="bottom"/>
          </w:tcPr>
          <w:p>
            <w:pPr>
              <w:spacing w:after="0"/>
              <w:rPr>
                <w:sz w:val="13"/>
                <w:szCs w:val="1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12,190</w:t>
            </w:r>
          </w:p>
        </w:tc>
        <w:tc>
          <w:tcPr>
            <w:tcW w:w="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8,859</w:t>
            </w:r>
          </w:p>
        </w:tc>
      </w:tr>
      <w:tr>
        <w:trPr>
          <w:trHeight w:val="162"/>
        </w:trPr>
        <w:tc>
          <w:tcPr>
            <w:tcW w:w="14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30,732</w:t>
            </w:r>
          </w:p>
        </w:tc>
        <w:tc>
          <w:tcPr>
            <w:tcW w:w="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28,612</w:t>
            </w:r>
          </w:p>
        </w:tc>
      </w:tr>
      <w:tr>
        <w:trPr>
          <w:trHeight w:val="149"/>
        </w:trPr>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441,398</w:t>
            </w:r>
          </w:p>
        </w:tc>
        <w:tc>
          <w:tcPr>
            <w:tcW w:w="2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376,988</w:t>
            </w:r>
          </w:p>
        </w:tc>
      </w:tr>
    </w:tbl>
    <w:p>
      <w:pPr>
        <w:spacing w:after="0" w:line="153" w:lineRule="exact"/>
        <w:rPr>
          <w:sz w:val="20"/>
          <w:szCs w:val="20"/>
          <w:color w:val="auto"/>
        </w:rPr>
      </w:pPr>
    </w:p>
    <w:p>
      <w:pPr>
        <w:sectPr>
          <w:pgSz w:w="11900" w:h="16838" w:orient="portrait"/>
          <w:cols w:equalWidth="0" w:num="2">
            <w:col w:w="8120" w:space="720"/>
            <w:col w:w="2640"/>
          </w:cols>
          <w:pgMar w:left="220" w:top="203" w:right="199" w:bottom="1440" w:gutter="0" w:footer="0" w:header="0"/>
          <w:type w:val="continuous"/>
        </w:sect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Liabilities</w:t>
            </w:r>
          </w:p>
        </w:tc>
        <w:tc>
          <w:tcPr>
            <w:tcW w:w="4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20" w:type="dxa"/>
            <w:vAlign w:val="bottom"/>
          </w:tcPr>
          <w:p>
            <w:pPr>
              <w:ind w:left="100"/>
              <w:spacing w:after="0"/>
              <w:rPr>
                <w:sz w:val="20"/>
                <w:szCs w:val="20"/>
                <w:color w:val="auto"/>
              </w:rPr>
            </w:pPr>
            <w:r>
              <w:rPr>
                <w:rFonts w:ascii="Arial" w:cs="Arial" w:eastAsia="Arial" w:hAnsi="Arial"/>
                <w:sz w:val="12"/>
                <w:szCs w:val="12"/>
                <w:color w:val="auto"/>
              </w:rPr>
              <w:t>Unpaid losses and loss adjustment expenses</w:t>
            </w:r>
          </w:p>
        </w:tc>
        <w:tc>
          <w:tcPr>
            <w:tcW w:w="420" w:type="dxa"/>
            <w:vAlign w:val="bottom"/>
          </w:tcPr>
          <w:p>
            <w:pPr>
              <w:jc w:val="right"/>
              <w:ind w:right="31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63,376</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2"/>
                <w:szCs w:val="12"/>
                <w:color w:val="auto"/>
              </w:rPr>
              <w:t>45,890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Unearned premiums</w:t>
            </w:r>
          </w:p>
        </w:tc>
        <w:tc>
          <w:tcPr>
            <w:tcW w:w="4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99,954</w:t>
            </w:r>
          </w:p>
        </w:tc>
        <w:tc>
          <w:tcPr>
            <w:tcW w:w="4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63,262</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20" w:type="dxa"/>
            <w:vAlign w:val="bottom"/>
          </w:tcPr>
          <w:p>
            <w:pPr>
              <w:ind w:left="100"/>
              <w:spacing w:after="0"/>
              <w:rPr>
                <w:sz w:val="20"/>
                <w:szCs w:val="20"/>
                <w:color w:val="auto"/>
              </w:rPr>
            </w:pPr>
            <w:r>
              <w:rPr>
                <w:rFonts w:ascii="Arial" w:cs="Arial" w:eastAsia="Arial" w:hAnsi="Arial"/>
                <w:sz w:val="12"/>
                <w:szCs w:val="12"/>
                <w:color w:val="auto"/>
              </w:rPr>
              <w:t>Other liabilities</w:t>
            </w:r>
          </w:p>
        </w:tc>
        <w:tc>
          <w:tcPr>
            <w:tcW w:w="42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18,502</w:t>
            </w:r>
          </w:p>
        </w:tc>
        <w:tc>
          <w:tcPr>
            <w:tcW w:w="400" w:type="dxa"/>
            <w:vAlign w:val="bottom"/>
          </w:tcPr>
          <w:p>
            <w:pPr>
              <w:spacing w:after="0"/>
              <w:rPr>
                <w:sz w:val="13"/>
                <w:szCs w:val="13"/>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2"/>
                <w:szCs w:val="12"/>
                <w:color w:val="auto"/>
              </w:rPr>
              <w:t>12,263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Borders>
              <w:top w:val="single" w:sz="8" w:color="CCEEFF"/>
            </w:tcBorders>
            <w:shd w:val="clear" w:color="auto" w:fill="CCEEFF"/>
          </w:tcPr>
          <w:p>
            <w:pPr>
              <w:ind w:left="240"/>
              <w:spacing w:after="0" w:line="133" w:lineRule="exact"/>
              <w:rPr>
                <w:sz w:val="20"/>
                <w:szCs w:val="20"/>
                <w:color w:val="auto"/>
              </w:rPr>
            </w:pPr>
            <w:r>
              <w:rPr>
                <w:rFonts w:ascii="Arial" w:cs="Arial" w:eastAsia="Arial" w:hAnsi="Arial"/>
                <w:sz w:val="12"/>
                <w:szCs w:val="12"/>
                <w:color w:val="auto"/>
              </w:rPr>
              <w:t>Total liabilities</w:t>
            </w:r>
          </w:p>
        </w:tc>
        <w:tc>
          <w:tcPr>
            <w:tcW w:w="4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181,832</w:t>
            </w:r>
          </w:p>
        </w:tc>
        <w:tc>
          <w:tcPr>
            <w:tcW w:w="2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121,415</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8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Equity</w:t>
            </w:r>
          </w:p>
        </w:tc>
        <w:tc>
          <w:tcPr>
            <w:tcW w:w="4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259,566</w:t>
            </w:r>
          </w:p>
        </w:tc>
        <w:tc>
          <w:tcPr>
            <w:tcW w:w="24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255,573</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tcPr>
          <w:p>
            <w:pPr>
              <w:ind w:left="240"/>
              <w:spacing w:after="0" w:line="133" w:lineRule="exact"/>
              <w:rPr>
                <w:sz w:val="20"/>
                <w:szCs w:val="20"/>
                <w:color w:val="auto"/>
              </w:rPr>
            </w:pPr>
            <w:r>
              <w:rPr>
                <w:rFonts w:ascii="Arial" w:cs="Arial" w:eastAsia="Arial" w:hAnsi="Arial"/>
                <w:sz w:val="12"/>
                <w:szCs w:val="12"/>
                <w:color w:val="auto"/>
              </w:rPr>
              <w:t>Total liabilities and equity</w:t>
            </w:r>
          </w:p>
        </w:tc>
        <w:tc>
          <w:tcPr>
            <w:tcW w:w="420" w:type="dxa"/>
            <w:vAlign w:val="bottom"/>
            <w:tcBorders>
              <w:bottom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441,398</w:t>
            </w:r>
          </w:p>
        </w:tc>
        <w:tc>
          <w:tcPr>
            <w:tcW w:w="240" w:type="dxa"/>
            <w:vAlign w:val="bottom"/>
          </w:tcPr>
          <w:p>
            <w:pPr>
              <w:spacing w:after="0"/>
              <w:rPr>
                <w:sz w:val="12"/>
                <w:szCs w:val="12"/>
                <w:color w:val="auto"/>
              </w:rPr>
            </w:pPr>
          </w:p>
        </w:tc>
        <w:tc>
          <w:tcPr>
            <w:tcW w:w="400" w:type="dxa"/>
            <w:vAlign w:val="bottom"/>
            <w:tcBorders>
              <w:bottom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376,988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420"/>
        <w:spacing w:after="0"/>
        <w:rPr>
          <w:sz w:val="20"/>
          <w:szCs w:val="20"/>
          <w:color w:val="auto"/>
        </w:rPr>
      </w:pPr>
      <w:r>
        <w:rPr>
          <w:rFonts w:ascii="Arial" w:cs="Arial" w:eastAsia="Arial" w:hAnsi="Arial"/>
          <w:sz w:val="11"/>
          <w:szCs w:val="11"/>
          <w:color w:val="auto"/>
        </w:rPr>
        <w:t>At June 30, 2018, NI Holdings had total assets of $441,398, an increase of $64,410, or 17.1%, from December 31, 2017. Receivables from policyholders increased due to recognition of crop insurance sales in second quarter.</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Deferred policy acquisition costs also increased due to the recognition of sales commissions on crop insurance policies during the second quarter.</w:t>
      </w:r>
    </w:p>
    <w:p>
      <w:pPr>
        <w:spacing w:after="0" w:line="114" w:lineRule="exact"/>
        <w:rPr>
          <w:sz w:val="20"/>
          <w:szCs w:val="20"/>
          <w:color w:val="auto"/>
        </w:rPr>
      </w:pPr>
    </w:p>
    <w:p>
      <w:pPr>
        <w:ind w:right="240" w:firstLine="432"/>
        <w:spacing w:after="0" w:line="263" w:lineRule="auto"/>
        <w:rPr>
          <w:sz w:val="20"/>
          <w:szCs w:val="20"/>
          <w:color w:val="auto"/>
        </w:rPr>
      </w:pPr>
      <w:r>
        <w:rPr>
          <w:rFonts w:ascii="Arial" w:cs="Arial" w:eastAsia="Arial" w:hAnsi="Arial"/>
          <w:sz w:val="12"/>
          <w:szCs w:val="12"/>
          <w:color w:val="auto"/>
        </w:rPr>
        <w:t>At June 30, 2018, total liabilities were $181,832, an increase of $60,417, or 49.8%, from December 31, 2017. Second quarter unpaid losses are typically higher than fourth quarter due to weather-related experience, and also include unpaid losses on crop insurance. Unearned premiums for June 30 reflect the influx of crop insurance premiums written in the second quarter. Other liabilities increased as commissions and processing fees were accrued for crop business.</w:t>
      </w:r>
    </w:p>
    <w:p>
      <w:pPr>
        <w:spacing w:after="0" w:line="105" w:lineRule="exact"/>
        <w:rPr>
          <w:sz w:val="20"/>
          <w:szCs w:val="20"/>
          <w:color w:val="auto"/>
        </w:rPr>
      </w:pPr>
    </w:p>
    <w:p>
      <w:pPr>
        <w:ind w:right="340" w:firstLine="432"/>
        <w:spacing w:after="0" w:line="276" w:lineRule="auto"/>
        <w:rPr>
          <w:sz w:val="20"/>
          <w:szCs w:val="20"/>
          <w:color w:val="auto"/>
        </w:rPr>
      </w:pPr>
      <w:r>
        <w:rPr>
          <w:rFonts w:ascii="Arial" w:cs="Arial" w:eastAsia="Arial" w:hAnsi="Arial"/>
          <w:sz w:val="12"/>
          <w:szCs w:val="12"/>
          <w:color w:val="auto"/>
        </w:rPr>
        <w:t>Total equity increased by $3,993, or 1.6%, during the six months ended June 30, 2018. The increase in equity primarily reflects consolidated net income of $6,408 for the six months ended June 30, 2018, partially offset by a decrease in accumulated other comprehensive income due to lower fair values of our fixed income securities.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Effect of Stock Offering on Nodak Insurance Company and NI Holdings</w:t>
      </w:r>
    </w:p>
    <w:p>
      <w:pPr>
        <w:spacing w:after="0" w:line="127" w:lineRule="exact"/>
        <w:rPr>
          <w:sz w:val="20"/>
          <w:szCs w:val="20"/>
          <w:color w:val="auto"/>
        </w:rPr>
      </w:pPr>
    </w:p>
    <w:p>
      <w:pPr>
        <w:ind w:right="140" w:firstLine="432"/>
        <w:spacing w:after="0" w:line="380" w:lineRule="auto"/>
        <w:rPr>
          <w:sz w:val="20"/>
          <w:szCs w:val="20"/>
          <w:color w:val="auto"/>
        </w:rPr>
      </w:pPr>
      <w:r>
        <w:rPr>
          <w:rFonts w:ascii="Arial" w:cs="Arial" w:eastAsia="Arial" w:hAnsi="Arial"/>
          <w:sz w:val="10"/>
          <w:szCs w:val="10"/>
          <w:color w:val="auto"/>
        </w:rPr>
        <w:t>NI Holdings was formed on March 13, 2017 and became the holding company for Nodak Insurance and its existing subsidiaries. The increased capitalization from our initial public offering should (i) enhance investment income by increasing our investment portfolio, and (ii) provide capital to permit the Company to seek acquisitions and other diversification opportunities. The common stock of NI Holdings was available for public trading on March 16, 2017.</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27" w:lineRule="exact"/>
        <w:rPr>
          <w:sz w:val="20"/>
          <w:szCs w:val="20"/>
          <w:color w:val="auto"/>
        </w:rPr>
      </w:pPr>
    </w:p>
    <w:p>
      <w:pPr>
        <w:jc w:val="both"/>
        <w:ind w:right="220" w:firstLine="432"/>
        <w:spacing w:after="0" w:line="263" w:lineRule="auto"/>
        <w:rPr>
          <w:sz w:val="20"/>
          <w:szCs w:val="20"/>
          <w:color w:val="auto"/>
        </w:rPr>
      </w:pPr>
      <w:r>
        <w:rPr>
          <w:rFonts w:ascii="Arial" w:cs="Arial" w:eastAsia="Arial" w:hAnsi="Arial"/>
          <w:sz w:val="12"/>
          <w:szCs w:val="12"/>
          <w:color w:val="auto"/>
        </w:rPr>
        <w:t>NI Holdings generates sufficient funds from its operations and maintains a high degree of liquidity in its investment portfolio to meet the demands of claim settlements and operating expenses. The primary sources of funds are premium collections, investment earnings, and maturing investments. In 2017, we raised $93,145 in net proceeds from our initial public offering, which are available if necessary to meet the demands of claim settlements and operating expenses.</w:t>
      </w:r>
    </w:p>
    <w:p>
      <w:pPr>
        <w:spacing w:after="0" w:line="96" w:lineRule="exact"/>
        <w:rPr>
          <w:sz w:val="20"/>
          <w:szCs w:val="20"/>
          <w:color w:val="auto"/>
        </w:rPr>
      </w:pPr>
    </w:p>
    <w:p>
      <w:pPr>
        <w:ind w:right="80" w:firstLine="432"/>
        <w:spacing w:after="0" w:line="276" w:lineRule="auto"/>
        <w:rPr>
          <w:sz w:val="20"/>
          <w:szCs w:val="20"/>
          <w:color w:val="auto"/>
        </w:rPr>
      </w:pPr>
      <w:r>
        <w:rPr>
          <w:rFonts w:ascii="Arial" w:cs="Arial" w:eastAsia="Arial" w:hAnsi="Arial"/>
          <w:sz w:val="12"/>
          <w:szCs w:val="12"/>
          <w:color w:val="auto"/>
        </w:rPr>
        <w:t>The Company’s philosophy is to provide sufficient cash flows from operations to meet its obligations in order to minimize the forced sales of investments. The Company maintains a portion of its investment portfolio in relatively short-term and highly liquid assets to ensure the availability of funds.</w:t>
      </w:r>
    </w:p>
    <w:p>
      <w:pPr>
        <w:spacing w:after="0" w:line="115"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2340" cy="17145"/>
                    </a:xfrm>
                    <a:prstGeom prst="rect">
                      <a:avLst/>
                    </a:prstGeom>
                    <a:noFill/>
                  </pic:spPr>
                </pic:pic>
              </a:graphicData>
            </a:graphic>
          </wp:anchor>
        </w:drawing>
      </w:r>
    </w:p>
    <w:p>
      <w:pPr>
        <w:sectPr>
          <w:pgSz w:w="11900" w:h="16838" w:orient="portrait"/>
          <w:cols w:equalWidth="0" w:num="1">
            <w:col w:w="11480"/>
          </w:cols>
          <w:pgMar w:left="220" w:top="203" w:right="199" w:bottom="1440" w:gutter="0" w:footer="0" w:header="0"/>
          <w:type w:val="continuous"/>
        </w:sectPr>
      </w:pPr>
    </w:p>
    <w:bookmarkStart w:id="56" w:name="page57"/>
    <w:bookmarkEnd w:id="56"/>
    <w:p>
      <w:pPr>
        <w:ind w:left="2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294" w:lineRule="exact"/>
        <w:rPr>
          <w:sz w:val="20"/>
          <w:szCs w:val="20"/>
          <w:color w:val="auto"/>
        </w:rPr>
      </w:pPr>
    </w:p>
    <w:p>
      <w:pPr>
        <w:ind w:left="420"/>
        <w:spacing w:after="0"/>
        <w:rPr>
          <w:sz w:val="20"/>
          <w:szCs w:val="20"/>
          <w:color w:val="auto"/>
        </w:rPr>
      </w:pPr>
      <w:r>
        <w:rPr>
          <w:rFonts w:ascii="Arial" w:cs="Arial" w:eastAsia="Arial" w:hAnsi="Arial"/>
          <w:sz w:val="10"/>
          <w:szCs w:val="10"/>
          <w:color w:val="auto"/>
        </w:rPr>
        <w:t>The change in cash and cash equivalents for the six months ended June 30, 2018 and 2017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298450</wp:posOffset>
            </wp:positionV>
            <wp:extent cx="7292340" cy="971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2340" cy="9715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2"/>
          <w:szCs w:val="12"/>
          <w:color w:val="auto"/>
        </w:rPr>
        <w:t>Net cash provided by operating activities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Net cash used in investing activities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7292340" cy="971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2340" cy="971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2"/>
          <w:szCs w:val="12"/>
          <w:color w:val="auto"/>
        </w:rPr>
        <w:t>Net increase (decrease) in cash and cash equivalents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160147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601470" cy="5715"/>
                    </a:xfrm>
                    <a:prstGeom prst="rect">
                      <a:avLst/>
                    </a:prstGeom>
                    <a:noFill/>
                  </pic:spPr>
                </pic:pic>
              </a:graphicData>
            </a:graphic>
          </wp:anchor>
        </w:drawing>
      </w:r>
    </w:p>
    <w:p>
      <w:pPr>
        <w:spacing w:after="0" w:line="4" w:lineRule="exact"/>
        <w:rPr>
          <w:sz w:val="20"/>
          <w:szCs w:val="20"/>
          <w:color w:val="auto"/>
        </w:rPr>
      </w:pPr>
    </w:p>
    <w:p>
      <w:pPr>
        <w:ind w:left="460"/>
        <w:spacing w:after="0"/>
        <w:tabs>
          <w:tab w:leader="none" w:pos="1820"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2017</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420" w:type="dxa"/>
            <w:vAlign w:val="bottom"/>
            <w:tcBorders>
              <w:top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2"/>
                <w:szCs w:val="12"/>
                <w:color w:val="auto"/>
              </w:rPr>
              <w:t>14,699</w:t>
            </w:r>
          </w:p>
        </w:tc>
        <w:tc>
          <w:tcPr>
            <w:tcW w:w="240" w:type="dxa"/>
            <w:vAlign w:val="bottom"/>
          </w:tcPr>
          <w:p>
            <w:pPr>
              <w:spacing w:after="0"/>
              <w:rPr>
                <w:sz w:val="10"/>
                <w:szCs w:val="10"/>
                <w:color w:val="auto"/>
              </w:rPr>
            </w:pPr>
          </w:p>
        </w:tc>
        <w:tc>
          <w:tcPr>
            <w:tcW w:w="400" w:type="dxa"/>
            <w:vAlign w:val="bottom"/>
            <w:tcBorders>
              <w:top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spacing w:after="0" w:line="125" w:lineRule="exact"/>
              <w:rPr>
                <w:sz w:val="20"/>
                <w:szCs w:val="20"/>
                <w:color w:val="auto"/>
              </w:rPr>
            </w:pPr>
            <w:r>
              <w:rPr>
                <w:rFonts w:ascii="Arial" w:cs="Arial" w:eastAsia="Arial" w:hAnsi="Arial"/>
                <w:sz w:val="12"/>
                <w:szCs w:val="12"/>
                <w:color w:val="auto"/>
              </w:rPr>
              <w:t>10,449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20" w:type="dxa"/>
            <w:vAlign w:val="bottom"/>
          </w:tcPr>
          <w:p>
            <w:pPr>
              <w:spacing w:after="0"/>
              <w:rPr>
                <w:sz w:val="13"/>
                <w:szCs w:val="1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(11,338)</w:t>
            </w:r>
          </w:p>
        </w:tc>
        <w:tc>
          <w:tcPr>
            <w:tcW w:w="40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(93,327)</w:t>
            </w:r>
          </w:p>
        </w:tc>
        <w:tc>
          <w:tcPr>
            <w:tcW w:w="0" w:type="dxa"/>
            <w:vAlign w:val="bottom"/>
          </w:tcPr>
          <w:p>
            <w:pPr>
              <w:spacing w:after="0"/>
              <w:rPr>
                <w:sz w:val="1"/>
                <w:szCs w:val="1"/>
                <w:color w:val="auto"/>
              </w:rPr>
            </w:pPr>
          </w:p>
        </w:tc>
      </w:tr>
      <w:tr>
        <w:trPr>
          <w:trHeight w:val="153"/>
        </w:trPr>
        <w:tc>
          <w:tcPr>
            <w:tcW w:w="42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82,708</w:t>
            </w: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49"/>
        </w:trPr>
        <w:tc>
          <w:tcPr>
            <w:tcW w:w="4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3,361</w:t>
            </w:r>
          </w:p>
        </w:tc>
        <w:tc>
          <w:tcPr>
            <w:tcW w:w="24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(170</w:t>
            </w: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sectPr>
          <w:pgSz w:w="11900" w:h="16838" w:orient="portrait"/>
          <w:cols w:equalWidth="0" w:num="2">
            <w:col w:w="8120" w:space="720"/>
            <w:col w:w="2640"/>
          </w:cols>
          <w:pgMar w:left="220" w:top="203" w:right="199" w:bottom="1440" w:gutter="0" w:footer="0" w:header="0"/>
        </w:sectPr>
      </w:pPr>
    </w:p>
    <w:p>
      <w:pPr>
        <w:ind w:firstLine="432"/>
        <w:spacing w:after="0" w:line="323" w:lineRule="auto"/>
        <w:rPr>
          <w:sz w:val="20"/>
          <w:szCs w:val="20"/>
          <w:color w:val="auto"/>
        </w:rPr>
      </w:pPr>
      <w:r>
        <w:rPr>
          <w:rFonts w:ascii="Arial" w:cs="Arial" w:eastAsia="Arial" w:hAnsi="Arial"/>
          <w:sz w:val="11"/>
          <w:szCs w:val="11"/>
          <w:color w:val="auto"/>
        </w:rPr>
        <w:t>For the six months ended June 30, 2018, net cash provided by operating activities totaled $14,699 compared to $10,449 for the six months ended June 30, 2017. Consolidated net income of $6,408 for the six months ended June 30, 2018 compared to $4,866 for the six months ended June 30, 2017. Unearned premiums and unpaid losses and loss adjustment expenses increased considerably, partially offset by an increase in premiums receivable.</w:t>
      </w:r>
    </w:p>
    <w:p>
      <w:pPr>
        <w:spacing w:after="0" w:line="74" w:lineRule="exact"/>
        <w:rPr>
          <w:sz w:val="20"/>
          <w:szCs w:val="20"/>
          <w:color w:val="auto"/>
        </w:rPr>
      </w:pPr>
    </w:p>
    <w:p>
      <w:pPr>
        <w:ind w:right="260" w:firstLine="432"/>
        <w:spacing w:after="0" w:line="276" w:lineRule="auto"/>
        <w:rPr>
          <w:sz w:val="20"/>
          <w:szCs w:val="20"/>
          <w:color w:val="auto"/>
        </w:rPr>
      </w:pPr>
      <w:r>
        <w:rPr>
          <w:rFonts w:ascii="Arial" w:cs="Arial" w:eastAsia="Arial" w:hAnsi="Arial"/>
          <w:sz w:val="12"/>
          <w:szCs w:val="12"/>
          <w:color w:val="auto"/>
        </w:rPr>
        <w:t>Net cash used in investing activities totaled $11,338 for the six months ended June 30, 2018, compared to $93,327 in the six months ended June 30, 2017, resulting from the opportunity to invest cash generated from operating activities in longer term investments. The 2017 activity also reflects the investment of excess cash raised from our initial public offering.</w:t>
      </w:r>
    </w:p>
    <w:p>
      <w:pPr>
        <w:spacing w:after="0" w:line="88" w:lineRule="exact"/>
        <w:rPr>
          <w:sz w:val="20"/>
          <w:szCs w:val="20"/>
          <w:color w:val="auto"/>
        </w:rPr>
      </w:pPr>
    </w:p>
    <w:p>
      <w:pPr>
        <w:ind w:right="120" w:firstLine="432"/>
        <w:spacing w:after="0" w:line="276" w:lineRule="auto"/>
        <w:rPr>
          <w:sz w:val="20"/>
          <w:szCs w:val="20"/>
          <w:color w:val="auto"/>
        </w:rPr>
      </w:pPr>
      <w:r>
        <w:rPr>
          <w:rFonts w:ascii="Arial" w:cs="Arial" w:eastAsia="Arial" w:hAnsi="Arial"/>
          <w:sz w:val="12"/>
          <w:szCs w:val="12"/>
          <w:color w:val="auto"/>
        </w:rPr>
        <w:t>There was no net cash provided by financing activities for the six months ended June 30, 2018. Net cash provided by financing activities of $82,708 for the six months ended June 30, 2017 reflect the net proceeds from our initial public offering, offset by the initial funding of our new employee stock option plan and the purchase of treasury stock.</w:t>
      </w:r>
    </w:p>
    <w:p>
      <w:pPr>
        <w:spacing w:after="0" w:line="88" w:lineRule="exact"/>
        <w:rPr>
          <w:sz w:val="20"/>
          <w:szCs w:val="20"/>
          <w:color w:val="auto"/>
        </w:rPr>
      </w:pPr>
    </w:p>
    <w:p>
      <w:pPr>
        <w:ind w:right="40" w:firstLine="432"/>
        <w:spacing w:after="0" w:line="255" w:lineRule="auto"/>
        <w:rPr>
          <w:sz w:val="20"/>
          <w:szCs w:val="20"/>
          <w:color w:val="auto"/>
        </w:rPr>
      </w:pPr>
      <w:r>
        <w:rPr>
          <w:rFonts w:ascii="Arial" w:cs="Arial" w:eastAsia="Arial" w:hAnsi="Arial"/>
          <w:sz w:val="12"/>
          <w:szCs w:val="12"/>
          <w:color w:val="auto"/>
        </w:rPr>
        <w:t>As a standalone entity, and outside of the net proceeds from the recent initial public offering, NI Holdings’ principal source of long-term liquidity will be dividend payments from Nodak Insurance. Nodak Insurance will be restricted by the insurance laws of North Dakota as to the amount of dividends or other distributions it may pay to NI Holdings. North Dakota law sets the maximum amount of dividends that may be paid by Nodak Insurance during any twelve-month period after notice to, but without prior approval of, the North Dakota Insurance Department. This amount cannot exceed the lesser of (i) 10% of the Company’s surplus as regards policyholders as of the preceding December 31, or (ii) the Company’s statutory net income for the preceding calendar year (excluding realized capital gains), less any prior dividends paid during such twelve-month period. In addition, any insurance company other than a life insurance company may carry forward net income from the preceding two calendar years, not including realized capital gains, less any dividends actually paid during those two calendar years. Dividends in excess of this amount are considered “extraordinary” and are subject to the approval of the North Dakota Insurance Department.</w:t>
      </w:r>
    </w:p>
    <w:p>
      <w:pPr>
        <w:spacing w:after="0" w:line="111" w:lineRule="exact"/>
        <w:rPr>
          <w:sz w:val="20"/>
          <w:szCs w:val="20"/>
          <w:color w:val="auto"/>
        </w:rPr>
      </w:pPr>
    </w:p>
    <w:p>
      <w:pPr>
        <w:ind w:right="20" w:firstLine="432"/>
        <w:spacing w:after="0" w:line="257" w:lineRule="auto"/>
        <w:rPr>
          <w:sz w:val="20"/>
          <w:szCs w:val="20"/>
          <w:color w:val="auto"/>
        </w:rPr>
      </w:pPr>
      <w:r>
        <w:rPr>
          <w:rFonts w:ascii="Arial" w:cs="Arial" w:eastAsia="Arial" w:hAnsi="Arial"/>
          <w:sz w:val="12"/>
          <w:szCs w:val="12"/>
          <w:color w:val="auto"/>
        </w:rPr>
        <w:t>The amount available for payment of dividends from Nodak Insurance without the prior approval of the North Dakota Insurance Department is approximately $15,654 based upon the policyholders’ surplus of Nodak Insurance at December 31, 2017. Prior to its payment of any extraordinary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an insurance company is in violation of any law or regulation. These restrictions or any subsequently imposed restrictions may affect our future liquidity. No dividends were declared or paid by Nodak Insurance during the six months ended June 30, 2018 or the year ended December 31, 2017.</w:t>
      </w:r>
    </w:p>
    <w:p>
      <w:pPr>
        <w:spacing w:after="0" w:line="99" w:lineRule="exact"/>
        <w:rPr>
          <w:sz w:val="20"/>
          <w:szCs w:val="20"/>
          <w:color w:val="auto"/>
        </w:rPr>
      </w:pPr>
    </w:p>
    <w:p>
      <w:pPr>
        <w:ind w:right="140" w:firstLine="432"/>
        <w:spacing w:after="0" w:line="276" w:lineRule="auto"/>
        <w:rPr>
          <w:sz w:val="20"/>
          <w:szCs w:val="20"/>
          <w:color w:val="auto"/>
        </w:rPr>
      </w:pPr>
      <w:r>
        <w:rPr>
          <w:rFonts w:ascii="Arial" w:cs="Arial" w:eastAsia="Arial" w:hAnsi="Arial"/>
          <w:sz w:val="12"/>
          <w:szCs w:val="12"/>
          <w:color w:val="auto"/>
        </w:rPr>
        <w:t>As a public company, NI Holdings is subject to the proxy solicitation, periodic reporting, insider trading, and other requirements of the Exchange Act and to most of the provisions of the Sarbanes-Oxley Act of 2002. As a result, NI Holdings anticipates incurring higher levels of expenses related to accounting and legal services that will be necessary to comply with such requirements.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Off-Balance Sheet Arrangements</w:t>
      </w:r>
    </w:p>
    <w:p>
      <w:pPr>
        <w:spacing w:after="0" w:line="136" w:lineRule="exact"/>
        <w:rPr>
          <w:sz w:val="20"/>
          <w:szCs w:val="20"/>
          <w:color w:val="auto"/>
        </w:rPr>
      </w:pPr>
    </w:p>
    <w:p>
      <w:pPr>
        <w:ind w:right="540" w:firstLine="432"/>
        <w:spacing w:after="0" w:line="276" w:lineRule="auto"/>
        <w:rPr>
          <w:sz w:val="20"/>
          <w:szCs w:val="20"/>
          <w:color w:val="auto"/>
        </w:rPr>
      </w:pPr>
      <w:r>
        <w:rPr>
          <w:rFonts w:ascii="Arial" w:cs="Arial" w:eastAsia="Arial" w:hAnsi="Arial"/>
          <w:sz w:val="12"/>
          <w:szCs w:val="12"/>
          <w:color w:val="auto"/>
        </w:rPr>
        <w:t>NI Holdings has no significant off-balance sheet arrangements that have or are reasonably likely to have a current or future effect on its financial condition, changes in financial condition, revenues or expenses, results of operations, liquidity, capital expenditures, or capital reserves.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Accounting Pronouncements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For a discussion of recent accounting pronouncements, see Note 5 to the Unaudited Consolidated Financial Statements, included elsewhere in this Report.</w:t>
      </w:r>
    </w:p>
    <w:p>
      <w:pPr>
        <w:spacing w:after="0" w:line="150"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2340" cy="17145"/>
                    </a:xfrm>
                    <a:prstGeom prst="rect">
                      <a:avLst/>
                    </a:prstGeom>
                    <a:noFill/>
                  </pic:spPr>
                </pic:pic>
              </a:graphicData>
            </a:graphic>
          </wp:anchor>
        </w:drawing>
      </w:r>
    </w:p>
    <w:p>
      <w:pPr>
        <w:sectPr>
          <w:pgSz w:w="11900" w:h="16838" w:orient="portrait"/>
          <w:cols w:equalWidth="0" w:num="1">
            <w:col w:w="11480"/>
          </w:cols>
          <w:pgMar w:left="220" w:top="203" w:right="199" w:bottom="1440" w:gutter="0" w:footer="0" w:header="0"/>
          <w:type w:val="continuous"/>
        </w:sectPr>
      </w:pPr>
    </w:p>
    <w:bookmarkStart w:id="57" w:name="page58"/>
    <w:bookmarkEnd w:id="57"/>
    <w:p>
      <w:pPr>
        <w:ind w:left="2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 Quantitative and Qualitative Disclosures about Market Risk</w:t>
      </w:r>
    </w:p>
    <w:p>
      <w:pPr>
        <w:spacing w:after="0" w:line="127" w:lineRule="exact"/>
        <w:rPr>
          <w:sz w:val="20"/>
          <w:szCs w:val="20"/>
          <w:color w:val="auto"/>
        </w:rPr>
      </w:pPr>
    </w:p>
    <w:p>
      <w:pPr>
        <w:ind w:right="420" w:firstLine="432"/>
        <w:spacing w:after="0" w:line="276" w:lineRule="auto"/>
        <w:rPr>
          <w:sz w:val="20"/>
          <w:szCs w:val="20"/>
          <w:color w:val="auto"/>
        </w:rPr>
      </w:pPr>
      <w:r>
        <w:rPr>
          <w:rFonts w:ascii="Arial" w:cs="Arial" w:eastAsia="Arial" w:hAnsi="Arial"/>
          <w:sz w:val="12"/>
          <w:szCs w:val="12"/>
          <w:color w:val="auto"/>
        </w:rPr>
        <w:t>The Company’s assessment of market risk as of June 30, 2018 indicates there have been no material changes in the quantitative and qualitative disclosures from those in our Annual Report on Form 10-K for the year ended December 31, 2017 filed with the SEC.</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 Controls and Procedures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Evaluation of Disclosure Controls and Procedures</w:t>
      </w:r>
    </w:p>
    <w:p>
      <w:pPr>
        <w:spacing w:after="0" w:line="82"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color w:val="auto"/>
        </w:rPr>
        <w:t>The Company’s Chief Executive Officer and Chief Financial Officer have reviewed and evaluated the effectiveness of the Company’s disclosure controls and procedures (as required by Exchange Act Rules 240.13a-15(b) and 15d-14(a)) as of June 30, 2018. Based on that evaluation, the Chief Executive Officer and Chief Financial Officer have concluded that the Company’s current disclosure controls and procedures are effective and timely, providing them with material information relating to the Company required to be disclosed in the reports the Company files or submits under the Exchange Act.</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Changes in Internal Controls</w:t>
      </w:r>
    </w:p>
    <w:p>
      <w:pPr>
        <w:spacing w:after="0" w:line="82" w:lineRule="exact"/>
        <w:rPr>
          <w:sz w:val="20"/>
          <w:szCs w:val="20"/>
          <w:color w:val="auto"/>
        </w:rPr>
      </w:pPr>
    </w:p>
    <w:p>
      <w:pPr>
        <w:ind w:right="80" w:firstLine="432"/>
        <w:spacing w:after="0" w:line="276" w:lineRule="auto"/>
        <w:rPr>
          <w:sz w:val="20"/>
          <w:szCs w:val="20"/>
          <w:color w:val="auto"/>
        </w:rPr>
      </w:pPr>
      <w:r>
        <w:rPr>
          <w:rFonts w:ascii="Arial" w:cs="Arial" w:eastAsia="Arial" w:hAnsi="Arial"/>
          <w:sz w:val="12"/>
          <w:szCs w:val="12"/>
          <w:color w:val="auto"/>
        </w:rPr>
        <w:t>There have not been any changes in the Company’s internal control over financial reporting (as such term is defined in Rules 13a-15(f) and 15d-15(f) under the Exchange Act) during the quarter ended June 30, 2018, to which this report relates that have materially affected, or are reasonably likely to materially affect the Company’s internal control over financial reporting.</w:t>
      </w:r>
    </w:p>
    <w:p>
      <w:pPr>
        <w:spacing w:after="0" w:line="331"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2340" cy="17145"/>
                    </a:xfrm>
                    <a:prstGeom prst="rect">
                      <a:avLst/>
                    </a:prstGeom>
                    <a:noFill/>
                  </pic:spPr>
                </pic:pic>
              </a:graphicData>
            </a:graphic>
          </wp:anchor>
        </w:drawing>
      </w:r>
    </w:p>
    <w:p>
      <w:pPr>
        <w:sectPr>
          <w:pgSz w:w="11900" w:h="16838" w:orient="portrait"/>
          <w:cols w:equalWidth="0" w:num="1">
            <w:col w:w="11480"/>
          </w:cols>
          <w:pgMar w:left="220" w:top="203" w:right="199" w:bottom="1440" w:gutter="0" w:footer="0" w:header="0"/>
        </w:sectPr>
      </w:pPr>
    </w:p>
    <w:bookmarkStart w:id="58" w:name="page59"/>
    <w:bookmarkEnd w:id="58"/>
    <w:p>
      <w:pPr>
        <w:ind w:left="2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46"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PART II. -</w:t>
      </w:r>
    </w:p>
    <w:p>
      <w:pPr>
        <w:spacing w:after="0" w:line="19"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OTHER INFORMATION</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 Legal Proceedings</w:t>
      </w:r>
    </w:p>
    <w:p>
      <w:pPr>
        <w:spacing w:after="0" w:line="136" w:lineRule="exact"/>
        <w:rPr>
          <w:sz w:val="20"/>
          <w:szCs w:val="20"/>
          <w:color w:val="auto"/>
        </w:rPr>
      </w:pPr>
    </w:p>
    <w:p>
      <w:pPr>
        <w:ind w:right="340" w:firstLine="432"/>
        <w:spacing w:after="0" w:line="276" w:lineRule="auto"/>
        <w:rPr>
          <w:sz w:val="20"/>
          <w:szCs w:val="20"/>
          <w:color w:val="auto"/>
        </w:rPr>
      </w:pPr>
      <w:r>
        <w:rPr>
          <w:rFonts w:ascii="Arial" w:cs="Arial" w:eastAsia="Arial" w:hAnsi="Arial"/>
          <w:sz w:val="12"/>
          <w:szCs w:val="12"/>
          <w:color w:val="auto"/>
        </w:rPr>
        <w:t>We are party to litigation in the normal course of business. Based upon information presently available to us, we do not consider any litigation to be material. However, given the uncertainties attendant to litigation, we cannot assure you that our results of operations and financial condition will not be materially adversely affected by any litigation.</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 Risk Factors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There have been no material changes in our assessment of our risk factors from those set forth in our Annual Report on Form 10-K for the year ended December 31, 2017.</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 Unregistered Sales of Equity Securities and Use of Proceeds</w:t>
      </w:r>
    </w:p>
    <w:p>
      <w:pPr>
        <w:spacing w:after="0" w:line="127" w:lineRule="exact"/>
        <w:rPr>
          <w:sz w:val="20"/>
          <w:szCs w:val="20"/>
          <w:color w:val="auto"/>
        </w:rPr>
      </w:pPr>
    </w:p>
    <w:p>
      <w:pPr>
        <w:ind w:right="80" w:firstLine="432"/>
        <w:spacing w:after="0" w:line="263" w:lineRule="auto"/>
        <w:rPr>
          <w:sz w:val="20"/>
          <w:szCs w:val="20"/>
          <w:color w:val="auto"/>
        </w:rPr>
      </w:pPr>
      <w:r>
        <w:rPr>
          <w:rFonts w:ascii="Arial" w:cs="Arial" w:eastAsia="Arial" w:hAnsi="Arial"/>
          <w:sz w:val="12"/>
          <w:szCs w:val="12"/>
          <w:color w:val="auto"/>
        </w:rPr>
        <w:t>On January 17, 2017, the SEC declared effective our registration statement on Form S-1 (file number 333-214057) registering our common stock. On March 13, 2017, the Company completed the initial public offering of 10,350,000 shares of common stock at a price of $10.00 per share. The Company received net proceeds of $93,145 from the offering, after deducting underwriting discounts and offering expenses. Griffin Financial Group, LLC acted as our placement agent in connection with the initial public offering.</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There has been no material change in the planned use of proceeds from our initial public offering as described in our final prospectus filed with the SEC on January 17, 2017.</w:t>
      </w:r>
    </w:p>
    <w:p>
      <w:pPr>
        <w:spacing w:after="0" w:line="150" w:lineRule="exact"/>
        <w:rPr>
          <w:sz w:val="20"/>
          <w:szCs w:val="20"/>
          <w:color w:val="auto"/>
        </w:rPr>
      </w:pPr>
    </w:p>
    <w:p>
      <w:pPr>
        <w:ind w:right="180" w:firstLine="432"/>
        <w:spacing w:after="0" w:line="276" w:lineRule="auto"/>
        <w:rPr>
          <w:sz w:val="20"/>
          <w:szCs w:val="20"/>
          <w:color w:val="auto"/>
        </w:rPr>
      </w:pPr>
      <w:r>
        <w:rPr>
          <w:rFonts w:ascii="Arial" w:cs="Arial" w:eastAsia="Arial" w:hAnsi="Arial"/>
          <w:sz w:val="12"/>
          <w:szCs w:val="12"/>
          <w:color w:val="auto"/>
        </w:rPr>
        <w:t>On February 28, 2018, our Board of Directors approved an authorization for the repurchase of up to approximately $10 million of the Company’s outstanding common stock. We did not purchase any shares of our common stock during the three or six months ended June 30, 2018.</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20" w:type="dxa"/>
            <w:vAlign w:val="bottom"/>
          </w:tcPr>
          <w:p>
            <w:pPr>
              <w:ind w:left="20"/>
              <w:spacing w:after="0"/>
              <w:rPr>
                <w:sz w:val="20"/>
                <w:szCs w:val="20"/>
                <w:color w:val="auto"/>
              </w:rPr>
            </w:pPr>
            <w:r>
              <w:rPr>
                <w:rFonts w:ascii="Arial" w:cs="Arial" w:eastAsia="Arial" w:hAnsi="Arial"/>
                <w:sz w:val="12"/>
                <w:szCs w:val="12"/>
                <w:color w:val="auto"/>
                <w:w w:val="99"/>
              </w:rPr>
              <w:t>Total Number of</w:t>
            </w:r>
          </w:p>
        </w:tc>
        <w:tc>
          <w:tcPr>
            <w:tcW w:w="1020" w:type="dxa"/>
            <w:vAlign w:val="bottom"/>
            <w:gridSpan w:val="3"/>
          </w:tcPr>
          <w:p>
            <w:pPr>
              <w:ind w:left="20"/>
              <w:spacing w:after="0"/>
              <w:rPr>
                <w:sz w:val="20"/>
                <w:szCs w:val="20"/>
                <w:color w:val="auto"/>
              </w:rPr>
            </w:pPr>
            <w:r>
              <w:rPr>
                <w:rFonts w:ascii="Arial" w:cs="Arial" w:eastAsia="Arial" w:hAnsi="Arial"/>
                <w:sz w:val="12"/>
                <w:szCs w:val="12"/>
                <w:color w:val="auto"/>
                <w:w w:val="95"/>
              </w:rPr>
              <w:t>Average Price Paid</w:t>
            </w:r>
          </w:p>
        </w:tc>
        <w:tc>
          <w:tcPr>
            <w:tcW w:w="4300" w:type="dxa"/>
            <w:vAlign w:val="bottom"/>
            <w:vMerge w:val="restart"/>
          </w:tcPr>
          <w:p>
            <w:pPr>
              <w:jc w:val="right"/>
              <w:ind w:right="20"/>
              <w:spacing w:after="0"/>
              <w:rPr>
                <w:sz w:val="20"/>
                <w:szCs w:val="20"/>
                <w:color w:val="auto"/>
              </w:rPr>
            </w:pPr>
            <w:r>
              <w:rPr>
                <w:rFonts w:ascii="Arial" w:cs="Arial" w:eastAsia="Arial" w:hAnsi="Arial"/>
                <w:sz w:val="12"/>
                <w:szCs w:val="12"/>
                <w:color w:val="auto"/>
                <w:w w:val="88"/>
              </w:rPr>
              <w:t xml:space="preserve">Total Number of Shares Purchased as Part of Publicly Announced Plans or Programs </w:t>
            </w:r>
            <w:r>
              <w:rPr>
                <w:rFonts w:ascii="Arial" w:cs="Arial" w:eastAsia="Arial" w:hAnsi="Arial"/>
                <w:sz w:val="20"/>
                <w:szCs w:val="20"/>
                <w:color w:val="auto"/>
                <w:w w:val="88"/>
                <w:vertAlign w:val="superscript"/>
              </w:rPr>
              <w:t>(1)</w:t>
            </w:r>
          </w:p>
        </w:tc>
        <w:tc>
          <w:tcPr>
            <w:tcW w:w="3660" w:type="dxa"/>
            <w:vAlign w:val="bottom"/>
          </w:tcPr>
          <w:p>
            <w:pPr>
              <w:spacing w:after="0"/>
              <w:rPr>
                <w:sz w:val="20"/>
                <w:szCs w:val="20"/>
                <w:color w:val="auto"/>
              </w:rPr>
            </w:pPr>
            <w:r>
              <w:rPr>
                <w:rFonts w:ascii="Arial" w:cs="Arial" w:eastAsia="Arial" w:hAnsi="Arial"/>
                <w:sz w:val="12"/>
                <w:szCs w:val="12"/>
                <w:color w:val="auto"/>
                <w:w w:val="91"/>
              </w:rPr>
              <w:t>Maximum Dollar Value of Shares That May Yet Be Purchased Under the Pl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620" w:type="dxa"/>
            <w:vAlign w:val="bottom"/>
          </w:tcPr>
          <w:p>
            <w:pPr>
              <w:ind w:left="620"/>
              <w:spacing w:after="0"/>
              <w:rPr>
                <w:sz w:val="20"/>
                <w:szCs w:val="20"/>
                <w:color w:val="auto"/>
              </w:rPr>
            </w:pPr>
            <w:r>
              <w:rPr>
                <w:rFonts w:ascii="Arial" w:cs="Arial" w:eastAsia="Arial" w:hAnsi="Arial"/>
                <w:sz w:val="12"/>
                <w:szCs w:val="12"/>
                <w:color w:val="auto"/>
              </w:rPr>
              <w:t>Period</w:t>
            </w:r>
          </w:p>
        </w:tc>
        <w:tc>
          <w:tcPr>
            <w:tcW w:w="920" w:type="dxa"/>
            <w:vAlign w:val="bottom"/>
          </w:tcPr>
          <w:p>
            <w:pPr>
              <w:spacing w:after="0"/>
              <w:rPr>
                <w:sz w:val="20"/>
                <w:szCs w:val="20"/>
                <w:color w:val="auto"/>
              </w:rPr>
            </w:pPr>
            <w:r>
              <w:rPr>
                <w:rFonts w:ascii="Arial" w:cs="Arial" w:eastAsia="Arial" w:hAnsi="Arial"/>
                <w:sz w:val="12"/>
                <w:szCs w:val="12"/>
                <w:color w:val="auto"/>
                <w:w w:val="89"/>
              </w:rPr>
              <w:t>Shares Purchased</w:t>
            </w:r>
          </w:p>
        </w:tc>
        <w:tc>
          <w:tcPr>
            <w:tcW w:w="140" w:type="dxa"/>
            <w:vAlign w:val="bottom"/>
          </w:tcPr>
          <w:p>
            <w:pPr>
              <w:spacing w:after="0"/>
              <w:rPr>
                <w:sz w:val="13"/>
                <w:szCs w:val="13"/>
                <w:color w:val="auto"/>
              </w:rPr>
            </w:pPr>
          </w:p>
        </w:tc>
        <w:tc>
          <w:tcPr>
            <w:tcW w:w="880" w:type="dxa"/>
            <w:vAlign w:val="bottom"/>
            <w:gridSpan w:val="2"/>
          </w:tcPr>
          <w:p>
            <w:pPr>
              <w:ind w:left="100"/>
              <w:spacing w:after="0"/>
              <w:rPr>
                <w:sz w:val="20"/>
                <w:szCs w:val="20"/>
                <w:color w:val="auto"/>
              </w:rPr>
            </w:pPr>
            <w:r>
              <w:rPr>
                <w:rFonts w:ascii="Arial" w:cs="Arial" w:eastAsia="Arial" w:hAnsi="Arial"/>
                <w:sz w:val="12"/>
                <w:szCs w:val="12"/>
                <w:color w:val="auto"/>
              </w:rPr>
              <w:t>Per Share</w:t>
            </w:r>
          </w:p>
        </w:tc>
        <w:tc>
          <w:tcPr>
            <w:tcW w:w="4300" w:type="dxa"/>
            <w:vAlign w:val="bottom"/>
            <w:vMerge w:val="continue"/>
          </w:tcPr>
          <w:p>
            <w:pPr>
              <w:spacing w:after="0"/>
              <w:rPr>
                <w:sz w:val="13"/>
                <w:szCs w:val="13"/>
                <w:color w:val="auto"/>
              </w:rPr>
            </w:pPr>
          </w:p>
        </w:tc>
        <w:tc>
          <w:tcPr>
            <w:tcW w:w="3660" w:type="dxa"/>
            <w:vAlign w:val="bottom"/>
          </w:tcPr>
          <w:p>
            <w:pPr>
              <w:ind w:left="1940"/>
              <w:spacing w:after="0"/>
              <w:rPr>
                <w:sz w:val="20"/>
                <w:szCs w:val="20"/>
                <w:color w:val="auto"/>
              </w:rPr>
            </w:pPr>
            <w:r>
              <w:rPr>
                <w:rFonts w:ascii="Arial" w:cs="Arial" w:eastAsia="Arial" w:hAnsi="Arial"/>
                <w:sz w:val="12"/>
                <w:szCs w:val="12"/>
                <w:color w:val="auto"/>
              </w:rPr>
              <w:t>(in thousands)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20" w:type="dxa"/>
            <w:vAlign w:val="bottom"/>
            <w:tcBorders>
              <w:top w:val="single" w:sz="8" w:color="auto"/>
              <w:right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w w:val="89"/>
              </w:rPr>
              <w:t>March 1, 2018 to March 31, 2018</w:t>
            </w:r>
          </w:p>
        </w:tc>
        <w:tc>
          <w:tcPr>
            <w:tcW w:w="920" w:type="dxa"/>
            <w:vAlign w:val="bottom"/>
            <w:tcBorders>
              <w:top w:val="single" w:sz="8" w:color="auto"/>
              <w:right w:val="single" w:sz="8" w:color="CCEEFF"/>
            </w:tcBorders>
            <w:shd w:val="clear" w:color="auto" w:fill="CCEEFF"/>
          </w:tcPr>
          <w:p>
            <w:pPr>
              <w:ind w:left="720"/>
              <w:spacing w:after="0" w:line="133" w:lineRule="exact"/>
              <w:rPr>
                <w:sz w:val="20"/>
                <w:szCs w:val="20"/>
                <w:color w:val="auto"/>
              </w:rPr>
            </w:pPr>
            <w:r>
              <w:rPr>
                <w:rFonts w:ascii="Arial" w:cs="Arial" w:eastAsia="Arial" w:hAnsi="Arial"/>
                <w:sz w:val="12"/>
                <w:szCs w:val="12"/>
                <w:color w:val="auto"/>
              </w:rPr>
              <w:t>—</w:t>
            </w:r>
          </w:p>
        </w:tc>
        <w:tc>
          <w:tcPr>
            <w:tcW w:w="14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800" w:type="dxa"/>
            <w:vAlign w:val="bottom"/>
            <w:tcBorders>
              <w:top w:val="single" w:sz="8" w:color="auto"/>
            </w:tcBorders>
            <w:shd w:val="clear" w:color="auto" w:fill="CCEEFF"/>
          </w:tcPr>
          <w:p>
            <w:pPr>
              <w:ind w:left="680"/>
              <w:spacing w:after="0" w:line="133" w:lineRule="exact"/>
              <w:rPr>
                <w:sz w:val="20"/>
                <w:szCs w:val="20"/>
                <w:color w:val="auto"/>
              </w:rPr>
            </w:pPr>
            <w:r>
              <w:rPr>
                <w:rFonts w:ascii="Arial" w:cs="Arial" w:eastAsia="Arial" w:hAnsi="Arial"/>
                <w:sz w:val="12"/>
                <w:szCs w:val="12"/>
                <w:color w:val="auto"/>
                <w:w w:val="82"/>
              </w:rPr>
              <w:t>—</w:t>
            </w:r>
          </w:p>
        </w:tc>
        <w:tc>
          <w:tcPr>
            <w:tcW w:w="80" w:type="dxa"/>
            <w:vAlign w:val="bottom"/>
            <w:tcBorders>
              <w:top w:val="single" w:sz="8" w:color="CCEEFF"/>
            </w:tcBorders>
            <w:shd w:val="clear" w:color="auto" w:fill="CCEEFF"/>
          </w:tcPr>
          <w:p>
            <w:pPr>
              <w:spacing w:after="0"/>
              <w:rPr>
                <w:sz w:val="11"/>
                <w:szCs w:val="11"/>
                <w:color w:val="auto"/>
              </w:rPr>
            </w:pPr>
          </w:p>
        </w:tc>
        <w:tc>
          <w:tcPr>
            <w:tcW w:w="4300" w:type="dxa"/>
            <w:vAlign w:val="bottom"/>
            <w:tcBorders>
              <w:top w:val="single" w:sz="8" w:color="auto"/>
              <w:right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366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1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w w:val="98"/>
              </w:rPr>
              <w:t>April 1, 2018 to June 30, 2018</w:t>
            </w:r>
          </w:p>
        </w:tc>
        <w:tc>
          <w:tcPr>
            <w:tcW w:w="920" w:type="dxa"/>
            <w:vAlign w:val="bottom"/>
            <w:tcBorders>
              <w:right w:val="single" w:sz="8" w:color="CCEEFF"/>
            </w:tcBorders>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4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162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300" w:type="dxa"/>
            <w:vAlign w:val="bottom"/>
            <w:tcBorders>
              <w:top w:val="single" w:sz="8" w:color="auto"/>
            </w:tcBorders>
          </w:tcPr>
          <w:p>
            <w:pPr>
              <w:spacing w:after="0"/>
              <w:rPr>
                <w:sz w:val="11"/>
                <w:szCs w:val="11"/>
                <w:color w:val="auto"/>
              </w:rPr>
            </w:pPr>
          </w:p>
        </w:tc>
        <w:tc>
          <w:tcPr>
            <w:tcW w:w="36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w w:val="94"/>
              </w:rPr>
              <w:t>Total Shares of Common Stock</w:t>
            </w:r>
          </w:p>
        </w:tc>
        <w:tc>
          <w:tcPr>
            <w:tcW w:w="920" w:type="dxa"/>
            <w:vAlign w:val="bottom"/>
            <w:tcBorders>
              <w:right w:val="single" w:sz="8" w:color="CCEEFF"/>
            </w:tcBorders>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4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6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20" w:type="dxa"/>
            <w:vAlign w:val="bottom"/>
            <w:tcBorders>
              <w:right w:val="single" w:sz="8" w:color="CCEEFF"/>
            </w:tcBorders>
            <w:shd w:val="clear" w:color="auto" w:fill="CCEEFF"/>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300" w:type="dxa"/>
            <w:vAlign w:val="bottom"/>
            <w:tcBorders>
              <w:right w:val="single" w:sz="8" w:color="CCEEFF"/>
            </w:tcBorders>
            <w:shd w:val="clear" w:color="auto" w:fill="000000"/>
          </w:tcPr>
          <w:p>
            <w:pPr>
              <w:spacing w:after="0"/>
              <w:rPr>
                <w:sz w:val="2"/>
                <w:szCs w:val="2"/>
                <w:color w:val="auto"/>
              </w:rPr>
            </w:pPr>
          </w:p>
        </w:tc>
        <w:tc>
          <w:tcPr>
            <w:tcW w:w="36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left="5660" w:right="2300" w:hanging="5452"/>
        <w:spacing w:after="0" w:line="778" w:lineRule="auto"/>
        <w:tabs>
          <w:tab w:leader="none" w:pos="425" w:val="left"/>
        </w:tabs>
        <w:numPr>
          <w:ilvl w:val="0"/>
          <w:numId w:val="29"/>
        </w:numPr>
        <w:rPr>
          <w:rFonts w:ascii="Arial" w:cs="Arial" w:eastAsia="Arial" w:hAnsi="Arial"/>
          <w:sz w:val="12"/>
          <w:szCs w:val="12"/>
          <w:color w:val="auto"/>
        </w:rPr>
      </w:pPr>
      <w:r>
        <w:rPr>
          <w:rFonts w:ascii="Arial" w:cs="Arial" w:eastAsia="Arial" w:hAnsi="Arial"/>
          <w:sz w:val="12"/>
          <w:szCs w:val="12"/>
          <w:color w:val="auto"/>
        </w:rPr>
        <w:t>Shares purchased pursuant to the March 5, 2018 publicly announced share repurchase authorization of up to approximately $10.0 million of the Company’s outstanding common stock.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-195580</wp:posOffset>
            </wp:positionV>
            <wp:extent cx="729234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2340" cy="17145"/>
                    </a:xfrm>
                    <a:prstGeom prst="rect">
                      <a:avLst/>
                    </a:prstGeom>
                    <a:noFill/>
                  </pic:spPr>
                </pic:pic>
              </a:graphicData>
            </a:graphic>
          </wp:anchor>
        </w:drawing>
      </w:r>
    </w:p>
    <w:p>
      <w:pPr>
        <w:sectPr>
          <w:pgSz w:w="11900" w:h="16838" w:orient="portrait"/>
          <w:cols w:equalWidth="0" w:num="1">
            <w:col w:w="11540"/>
          </w:cols>
          <w:pgMar w:left="220" w:top="203" w:right="1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860" w:type="dxa"/>
            <w:vAlign w:val="bottom"/>
            <w:gridSpan w:val="4"/>
          </w:tcPr>
          <w:p>
            <w:pPr>
              <w:spacing w:after="0"/>
              <w:rPr>
                <w:rFonts w:ascii="Arial" w:cs="Arial" w:eastAsia="Arial" w:hAnsi="Arial"/>
                <w:sz w:val="12"/>
                <w:szCs w:val="12"/>
                <w:i w:val="1"/>
                <w:iCs w:val="1"/>
                <w:color w:val="0000EE"/>
                <w:w w:val="88"/>
              </w:rPr>
            </w:pPr>
            <w:hyperlink w:anchor="page2">
              <w:r>
                <w:rPr>
                  <w:rFonts w:ascii="Arial" w:cs="Arial" w:eastAsia="Arial" w:hAnsi="Arial"/>
                  <w:sz w:val="12"/>
                  <w:szCs w:val="12"/>
                  <w:i w:val="1"/>
                  <w:iCs w:val="1"/>
                  <w:color w:val="0000EE"/>
                  <w:w w:val="88"/>
                </w:rPr>
                <w:t>Table of Contents</w:t>
              </w:r>
            </w:hyperlink>
          </w:p>
        </w:tc>
        <w:tc>
          <w:tcPr>
            <w:tcW w:w="9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9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39"/>
        </w:trPr>
        <w:tc>
          <w:tcPr>
            <w:tcW w:w="360" w:type="dxa"/>
            <w:vAlign w:val="bottom"/>
            <w:gridSpan w:val="2"/>
          </w:tcPr>
          <w:p>
            <w:pPr>
              <w:spacing w:after="0"/>
              <w:rPr>
                <w:sz w:val="20"/>
                <w:szCs w:val="20"/>
                <w:color w:val="auto"/>
              </w:rPr>
            </w:pPr>
            <w:r>
              <w:rPr>
                <w:rFonts w:ascii="Arial" w:cs="Arial" w:eastAsia="Arial" w:hAnsi="Arial"/>
                <w:sz w:val="12"/>
                <w:szCs w:val="12"/>
                <w:b w:val="1"/>
                <w:bCs w:val="1"/>
                <w:color w:val="auto"/>
                <w:w w:val="89"/>
              </w:rPr>
              <w:t>Item 3.</w:t>
            </w:r>
          </w:p>
        </w:tc>
        <w:tc>
          <w:tcPr>
            <w:tcW w:w="11120" w:type="dxa"/>
            <w:vAlign w:val="bottom"/>
            <w:gridSpan w:val="6"/>
          </w:tcPr>
          <w:p>
            <w:pPr>
              <w:ind w:left="20"/>
              <w:spacing w:after="0"/>
              <w:rPr>
                <w:sz w:val="20"/>
                <w:szCs w:val="20"/>
                <w:color w:val="auto"/>
              </w:rPr>
            </w:pPr>
            <w:r>
              <w:rPr>
                <w:rFonts w:ascii="Arial" w:cs="Arial" w:eastAsia="Arial" w:hAnsi="Arial"/>
                <w:sz w:val="12"/>
                <w:szCs w:val="12"/>
                <w:b w:val="1"/>
                <w:bCs w:val="1"/>
                <w:color w:val="auto"/>
              </w:rPr>
              <w:t>- Defaults upon Senior Securities</w:t>
            </w:r>
          </w:p>
        </w:tc>
      </w:tr>
      <w:tr>
        <w:trPr>
          <w:trHeight w:val="261"/>
        </w:trPr>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120" w:type="dxa"/>
            <w:vAlign w:val="bottom"/>
            <w:gridSpan w:val="6"/>
          </w:tcPr>
          <w:p>
            <w:pPr>
              <w:ind w:left="60"/>
              <w:spacing w:after="0"/>
              <w:rPr>
                <w:sz w:val="20"/>
                <w:szCs w:val="20"/>
                <w:color w:val="auto"/>
              </w:rPr>
            </w:pPr>
            <w:r>
              <w:rPr>
                <w:rFonts w:ascii="Arial" w:cs="Arial" w:eastAsia="Arial" w:hAnsi="Arial"/>
                <w:sz w:val="12"/>
                <w:szCs w:val="12"/>
                <w:color w:val="auto"/>
              </w:rPr>
              <w:t>Not Applicable</w:t>
            </w:r>
          </w:p>
        </w:tc>
      </w:tr>
      <w:tr>
        <w:trPr>
          <w:trHeight w:val="360"/>
        </w:trPr>
        <w:tc>
          <w:tcPr>
            <w:tcW w:w="360" w:type="dxa"/>
            <w:vAlign w:val="bottom"/>
            <w:gridSpan w:val="2"/>
          </w:tcPr>
          <w:p>
            <w:pPr>
              <w:spacing w:after="0"/>
              <w:rPr>
                <w:sz w:val="20"/>
                <w:szCs w:val="20"/>
                <w:color w:val="auto"/>
              </w:rPr>
            </w:pPr>
            <w:r>
              <w:rPr>
                <w:rFonts w:ascii="Arial" w:cs="Arial" w:eastAsia="Arial" w:hAnsi="Arial"/>
                <w:sz w:val="12"/>
                <w:szCs w:val="12"/>
                <w:b w:val="1"/>
                <w:bCs w:val="1"/>
                <w:color w:val="auto"/>
                <w:w w:val="89"/>
              </w:rPr>
              <w:t>Item 4.</w:t>
            </w:r>
          </w:p>
        </w:tc>
        <w:tc>
          <w:tcPr>
            <w:tcW w:w="11120" w:type="dxa"/>
            <w:vAlign w:val="bottom"/>
            <w:gridSpan w:val="6"/>
          </w:tcPr>
          <w:p>
            <w:pPr>
              <w:ind w:left="20"/>
              <w:spacing w:after="0"/>
              <w:rPr>
                <w:sz w:val="20"/>
                <w:szCs w:val="20"/>
                <w:color w:val="auto"/>
              </w:rPr>
            </w:pPr>
            <w:r>
              <w:rPr>
                <w:rFonts w:ascii="Arial" w:cs="Arial" w:eastAsia="Arial" w:hAnsi="Arial"/>
                <w:sz w:val="12"/>
                <w:szCs w:val="12"/>
                <w:b w:val="1"/>
                <w:bCs w:val="1"/>
                <w:color w:val="auto"/>
              </w:rPr>
              <w:t>- Mine Safety Disclosures</w:t>
            </w:r>
          </w:p>
        </w:tc>
      </w:tr>
      <w:tr>
        <w:trPr>
          <w:trHeight w:val="270"/>
        </w:trPr>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120" w:type="dxa"/>
            <w:vAlign w:val="bottom"/>
            <w:gridSpan w:val="6"/>
          </w:tcPr>
          <w:p>
            <w:pPr>
              <w:ind w:left="60"/>
              <w:spacing w:after="0"/>
              <w:rPr>
                <w:sz w:val="20"/>
                <w:szCs w:val="20"/>
                <w:color w:val="auto"/>
              </w:rPr>
            </w:pPr>
            <w:r>
              <w:rPr>
                <w:rFonts w:ascii="Arial" w:cs="Arial" w:eastAsia="Arial" w:hAnsi="Arial"/>
                <w:sz w:val="12"/>
                <w:szCs w:val="12"/>
                <w:color w:val="auto"/>
              </w:rPr>
              <w:t>Not Applicable</w:t>
            </w:r>
          </w:p>
        </w:tc>
      </w:tr>
      <w:tr>
        <w:trPr>
          <w:trHeight w:val="360"/>
        </w:trPr>
        <w:tc>
          <w:tcPr>
            <w:tcW w:w="360" w:type="dxa"/>
            <w:vAlign w:val="bottom"/>
            <w:gridSpan w:val="2"/>
          </w:tcPr>
          <w:p>
            <w:pPr>
              <w:spacing w:after="0"/>
              <w:rPr>
                <w:sz w:val="20"/>
                <w:szCs w:val="20"/>
                <w:color w:val="auto"/>
              </w:rPr>
            </w:pPr>
            <w:r>
              <w:rPr>
                <w:rFonts w:ascii="Arial" w:cs="Arial" w:eastAsia="Arial" w:hAnsi="Arial"/>
                <w:sz w:val="12"/>
                <w:szCs w:val="12"/>
                <w:b w:val="1"/>
                <w:bCs w:val="1"/>
                <w:color w:val="auto"/>
                <w:w w:val="89"/>
              </w:rPr>
              <w:t>Item 5.</w:t>
            </w:r>
          </w:p>
        </w:tc>
        <w:tc>
          <w:tcPr>
            <w:tcW w:w="11120" w:type="dxa"/>
            <w:vAlign w:val="bottom"/>
            <w:gridSpan w:val="6"/>
          </w:tcPr>
          <w:p>
            <w:pPr>
              <w:ind w:left="20"/>
              <w:spacing w:after="0"/>
              <w:rPr>
                <w:sz w:val="20"/>
                <w:szCs w:val="20"/>
                <w:color w:val="auto"/>
              </w:rPr>
            </w:pPr>
            <w:r>
              <w:rPr>
                <w:rFonts w:ascii="Arial" w:cs="Arial" w:eastAsia="Arial" w:hAnsi="Arial"/>
                <w:sz w:val="12"/>
                <w:szCs w:val="12"/>
                <w:b w:val="1"/>
                <w:bCs w:val="1"/>
                <w:color w:val="auto"/>
              </w:rPr>
              <w:t>- Other Information</w:t>
            </w:r>
          </w:p>
        </w:tc>
      </w:tr>
      <w:tr>
        <w:trPr>
          <w:trHeight w:val="261"/>
        </w:trPr>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120" w:type="dxa"/>
            <w:vAlign w:val="bottom"/>
            <w:gridSpan w:val="6"/>
          </w:tcPr>
          <w:p>
            <w:pPr>
              <w:ind w:left="60"/>
              <w:spacing w:after="0"/>
              <w:rPr>
                <w:sz w:val="20"/>
                <w:szCs w:val="20"/>
                <w:color w:val="auto"/>
              </w:rPr>
            </w:pPr>
            <w:r>
              <w:rPr>
                <w:rFonts w:ascii="Arial" w:cs="Arial" w:eastAsia="Arial" w:hAnsi="Arial"/>
                <w:sz w:val="12"/>
                <w:szCs w:val="12"/>
                <w:color w:val="auto"/>
              </w:rPr>
              <w:t>Not Applicable</w:t>
            </w:r>
          </w:p>
        </w:tc>
      </w:tr>
      <w:tr>
        <w:trPr>
          <w:trHeight w:val="360"/>
        </w:trPr>
        <w:tc>
          <w:tcPr>
            <w:tcW w:w="360" w:type="dxa"/>
            <w:vAlign w:val="bottom"/>
            <w:gridSpan w:val="2"/>
          </w:tcPr>
          <w:p>
            <w:pPr>
              <w:spacing w:after="0"/>
              <w:rPr>
                <w:sz w:val="20"/>
                <w:szCs w:val="20"/>
                <w:color w:val="auto"/>
              </w:rPr>
            </w:pPr>
            <w:r>
              <w:rPr>
                <w:rFonts w:ascii="Arial" w:cs="Arial" w:eastAsia="Arial" w:hAnsi="Arial"/>
                <w:sz w:val="12"/>
                <w:szCs w:val="12"/>
                <w:b w:val="1"/>
                <w:bCs w:val="1"/>
                <w:color w:val="auto"/>
                <w:w w:val="89"/>
              </w:rPr>
              <w:t>Item 6.</w:t>
            </w:r>
          </w:p>
        </w:tc>
        <w:tc>
          <w:tcPr>
            <w:tcW w:w="520" w:type="dxa"/>
            <w:vAlign w:val="bottom"/>
            <w:gridSpan w:val="3"/>
          </w:tcPr>
          <w:p>
            <w:pPr>
              <w:ind w:left="20"/>
              <w:spacing w:after="0"/>
              <w:rPr>
                <w:sz w:val="20"/>
                <w:szCs w:val="20"/>
                <w:color w:val="auto"/>
              </w:rPr>
            </w:pPr>
            <w:r>
              <w:rPr>
                <w:rFonts w:ascii="Arial" w:cs="Arial" w:eastAsia="Arial" w:hAnsi="Arial"/>
                <w:sz w:val="12"/>
                <w:szCs w:val="12"/>
                <w:b w:val="1"/>
                <w:bCs w:val="1"/>
                <w:color w:val="auto"/>
                <w:w w:val="88"/>
              </w:rPr>
              <w:t>- Exhibits</w:t>
            </w:r>
          </w:p>
        </w:tc>
        <w:tc>
          <w:tcPr>
            <w:tcW w:w="9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537"/>
        </w:trPr>
        <w:tc>
          <w:tcPr>
            <w:tcW w:w="20" w:type="dxa"/>
            <w:vAlign w:val="bottom"/>
          </w:tcPr>
          <w:p>
            <w:pPr>
              <w:spacing w:after="0"/>
              <w:rPr>
                <w:sz w:val="24"/>
                <w:szCs w:val="24"/>
                <w:color w:val="auto"/>
              </w:rPr>
            </w:pP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Exhibit</w:t>
            </w:r>
          </w:p>
        </w:tc>
        <w:tc>
          <w:tcPr>
            <w:tcW w:w="9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57"/>
        </w:trPr>
        <w:tc>
          <w:tcPr>
            <w:tcW w:w="20" w:type="dxa"/>
            <w:vAlign w:val="bottom"/>
          </w:tcPr>
          <w:p>
            <w:pPr>
              <w:spacing w:after="0"/>
              <w:rPr>
                <w:sz w:val="13"/>
                <w:szCs w:val="13"/>
                <w:color w:val="auto"/>
              </w:rPr>
            </w:pP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Number</w:t>
            </w:r>
          </w:p>
        </w:tc>
        <w:tc>
          <w:tcPr>
            <w:tcW w:w="10600" w:type="dxa"/>
            <w:vAlign w:val="bottom"/>
            <w:gridSpan w:val="3"/>
          </w:tcPr>
          <w:p>
            <w:pPr>
              <w:ind w:left="5000"/>
              <w:spacing w:after="0"/>
              <w:rPr>
                <w:sz w:val="20"/>
                <w:szCs w:val="20"/>
                <w:color w:val="auto"/>
              </w:rPr>
            </w:pPr>
            <w:r>
              <w:rPr>
                <w:rFonts w:ascii="Arial" w:cs="Arial" w:eastAsia="Arial" w:hAnsi="Arial"/>
                <w:sz w:val="12"/>
                <w:szCs w:val="12"/>
                <w:b w:val="1"/>
                <w:bCs w:val="1"/>
                <w:color w:val="auto"/>
              </w:rPr>
              <w:t>Description</w:t>
            </w:r>
          </w:p>
        </w:tc>
      </w:tr>
      <w:tr>
        <w:trPr>
          <w:trHeight w:val="106"/>
        </w:trPr>
        <w:tc>
          <w:tcPr>
            <w:tcW w:w="20" w:type="dxa"/>
            <w:vAlign w:val="bottom"/>
          </w:tcPr>
          <w:p>
            <w:pPr>
              <w:spacing w:after="0"/>
              <w:rPr>
                <w:sz w:val="9"/>
                <w:szCs w:val="9"/>
                <w:color w:val="auto"/>
              </w:rPr>
            </w:pPr>
          </w:p>
        </w:tc>
        <w:tc>
          <w:tcPr>
            <w:tcW w:w="780" w:type="dxa"/>
            <w:vAlign w:val="bottom"/>
            <w:tcBorders>
              <w:top w:val="single" w:sz="8" w:color="auto"/>
            </w:tcBorders>
            <w:gridSpan w:val="2"/>
          </w:tcPr>
          <w:p>
            <w:pPr>
              <w:ind w:left="140"/>
              <w:spacing w:after="0" w:line="106" w:lineRule="exact"/>
              <w:rPr>
                <w:sz w:val="20"/>
                <w:szCs w:val="20"/>
                <w:color w:val="auto"/>
              </w:rPr>
            </w:pPr>
            <w:r>
              <w:rPr>
                <w:rFonts w:ascii="Arial" w:cs="Arial" w:eastAsia="Arial" w:hAnsi="Arial"/>
                <w:sz w:val="12"/>
                <w:szCs w:val="12"/>
                <w:color w:val="auto"/>
              </w:rPr>
              <w:t>31.1</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9780" w:type="dxa"/>
            <w:vAlign w:val="bottom"/>
            <w:tcBorders>
              <w:top w:val="single" w:sz="8" w:color="auto"/>
              <w:bottom w:val="single" w:sz="8" w:color="0000EE"/>
            </w:tcBorders>
            <w:gridSpan w:val="2"/>
          </w:tcPr>
          <w:p>
            <w:pPr>
              <w:spacing w:after="0" w:line="106" w:lineRule="exact"/>
              <w:rPr>
                <w:rFonts w:ascii="Arial" w:cs="Arial" w:eastAsia="Arial" w:hAnsi="Arial"/>
                <w:sz w:val="12"/>
                <w:szCs w:val="12"/>
                <w:color w:val="0000EE"/>
                <w:w w:val="90"/>
              </w:rPr>
            </w:pPr>
            <w:hyperlink w:anchor="page62">
              <w:r>
                <w:rPr>
                  <w:rFonts w:ascii="Arial" w:cs="Arial" w:eastAsia="Arial" w:hAnsi="Arial"/>
                  <w:sz w:val="12"/>
                  <w:szCs w:val="12"/>
                  <w:color w:val="0000EE"/>
                  <w:w w:val="90"/>
                </w:rPr>
                <w:t>Certification of Principal Executive Officer Pursuant to Rules 13a-14(a) and 15d-14(a) under the Securities Exchange Act of 1934, as Adopted Pursuant to Section 302 of the Sarbanes-Oxley Act of 2002.</w:t>
              </w:r>
            </w:hyperlink>
          </w:p>
        </w:tc>
        <w:tc>
          <w:tcPr>
            <w:tcW w:w="820" w:type="dxa"/>
            <w:vAlign w:val="bottom"/>
            <w:tcBorders>
              <w:top w:val="single" w:sz="8" w:color="auto"/>
            </w:tcBorders>
          </w:tcPr>
          <w:p>
            <w:pPr>
              <w:spacing w:after="0"/>
              <w:rPr>
                <w:sz w:val="9"/>
                <w:szCs w:val="9"/>
                <w:color w:val="auto"/>
              </w:rPr>
            </w:pPr>
          </w:p>
        </w:tc>
      </w:tr>
      <w:tr>
        <w:trPr>
          <w:trHeight w:val="268"/>
        </w:trPr>
        <w:tc>
          <w:tcPr>
            <w:tcW w:w="800" w:type="dxa"/>
            <w:vAlign w:val="bottom"/>
            <w:gridSpan w:val="3"/>
          </w:tcPr>
          <w:p>
            <w:pPr>
              <w:ind w:left="160"/>
              <w:spacing w:after="0"/>
              <w:rPr>
                <w:sz w:val="20"/>
                <w:szCs w:val="20"/>
                <w:color w:val="auto"/>
              </w:rPr>
            </w:pPr>
            <w:r>
              <w:rPr>
                <w:rFonts w:ascii="Arial" w:cs="Arial" w:eastAsia="Arial" w:hAnsi="Arial"/>
                <w:sz w:val="12"/>
                <w:szCs w:val="12"/>
                <w:color w:val="auto"/>
              </w:rPr>
              <w:t>31.2</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40" w:type="dxa"/>
            <w:vAlign w:val="bottom"/>
            <w:tcBorders>
              <w:bottom w:val="single" w:sz="8" w:color="0000EE"/>
            </w:tcBorders>
          </w:tcPr>
          <w:p>
            <w:pPr>
              <w:spacing w:after="0"/>
              <w:rPr>
                <w:rFonts w:ascii="Arial" w:cs="Arial" w:eastAsia="Arial" w:hAnsi="Arial"/>
                <w:sz w:val="12"/>
                <w:szCs w:val="12"/>
                <w:color w:val="0000EE"/>
                <w:w w:val="90"/>
              </w:rPr>
            </w:pPr>
            <w:hyperlink w:anchor="page64">
              <w:r>
                <w:rPr>
                  <w:rFonts w:ascii="Arial" w:cs="Arial" w:eastAsia="Arial" w:hAnsi="Arial"/>
                  <w:sz w:val="12"/>
                  <w:szCs w:val="12"/>
                  <w:color w:val="0000EE"/>
                  <w:w w:val="90"/>
                </w:rPr>
                <w:t>Certification of Principal Financial Officer Pursuant to Rules 13a-14(a) and 15d-14(a) under the Securities Exchange Act of 1934, as Adopted Pursuant to Section 302 of the Sarbanes-Oxley Act of 2002.</w:t>
              </w:r>
            </w:hyperlink>
          </w:p>
        </w:tc>
        <w:tc>
          <w:tcPr>
            <w:tcW w:w="860" w:type="dxa"/>
            <w:vAlign w:val="bottom"/>
            <w:gridSpan w:val="2"/>
          </w:tcPr>
          <w:p>
            <w:pPr>
              <w:spacing w:after="0"/>
              <w:rPr>
                <w:sz w:val="23"/>
                <w:szCs w:val="23"/>
                <w:color w:val="auto"/>
              </w:rPr>
            </w:pPr>
          </w:p>
        </w:tc>
      </w:tr>
    </w:tbl>
    <w:p>
      <w:pPr>
        <w:spacing w:after="0" w:line="153" w:lineRule="exact"/>
        <w:rPr>
          <w:sz w:val="20"/>
          <w:szCs w:val="20"/>
          <w:color w:val="auto"/>
        </w:rPr>
      </w:pPr>
    </w:p>
    <w:p>
      <w:pPr>
        <w:ind w:left="880" w:hanging="726"/>
        <w:spacing w:after="0"/>
        <w:tabs>
          <w:tab w:leader="none" w:pos="880" w:val="left"/>
        </w:tabs>
        <w:numPr>
          <w:ilvl w:val="0"/>
          <w:numId w:val="30"/>
        </w:numPr>
        <w:rPr>
          <w:rFonts w:ascii="Arial" w:cs="Arial" w:eastAsia="Arial" w:hAnsi="Arial"/>
          <w:sz w:val="12"/>
          <w:szCs w:val="12"/>
          <w:u w:val="single" w:color="auto"/>
          <w:color w:val="0000EE"/>
        </w:rPr>
      </w:pPr>
      <w:hyperlink w:anchor="page65">
        <w:r>
          <w:rPr>
            <w:rFonts w:ascii="Arial" w:cs="Arial" w:eastAsia="Arial" w:hAnsi="Arial"/>
            <w:sz w:val="12"/>
            <w:szCs w:val="12"/>
            <w:u w:val="single" w:color="auto"/>
            <w:color w:val="0000EE"/>
          </w:rPr>
          <w:t>Certification of Principal Executive Officer and Principal Financial Officer pursuant to 18 U.S.C. Section 1350, as adopted pursuant to Section 906 of the Sarbanes-Oxley Act of 2002.</w:t>
        </w:r>
      </w:hyperlink>
    </w:p>
    <w:p>
      <w:pPr>
        <w:spacing w:after="0" w:line="150" w:lineRule="exact"/>
        <w:rPr>
          <w:sz w:val="20"/>
          <w:szCs w:val="20"/>
          <w:color w:val="auto"/>
        </w:rPr>
      </w:pPr>
    </w:p>
    <w:tbl>
      <w:tblPr>
        <w:tblLayout w:type="fixed"/>
        <w:tblInd w:w="160" w:type="dxa"/>
        <w:tblCellMar>
          <w:top w:w="0" w:type="dxa"/>
          <w:left w:w="0" w:type="dxa"/>
          <w:bottom w:w="0" w:type="dxa"/>
          <w:right w:w="0" w:type="dxa"/>
        </w:tblCellMar>
      </w:tblPr>
      <w:tr>
        <w:trPr>
          <w:trHeight w:val="153"/>
        </w:trPr>
        <w:tc>
          <w:tcPr>
            <w:tcW w:w="580" w:type="dxa"/>
            <w:vAlign w:val="bottom"/>
          </w:tcPr>
          <w:p>
            <w:pPr>
              <w:spacing w:after="0"/>
              <w:rPr>
                <w:sz w:val="20"/>
                <w:szCs w:val="20"/>
                <w:color w:val="auto"/>
              </w:rPr>
            </w:pPr>
            <w:r>
              <w:rPr>
                <w:rFonts w:ascii="Arial" w:cs="Arial" w:eastAsia="Arial" w:hAnsi="Arial"/>
                <w:sz w:val="12"/>
                <w:szCs w:val="12"/>
                <w:color w:val="auto"/>
              </w:rPr>
              <w:t>101.INS</w:t>
            </w:r>
          </w:p>
        </w:tc>
        <w:tc>
          <w:tcPr>
            <w:tcW w:w="3140" w:type="dxa"/>
            <w:vAlign w:val="bottom"/>
          </w:tcPr>
          <w:p>
            <w:pPr>
              <w:ind w:left="140"/>
              <w:spacing w:after="0"/>
              <w:rPr>
                <w:sz w:val="20"/>
                <w:szCs w:val="20"/>
                <w:color w:val="auto"/>
              </w:rPr>
            </w:pPr>
            <w:r>
              <w:rPr>
                <w:rFonts w:ascii="Arial" w:cs="Arial" w:eastAsia="Arial" w:hAnsi="Arial"/>
                <w:sz w:val="12"/>
                <w:szCs w:val="12"/>
                <w:color w:val="auto"/>
              </w:rPr>
              <w:t>XBRL Instance Document</w:t>
            </w:r>
          </w:p>
        </w:tc>
      </w:tr>
      <w:tr>
        <w:trPr>
          <w:trHeight w:val="288"/>
        </w:trPr>
        <w:tc>
          <w:tcPr>
            <w:tcW w:w="580" w:type="dxa"/>
            <w:vAlign w:val="bottom"/>
          </w:tcPr>
          <w:p>
            <w:pPr>
              <w:spacing w:after="0"/>
              <w:rPr>
                <w:sz w:val="20"/>
                <w:szCs w:val="20"/>
                <w:color w:val="auto"/>
              </w:rPr>
            </w:pPr>
            <w:r>
              <w:rPr>
                <w:rFonts w:ascii="Arial" w:cs="Arial" w:eastAsia="Arial" w:hAnsi="Arial"/>
                <w:sz w:val="12"/>
                <w:szCs w:val="12"/>
                <w:color w:val="auto"/>
              </w:rPr>
              <w:t>101.SCH</w:t>
            </w:r>
          </w:p>
        </w:tc>
        <w:tc>
          <w:tcPr>
            <w:tcW w:w="3140" w:type="dxa"/>
            <w:vAlign w:val="bottom"/>
          </w:tcPr>
          <w:p>
            <w:pPr>
              <w:ind w:left="140"/>
              <w:spacing w:after="0"/>
              <w:rPr>
                <w:sz w:val="20"/>
                <w:szCs w:val="20"/>
                <w:color w:val="auto"/>
              </w:rPr>
            </w:pPr>
            <w:r>
              <w:rPr>
                <w:rFonts w:ascii="Arial" w:cs="Arial" w:eastAsia="Arial" w:hAnsi="Arial"/>
                <w:sz w:val="12"/>
                <w:szCs w:val="12"/>
                <w:color w:val="auto"/>
                <w:w w:val="98"/>
              </w:rPr>
              <w:t>XBRL Taxonomy Extension Schema Linkbase Document</w:t>
            </w:r>
          </w:p>
        </w:tc>
      </w:tr>
      <w:tr>
        <w:trPr>
          <w:trHeight w:val="288"/>
        </w:trPr>
        <w:tc>
          <w:tcPr>
            <w:tcW w:w="580" w:type="dxa"/>
            <w:vAlign w:val="bottom"/>
          </w:tcPr>
          <w:p>
            <w:pPr>
              <w:spacing w:after="0"/>
              <w:rPr>
                <w:sz w:val="20"/>
                <w:szCs w:val="20"/>
                <w:color w:val="auto"/>
              </w:rPr>
            </w:pPr>
            <w:r>
              <w:rPr>
                <w:rFonts w:ascii="Arial" w:cs="Arial" w:eastAsia="Arial" w:hAnsi="Arial"/>
                <w:sz w:val="12"/>
                <w:szCs w:val="12"/>
                <w:color w:val="auto"/>
              </w:rPr>
              <w:t>101.CAL</w:t>
            </w:r>
          </w:p>
        </w:tc>
        <w:tc>
          <w:tcPr>
            <w:tcW w:w="3140" w:type="dxa"/>
            <w:vAlign w:val="bottom"/>
          </w:tcPr>
          <w:p>
            <w:pPr>
              <w:ind w:left="140"/>
              <w:spacing w:after="0"/>
              <w:rPr>
                <w:sz w:val="20"/>
                <w:szCs w:val="20"/>
                <w:color w:val="auto"/>
              </w:rPr>
            </w:pPr>
            <w:r>
              <w:rPr>
                <w:rFonts w:ascii="Arial" w:cs="Arial" w:eastAsia="Arial" w:hAnsi="Arial"/>
                <w:sz w:val="12"/>
                <w:szCs w:val="12"/>
                <w:color w:val="auto"/>
                <w:w w:val="93"/>
              </w:rPr>
              <w:t>XBRL Taxonomy Extension Calculation Linkbase Document</w:t>
            </w:r>
          </w:p>
        </w:tc>
      </w:tr>
      <w:tr>
        <w:trPr>
          <w:trHeight w:val="288"/>
        </w:trPr>
        <w:tc>
          <w:tcPr>
            <w:tcW w:w="580" w:type="dxa"/>
            <w:vAlign w:val="bottom"/>
          </w:tcPr>
          <w:p>
            <w:pPr>
              <w:spacing w:after="0"/>
              <w:rPr>
                <w:sz w:val="20"/>
                <w:szCs w:val="20"/>
                <w:color w:val="auto"/>
              </w:rPr>
            </w:pPr>
            <w:r>
              <w:rPr>
                <w:rFonts w:ascii="Arial" w:cs="Arial" w:eastAsia="Arial" w:hAnsi="Arial"/>
                <w:sz w:val="12"/>
                <w:szCs w:val="12"/>
                <w:color w:val="auto"/>
              </w:rPr>
              <w:t>101.DEF</w:t>
            </w:r>
          </w:p>
        </w:tc>
        <w:tc>
          <w:tcPr>
            <w:tcW w:w="3140" w:type="dxa"/>
            <w:vAlign w:val="bottom"/>
          </w:tcPr>
          <w:p>
            <w:pPr>
              <w:ind w:left="140"/>
              <w:spacing w:after="0"/>
              <w:rPr>
                <w:sz w:val="20"/>
                <w:szCs w:val="20"/>
                <w:color w:val="auto"/>
              </w:rPr>
            </w:pPr>
            <w:r>
              <w:rPr>
                <w:rFonts w:ascii="Arial" w:cs="Arial" w:eastAsia="Arial" w:hAnsi="Arial"/>
                <w:sz w:val="12"/>
                <w:szCs w:val="12"/>
                <w:color w:val="auto"/>
                <w:w w:val="96"/>
              </w:rPr>
              <w:t>XBRL Taxonomy Extension Definition Linkbase Document</w:t>
            </w:r>
          </w:p>
        </w:tc>
      </w:tr>
      <w:tr>
        <w:trPr>
          <w:trHeight w:val="288"/>
        </w:trPr>
        <w:tc>
          <w:tcPr>
            <w:tcW w:w="580" w:type="dxa"/>
            <w:vAlign w:val="bottom"/>
          </w:tcPr>
          <w:p>
            <w:pPr>
              <w:spacing w:after="0"/>
              <w:rPr>
                <w:sz w:val="20"/>
                <w:szCs w:val="20"/>
                <w:color w:val="auto"/>
              </w:rPr>
            </w:pPr>
            <w:r>
              <w:rPr>
                <w:rFonts w:ascii="Arial" w:cs="Arial" w:eastAsia="Arial" w:hAnsi="Arial"/>
                <w:sz w:val="12"/>
                <w:szCs w:val="12"/>
                <w:color w:val="auto"/>
              </w:rPr>
              <w:t>101.LAB</w:t>
            </w:r>
          </w:p>
        </w:tc>
        <w:tc>
          <w:tcPr>
            <w:tcW w:w="3140" w:type="dxa"/>
            <w:vAlign w:val="bottom"/>
          </w:tcPr>
          <w:p>
            <w:pPr>
              <w:ind w:left="140"/>
              <w:spacing w:after="0"/>
              <w:rPr>
                <w:sz w:val="20"/>
                <w:szCs w:val="20"/>
                <w:color w:val="auto"/>
              </w:rPr>
            </w:pPr>
            <w:r>
              <w:rPr>
                <w:rFonts w:ascii="Arial" w:cs="Arial" w:eastAsia="Arial" w:hAnsi="Arial"/>
                <w:sz w:val="12"/>
                <w:szCs w:val="12"/>
                <w:color w:val="auto"/>
              </w:rPr>
              <w:t>XBRL Taxonomy Extension Label Linkbase Document</w:t>
            </w:r>
          </w:p>
        </w:tc>
      </w:tr>
      <w:tr>
        <w:trPr>
          <w:trHeight w:val="288"/>
        </w:trPr>
        <w:tc>
          <w:tcPr>
            <w:tcW w:w="580" w:type="dxa"/>
            <w:vAlign w:val="bottom"/>
          </w:tcPr>
          <w:p>
            <w:pPr>
              <w:spacing w:after="0"/>
              <w:rPr>
                <w:sz w:val="20"/>
                <w:szCs w:val="20"/>
                <w:color w:val="auto"/>
              </w:rPr>
            </w:pPr>
            <w:r>
              <w:rPr>
                <w:rFonts w:ascii="Arial" w:cs="Arial" w:eastAsia="Arial" w:hAnsi="Arial"/>
                <w:sz w:val="12"/>
                <w:szCs w:val="12"/>
                <w:color w:val="auto"/>
              </w:rPr>
              <w:t>101.PRE</w:t>
            </w:r>
          </w:p>
        </w:tc>
        <w:tc>
          <w:tcPr>
            <w:tcW w:w="3140" w:type="dxa"/>
            <w:vAlign w:val="bottom"/>
          </w:tcPr>
          <w:p>
            <w:pPr>
              <w:ind w:left="140"/>
              <w:spacing w:after="0"/>
              <w:rPr>
                <w:sz w:val="20"/>
                <w:szCs w:val="20"/>
                <w:color w:val="auto"/>
              </w:rPr>
            </w:pPr>
            <w:r>
              <w:rPr>
                <w:rFonts w:ascii="Arial" w:cs="Arial" w:eastAsia="Arial" w:hAnsi="Arial"/>
                <w:sz w:val="12"/>
                <w:szCs w:val="12"/>
                <w:color w:val="auto"/>
                <w:w w:val="91"/>
              </w:rPr>
              <w:t>XBRL Taxonomy Extension Presentation Linkbase Document</w:t>
            </w:r>
          </w:p>
        </w:tc>
      </w:tr>
    </w:tbl>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2340" cy="17145"/>
                    </a:xfrm>
                    <a:prstGeom prst="rect">
                      <a:avLst/>
                    </a:prstGeom>
                    <a:noFill/>
                  </pic:spPr>
                </pic:pic>
              </a:graphicData>
            </a:graphic>
          </wp:anchor>
        </w:drawing>
      </w:r>
    </w:p>
    <w:p>
      <w:pPr>
        <w:sectPr>
          <w:pgSz w:w="11900" w:h="16838" w:orient="portrait"/>
          <w:cols w:equalWidth="0" w:num="1">
            <w:col w:w="11480"/>
          </w:cols>
          <w:pgMar w:left="220" w:top="191" w:right="199" w:bottom="1440" w:gutter="0" w:footer="0" w:header="0"/>
        </w:sectPr>
      </w:pPr>
    </w:p>
    <w:bookmarkStart w:id="60" w:name="page61"/>
    <w:bookmarkEnd w:id="60"/>
    <w:p>
      <w:pPr>
        <w:ind w:left="2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150" w:lineRule="exact"/>
        <w:rPr>
          <w:sz w:val="20"/>
          <w:szCs w:val="20"/>
          <w:color w:val="auto"/>
        </w:rPr>
      </w:pPr>
    </w:p>
    <w:p>
      <w:pPr>
        <w:jc w:val="center"/>
        <w:ind w:right="-399"/>
        <w:spacing w:after="0"/>
        <w:rPr>
          <w:sz w:val="20"/>
          <w:szCs w:val="20"/>
          <w:color w:val="auto"/>
        </w:rPr>
      </w:pPr>
      <w:r>
        <w:rPr>
          <w:rFonts w:ascii="Arial" w:cs="Arial" w:eastAsia="Arial" w:hAnsi="Arial"/>
          <w:sz w:val="12"/>
          <w:szCs w:val="12"/>
          <w:color w:val="auto"/>
        </w:rPr>
        <w:t>SIGNATURES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 on August 3, 2018.</w:t>
      </w:r>
    </w:p>
    <w:p>
      <w:pPr>
        <w:spacing w:after="0" w:line="200" w:lineRule="exact"/>
        <w:rPr>
          <w:sz w:val="20"/>
          <w:szCs w:val="20"/>
          <w:color w:val="auto"/>
        </w:rPr>
      </w:pPr>
    </w:p>
    <w:p>
      <w:pPr>
        <w:spacing w:after="0" w:line="238" w:lineRule="exact"/>
        <w:rPr>
          <w:sz w:val="20"/>
          <w:szCs w:val="20"/>
          <w:color w:val="auto"/>
        </w:rPr>
      </w:pPr>
    </w:p>
    <w:p>
      <w:pPr>
        <w:ind w:left="8880"/>
        <w:spacing w:after="0"/>
        <w:rPr>
          <w:sz w:val="20"/>
          <w:szCs w:val="20"/>
          <w:color w:val="auto"/>
        </w:rPr>
      </w:pPr>
      <w:r>
        <w:rPr>
          <w:rFonts w:ascii="Arial" w:cs="Arial" w:eastAsia="Arial" w:hAnsi="Arial"/>
          <w:sz w:val="12"/>
          <w:szCs w:val="12"/>
          <w:color w:val="auto"/>
        </w:rPr>
        <w:t>NI HOLDINGS, INC.</w:t>
      </w:r>
    </w:p>
    <w:p>
      <w:pPr>
        <w:spacing w:after="0" w:line="294" w:lineRule="exact"/>
        <w:rPr>
          <w:sz w:val="20"/>
          <w:szCs w:val="20"/>
          <w:color w:val="auto"/>
        </w:rPr>
      </w:pPr>
    </w:p>
    <w:p>
      <w:pPr>
        <w:ind w:left="8880"/>
        <w:spacing w:after="0"/>
        <w:rPr>
          <w:sz w:val="20"/>
          <w:szCs w:val="20"/>
          <w:color w:val="auto"/>
        </w:rPr>
      </w:pPr>
      <w:r>
        <w:rPr>
          <w:rFonts w:ascii="Arial" w:cs="Arial" w:eastAsia="Arial" w:hAnsi="Arial"/>
          <w:sz w:val="12"/>
          <w:szCs w:val="12"/>
          <w:color w:val="auto"/>
        </w:rPr>
        <w:t>/s/ Michael J.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5640070</wp:posOffset>
            </wp:positionH>
            <wp:positionV relativeFrom="paragraph">
              <wp:posOffset>9525</wp:posOffset>
            </wp:positionV>
            <wp:extent cx="164719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647190" cy="5715"/>
                    </a:xfrm>
                    <a:prstGeom prst="rect">
                      <a:avLst/>
                    </a:prstGeom>
                    <a:noFill/>
                  </pic:spPr>
                </pic:pic>
              </a:graphicData>
            </a:graphic>
          </wp:anchor>
        </w:drawing>
      </w:r>
    </w:p>
    <w:p>
      <w:pPr>
        <w:ind w:left="8880"/>
        <w:spacing w:after="0"/>
        <w:rPr>
          <w:sz w:val="20"/>
          <w:szCs w:val="20"/>
          <w:color w:val="auto"/>
        </w:rPr>
      </w:pPr>
      <w:r>
        <w:rPr>
          <w:rFonts w:ascii="Arial" w:cs="Arial" w:eastAsia="Arial" w:hAnsi="Arial"/>
          <w:sz w:val="12"/>
          <w:szCs w:val="12"/>
          <w:color w:val="auto"/>
        </w:rPr>
        <w:t>Michael J. Alexander</w:t>
      </w:r>
    </w:p>
    <w:p>
      <w:pPr>
        <w:spacing w:after="0" w:line="15" w:lineRule="exact"/>
        <w:rPr>
          <w:sz w:val="20"/>
          <w:szCs w:val="20"/>
          <w:color w:val="auto"/>
        </w:rPr>
      </w:pPr>
    </w:p>
    <w:p>
      <w:pPr>
        <w:ind w:left="8880"/>
        <w:spacing w:after="0"/>
        <w:rPr>
          <w:sz w:val="20"/>
          <w:szCs w:val="20"/>
          <w:color w:val="auto"/>
        </w:rPr>
      </w:pPr>
      <w:r>
        <w:rPr>
          <w:rFonts w:ascii="Arial" w:cs="Arial" w:eastAsia="Arial" w:hAnsi="Arial"/>
          <w:sz w:val="12"/>
          <w:szCs w:val="12"/>
          <w:color w:val="auto"/>
        </w:rPr>
        <w:t>President and Chief Executive Officer</w:t>
      </w:r>
    </w:p>
    <w:p>
      <w:pPr>
        <w:spacing w:after="0" w:line="6" w:lineRule="exact"/>
        <w:rPr>
          <w:sz w:val="20"/>
          <w:szCs w:val="20"/>
          <w:color w:val="auto"/>
        </w:rPr>
      </w:pPr>
    </w:p>
    <w:p>
      <w:pPr>
        <w:ind w:left="8880"/>
        <w:spacing w:after="0"/>
        <w:rPr>
          <w:sz w:val="20"/>
          <w:szCs w:val="20"/>
          <w:color w:val="auto"/>
        </w:rPr>
      </w:pPr>
      <w:r>
        <w:rPr>
          <w:rFonts w:ascii="Arial" w:cs="Arial" w:eastAsia="Arial" w:hAnsi="Arial"/>
          <w:sz w:val="12"/>
          <w:szCs w:val="12"/>
          <w:i w:val="1"/>
          <w:iCs w:val="1"/>
          <w:color w:val="auto"/>
        </w:rPr>
        <w:t>(Principal Executive Officer)</w:t>
      </w:r>
    </w:p>
    <w:p>
      <w:pPr>
        <w:spacing w:after="0" w:line="285" w:lineRule="exact"/>
        <w:rPr>
          <w:sz w:val="20"/>
          <w:szCs w:val="20"/>
          <w:color w:val="auto"/>
        </w:rPr>
      </w:pPr>
    </w:p>
    <w:p>
      <w:pPr>
        <w:ind w:left="8880"/>
        <w:spacing w:after="0"/>
        <w:rPr>
          <w:sz w:val="20"/>
          <w:szCs w:val="20"/>
          <w:color w:val="auto"/>
        </w:rPr>
      </w:pPr>
      <w:r>
        <w:rPr>
          <w:rFonts w:ascii="Arial" w:cs="Arial" w:eastAsia="Arial" w:hAnsi="Arial"/>
          <w:sz w:val="12"/>
          <w:szCs w:val="12"/>
          <w:color w:val="auto"/>
        </w:rPr>
        <w:t>/s/ Brian R. Doom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5640070</wp:posOffset>
            </wp:positionH>
            <wp:positionV relativeFrom="paragraph">
              <wp:posOffset>9525</wp:posOffset>
            </wp:positionV>
            <wp:extent cx="164719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647190" cy="5715"/>
                    </a:xfrm>
                    <a:prstGeom prst="rect">
                      <a:avLst/>
                    </a:prstGeom>
                    <a:noFill/>
                  </pic:spPr>
                </pic:pic>
              </a:graphicData>
            </a:graphic>
          </wp:anchor>
        </w:drawing>
      </w:r>
    </w:p>
    <w:p>
      <w:pPr>
        <w:ind w:left="8880"/>
        <w:spacing w:after="0"/>
        <w:rPr>
          <w:sz w:val="20"/>
          <w:szCs w:val="20"/>
          <w:color w:val="auto"/>
        </w:rPr>
      </w:pPr>
      <w:r>
        <w:rPr>
          <w:rFonts w:ascii="Arial" w:cs="Arial" w:eastAsia="Arial" w:hAnsi="Arial"/>
          <w:sz w:val="12"/>
          <w:szCs w:val="12"/>
          <w:color w:val="auto"/>
        </w:rPr>
        <w:t>Brian R. Doom</w:t>
      </w:r>
    </w:p>
    <w:p>
      <w:pPr>
        <w:spacing w:after="0" w:line="15" w:lineRule="exact"/>
        <w:rPr>
          <w:sz w:val="20"/>
          <w:szCs w:val="20"/>
          <w:color w:val="auto"/>
        </w:rPr>
      </w:pPr>
    </w:p>
    <w:p>
      <w:pPr>
        <w:ind w:left="8880"/>
        <w:spacing w:after="0"/>
        <w:rPr>
          <w:sz w:val="20"/>
          <w:szCs w:val="20"/>
          <w:color w:val="auto"/>
        </w:rPr>
      </w:pPr>
      <w:r>
        <w:rPr>
          <w:rFonts w:ascii="Arial" w:cs="Arial" w:eastAsia="Arial" w:hAnsi="Arial"/>
          <w:sz w:val="12"/>
          <w:szCs w:val="12"/>
          <w:color w:val="auto"/>
        </w:rPr>
        <w:t>Chief Financial Officer</w:t>
      </w:r>
    </w:p>
    <w:p>
      <w:pPr>
        <w:spacing w:after="0" w:line="6" w:lineRule="exact"/>
        <w:rPr>
          <w:sz w:val="20"/>
          <w:szCs w:val="20"/>
          <w:color w:val="auto"/>
        </w:rPr>
      </w:pPr>
    </w:p>
    <w:p>
      <w:pPr>
        <w:ind w:left="8880"/>
        <w:spacing w:after="0"/>
        <w:rPr>
          <w:sz w:val="20"/>
          <w:szCs w:val="20"/>
          <w:color w:val="auto"/>
        </w:rPr>
      </w:pPr>
      <w:r>
        <w:rPr>
          <w:rFonts w:ascii="Arial" w:cs="Arial" w:eastAsia="Arial" w:hAnsi="Arial"/>
          <w:sz w:val="11"/>
          <w:szCs w:val="11"/>
          <w:i w:val="1"/>
          <w:iCs w:val="1"/>
          <w:color w:val="auto"/>
        </w:rPr>
        <w:t>(Principal Financial and Accounting Officer)</w:t>
      </w:r>
    </w:p>
    <w:p>
      <w:pPr>
        <w:spacing w:after="0" w:line="200" w:lineRule="exact"/>
        <w:rPr>
          <w:sz w:val="20"/>
          <w:szCs w:val="20"/>
          <w:color w:val="auto"/>
        </w:rPr>
      </w:pPr>
    </w:p>
    <w:p>
      <w:pPr>
        <w:spacing w:after="0" w:line="385" w:lineRule="exact"/>
        <w:rPr>
          <w:sz w:val="20"/>
          <w:szCs w:val="20"/>
          <w:color w:val="auto"/>
        </w:rPr>
      </w:pPr>
    </w:p>
    <w:p>
      <w:pPr>
        <w:jc w:val="center"/>
        <w:ind w:right="-359"/>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9234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2340" cy="17145"/>
                    </a:xfrm>
                    <a:prstGeom prst="rect">
                      <a:avLst/>
                    </a:prstGeom>
                    <a:noFill/>
                  </pic:spPr>
                </pic:pic>
              </a:graphicData>
            </a:graphic>
          </wp:anchor>
        </w:drawing>
      </w:r>
    </w:p>
    <w:p>
      <w:pPr>
        <w:sectPr>
          <w:pgSz w:w="11900" w:h="16838" w:orient="portrait"/>
          <w:cols w:equalWidth="0" w:num="1">
            <w:col w:w="11060"/>
          </w:cols>
          <w:pgMar w:left="220" w:top="203" w:right="619" w:bottom="1440" w:gutter="0" w:footer="0" w:header="0"/>
        </w:sectPr>
      </w:pPr>
    </w:p>
    <w:bookmarkStart w:id="61" w:name="page62"/>
    <w:bookmarkEnd w:id="61"/>
    <w:p>
      <w:pPr>
        <w:jc w:val="right"/>
        <w:spacing w:after="0"/>
        <w:rPr>
          <w:sz w:val="20"/>
          <w:szCs w:val="20"/>
          <w:color w:val="auto"/>
        </w:rPr>
      </w:pPr>
      <w:r>
        <w:rPr>
          <w:rFonts w:ascii="Arial" w:cs="Arial" w:eastAsia="Arial" w:hAnsi="Arial"/>
          <w:sz w:val="12"/>
          <w:szCs w:val="12"/>
          <w:b w:val="1"/>
          <w:bCs w:val="1"/>
          <w:color w:val="auto"/>
        </w:rPr>
        <w:t>Exhibit 31.1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CERTIFICATION OF PERIODIC REPORT UNDER SECTION 302 OF THE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SARBANES-OXLEY ACT OF 2002</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I, Michael J. Alexander, certify that:</w:t>
      </w:r>
    </w:p>
    <w:p>
      <w:pPr>
        <w:spacing w:after="0" w:line="123" w:lineRule="exact"/>
        <w:rPr>
          <w:sz w:val="20"/>
          <w:szCs w:val="20"/>
          <w:color w:val="auto"/>
        </w:rPr>
      </w:pPr>
    </w:p>
    <w:p>
      <w:pPr>
        <w:ind w:left="860" w:hanging="436"/>
        <w:spacing w:after="0"/>
        <w:tabs>
          <w:tab w:leader="none" w:pos="8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NI Holdings, Inc.;</w:t>
      </w:r>
    </w:p>
    <w:p>
      <w:pPr>
        <w:spacing w:after="0" w:line="123" w:lineRule="exact"/>
        <w:rPr>
          <w:rFonts w:ascii="Arial" w:cs="Arial" w:eastAsia="Arial" w:hAnsi="Arial"/>
          <w:sz w:val="12"/>
          <w:szCs w:val="12"/>
          <w:color w:val="auto"/>
        </w:rPr>
      </w:pPr>
    </w:p>
    <w:p>
      <w:pPr>
        <w:ind w:left="860" w:right="520" w:hanging="436"/>
        <w:spacing w:after="0" w:line="276" w:lineRule="auto"/>
        <w:tabs>
          <w:tab w:leader="none" w:pos="8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Arial" w:cs="Arial" w:eastAsia="Arial" w:hAnsi="Arial"/>
          <w:sz w:val="12"/>
          <w:szCs w:val="12"/>
          <w:color w:val="auto"/>
        </w:rPr>
      </w:pPr>
    </w:p>
    <w:p>
      <w:pPr>
        <w:ind w:left="860" w:right="120" w:hanging="436"/>
        <w:spacing w:after="0" w:line="276" w:lineRule="auto"/>
        <w:tabs>
          <w:tab w:leader="none" w:pos="8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7" w:lineRule="exact"/>
        <w:rPr>
          <w:rFonts w:ascii="Arial" w:cs="Arial" w:eastAsia="Arial" w:hAnsi="Arial"/>
          <w:sz w:val="12"/>
          <w:szCs w:val="12"/>
          <w:color w:val="auto"/>
        </w:rPr>
      </w:pPr>
    </w:p>
    <w:p>
      <w:pPr>
        <w:ind w:left="860" w:right="300" w:hanging="436"/>
        <w:spacing w:after="0" w:line="276" w:lineRule="auto"/>
        <w:tabs>
          <w:tab w:leader="none" w:pos="8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rFonts w:ascii="Arial" w:cs="Arial" w:eastAsia="Arial" w:hAnsi="Arial"/>
          <w:sz w:val="12"/>
          <w:szCs w:val="12"/>
          <w:color w:val="auto"/>
        </w:rPr>
      </w:pPr>
    </w:p>
    <w:p>
      <w:pPr>
        <w:ind w:left="1280" w:right="120" w:hanging="423"/>
        <w:spacing w:after="0" w:line="276" w:lineRule="auto"/>
        <w:tabs>
          <w:tab w:leader="none" w:pos="1280" w:val="left"/>
        </w:tabs>
        <w:numPr>
          <w:ilvl w:val="1"/>
          <w:numId w:val="3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6" w:lineRule="exact"/>
        <w:rPr>
          <w:rFonts w:ascii="Arial" w:cs="Arial" w:eastAsia="Arial" w:hAnsi="Arial"/>
          <w:sz w:val="12"/>
          <w:szCs w:val="12"/>
          <w:color w:val="auto"/>
        </w:rPr>
      </w:pPr>
    </w:p>
    <w:p>
      <w:pPr>
        <w:ind w:left="1280" w:right="180" w:hanging="423"/>
        <w:spacing w:after="0" w:line="276" w:lineRule="auto"/>
        <w:tabs>
          <w:tab w:leader="none" w:pos="1280" w:val="left"/>
        </w:tabs>
        <w:numPr>
          <w:ilvl w:val="1"/>
          <w:numId w:val="31"/>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7" w:lineRule="exact"/>
        <w:rPr>
          <w:rFonts w:ascii="Arial" w:cs="Arial" w:eastAsia="Arial" w:hAnsi="Arial"/>
          <w:sz w:val="12"/>
          <w:szCs w:val="12"/>
          <w:color w:val="auto"/>
        </w:rPr>
      </w:pPr>
    </w:p>
    <w:p>
      <w:pPr>
        <w:ind w:left="1280" w:right="80" w:hanging="423"/>
        <w:spacing w:after="0" w:line="276" w:lineRule="auto"/>
        <w:tabs>
          <w:tab w:leader="none" w:pos="1280" w:val="left"/>
        </w:tabs>
        <w:numPr>
          <w:ilvl w:val="1"/>
          <w:numId w:val="31"/>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7" w:lineRule="exact"/>
        <w:rPr>
          <w:rFonts w:ascii="Arial" w:cs="Arial" w:eastAsia="Arial" w:hAnsi="Arial"/>
          <w:sz w:val="12"/>
          <w:szCs w:val="12"/>
          <w:color w:val="auto"/>
        </w:rPr>
      </w:pPr>
    </w:p>
    <w:p>
      <w:pPr>
        <w:ind w:left="1280" w:right="140" w:hanging="423"/>
        <w:spacing w:after="0" w:line="276" w:lineRule="auto"/>
        <w:tabs>
          <w:tab w:leader="none" w:pos="1280" w:val="left"/>
        </w:tabs>
        <w:numPr>
          <w:ilvl w:val="1"/>
          <w:numId w:val="31"/>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6" w:lineRule="exact"/>
        <w:rPr>
          <w:rFonts w:ascii="Arial" w:cs="Arial" w:eastAsia="Arial" w:hAnsi="Arial"/>
          <w:sz w:val="12"/>
          <w:szCs w:val="12"/>
          <w:color w:val="auto"/>
        </w:rPr>
      </w:pPr>
    </w:p>
    <w:p>
      <w:pPr>
        <w:ind w:left="860" w:right="100" w:hanging="436"/>
        <w:spacing w:after="0" w:line="276" w:lineRule="auto"/>
        <w:tabs>
          <w:tab w:leader="none" w:pos="8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7" w:lineRule="exact"/>
        <w:rPr>
          <w:rFonts w:ascii="Arial" w:cs="Arial" w:eastAsia="Arial" w:hAnsi="Arial"/>
          <w:sz w:val="12"/>
          <w:szCs w:val="12"/>
          <w:color w:val="auto"/>
        </w:rPr>
      </w:pPr>
    </w:p>
    <w:p>
      <w:pPr>
        <w:ind w:left="1280" w:right="100" w:hanging="423"/>
        <w:spacing w:after="0" w:line="276" w:lineRule="auto"/>
        <w:tabs>
          <w:tab w:leader="none" w:pos="1280" w:val="left"/>
        </w:tabs>
        <w:numPr>
          <w:ilvl w:val="1"/>
          <w:numId w:val="31"/>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7" w:lineRule="exact"/>
        <w:rPr>
          <w:rFonts w:ascii="Arial" w:cs="Arial" w:eastAsia="Arial" w:hAnsi="Arial"/>
          <w:sz w:val="12"/>
          <w:szCs w:val="12"/>
          <w:color w:val="auto"/>
        </w:rPr>
      </w:pPr>
    </w:p>
    <w:p>
      <w:pPr>
        <w:ind w:left="1280" w:hanging="423"/>
        <w:spacing w:after="0"/>
        <w:tabs>
          <w:tab w:leader="none" w:pos="1280" w:val="left"/>
        </w:tabs>
        <w:numPr>
          <w:ilvl w:val="1"/>
          <w:numId w:val="31"/>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00" w:type="dxa"/>
            <w:vAlign w:val="bottom"/>
          </w:tcPr>
          <w:p>
            <w:pPr>
              <w:spacing w:after="0"/>
              <w:rPr>
                <w:sz w:val="20"/>
                <w:szCs w:val="20"/>
                <w:color w:val="auto"/>
              </w:rPr>
            </w:pPr>
            <w:r>
              <w:rPr>
                <w:rFonts w:ascii="Arial" w:cs="Arial" w:eastAsia="Arial" w:hAnsi="Arial"/>
                <w:sz w:val="12"/>
                <w:szCs w:val="12"/>
                <w:color w:val="auto"/>
              </w:rPr>
              <w:t>August 3, 2018</w:t>
            </w:r>
          </w:p>
        </w:tc>
        <w:tc>
          <w:tcPr>
            <w:tcW w:w="4380" w:type="dxa"/>
            <w:vAlign w:val="bottom"/>
          </w:tcPr>
          <w:p>
            <w:pPr>
              <w:spacing w:after="0"/>
              <w:rPr>
                <w:sz w:val="12"/>
                <w:szCs w:val="12"/>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Michael J. Alexander</w:t>
            </w:r>
          </w:p>
        </w:tc>
        <w:tc>
          <w:tcPr>
            <w:tcW w:w="2540" w:type="dxa"/>
            <w:vAlign w:val="bottom"/>
          </w:tcPr>
          <w:p>
            <w:pPr>
              <w:spacing w:after="0"/>
              <w:rPr>
                <w:sz w:val="12"/>
                <w:szCs w:val="12"/>
                <w:color w:val="auto"/>
              </w:rPr>
            </w:pPr>
          </w:p>
        </w:tc>
      </w:tr>
      <w:tr>
        <w:trPr>
          <w:trHeight w:val="142"/>
        </w:trPr>
        <w:tc>
          <w:tcPr>
            <w:tcW w:w="320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3900" w:type="dxa"/>
            <w:vAlign w:val="bottom"/>
            <w:gridSpan w:val="2"/>
          </w:tcPr>
          <w:p>
            <w:pPr>
              <w:spacing w:after="0"/>
              <w:rPr>
                <w:sz w:val="20"/>
                <w:szCs w:val="20"/>
                <w:color w:val="auto"/>
              </w:rPr>
            </w:pPr>
            <w:r>
              <w:rPr>
                <w:rFonts w:ascii="Arial" w:cs="Arial" w:eastAsia="Arial" w:hAnsi="Arial"/>
                <w:sz w:val="12"/>
                <w:szCs w:val="12"/>
                <w:color w:val="auto"/>
              </w:rPr>
              <w:t>Michael J. Alexander</w:t>
            </w:r>
          </w:p>
        </w:tc>
      </w:tr>
      <w:tr>
        <w:trPr>
          <w:trHeight w:val="144"/>
        </w:trPr>
        <w:tc>
          <w:tcPr>
            <w:tcW w:w="320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3900" w:type="dxa"/>
            <w:vAlign w:val="bottom"/>
            <w:gridSpan w:val="2"/>
          </w:tcPr>
          <w:p>
            <w:pPr>
              <w:spacing w:after="0"/>
              <w:rPr>
                <w:sz w:val="20"/>
                <w:szCs w:val="20"/>
                <w:color w:val="auto"/>
              </w:rPr>
            </w:pPr>
            <w:r>
              <w:rPr>
                <w:rFonts w:ascii="Arial" w:cs="Arial" w:eastAsia="Arial" w:hAnsi="Arial"/>
                <w:sz w:val="12"/>
                <w:szCs w:val="12"/>
                <w:color w:val="auto"/>
              </w:rPr>
              <w:t>President and Chief Executive Officer</w:t>
            </w:r>
          </w:p>
        </w:tc>
      </w:tr>
      <w:tr>
        <w:trPr>
          <w:trHeight w:val="153"/>
        </w:trPr>
        <w:tc>
          <w:tcPr>
            <w:tcW w:w="320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3900" w:type="dxa"/>
            <w:vAlign w:val="bottom"/>
            <w:gridSpan w:val="2"/>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Principal Executive Officer</w:t>
            </w:r>
            <w:r>
              <w:rPr>
                <w:rFonts w:ascii="Arial" w:cs="Arial" w:eastAsia="Arial" w:hAnsi="Arial"/>
                <w:sz w:val="12"/>
                <w:szCs w:val="12"/>
                <w:color w:val="auto"/>
              </w:rPr>
              <w:t>)</w:t>
            </w:r>
          </w:p>
        </w:tc>
      </w:tr>
      <w:tr>
        <w:trPr>
          <w:trHeight w:val="286"/>
        </w:trPr>
        <w:tc>
          <w:tcPr>
            <w:tcW w:w="320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jc w:val="right"/>
              <w:ind w:right="1740"/>
              <w:spacing w:after="0"/>
              <w:rPr>
                <w:sz w:val="20"/>
                <w:szCs w:val="20"/>
                <w:color w:val="auto"/>
              </w:rPr>
            </w:pPr>
            <w:r>
              <w:rPr>
                <w:rFonts w:ascii="Arial" w:cs="Arial" w:eastAsia="Arial" w:hAnsi="Arial"/>
                <w:sz w:val="12"/>
                <w:szCs w:val="12"/>
                <w:color w:val="auto"/>
              </w:rPr>
              <w:t>60</w:t>
            </w:r>
          </w:p>
        </w:tc>
        <w:tc>
          <w:tcPr>
            <w:tcW w:w="13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r>
    </w:tbl>
    <w:p>
      <w:pPr>
        <w:sectPr>
          <w:pgSz w:w="11900" w:h="16838" w:orient="portrait"/>
          <w:cols w:equalWidth="0" w:num="1">
            <w:col w:w="11480"/>
          </w:cols>
          <w:pgMar w:left="220" w:top="127" w:right="199" w:bottom="1440" w:gutter="0" w:footer="0" w:header="0"/>
        </w:sectPr>
      </w:pPr>
    </w:p>
    <w:bookmarkStart w:id="62" w:name="page63"/>
    <w:bookmarkEnd w:id="6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3" w:name="page64"/>
    <w:bookmarkEnd w:id="63"/>
    <w:p>
      <w:pPr>
        <w:jc w:val="right"/>
        <w:spacing w:after="0"/>
        <w:rPr>
          <w:sz w:val="20"/>
          <w:szCs w:val="20"/>
          <w:color w:val="auto"/>
        </w:rPr>
      </w:pPr>
      <w:r>
        <w:rPr>
          <w:rFonts w:ascii="Arial" w:cs="Arial" w:eastAsia="Arial" w:hAnsi="Arial"/>
          <w:sz w:val="12"/>
          <w:szCs w:val="12"/>
          <w:b w:val="1"/>
          <w:bCs w:val="1"/>
          <w:color w:val="auto"/>
        </w:rPr>
        <w:t>Exhibit 31.2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CERTIFICATION OF PERIODIC REPORT UNDER SECTION 302 OF THE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SARBANES-OXLEY ACT OF 2002</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I, Brian R. Doom, certify that:</w:t>
      </w:r>
    </w:p>
    <w:p>
      <w:pPr>
        <w:spacing w:after="0" w:line="123" w:lineRule="exact"/>
        <w:rPr>
          <w:sz w:val="20"/>
          <w:szCs w:val="20"/>
          <w:color w:val="auto"/>
        </w:rPr>
      </w:pPr>
    </w:p>
    <w:p>
      <w:pPr>
        <w:ind w:left="860" w:hanging="436"/>
        <w:spacing w:after="0"/>
        <w:tabs>
          <w:tab w:leader="none" w:pos="8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NI Holdings, Inc.;</w:t>
      </w:r>
    </w:p>
    <w:p>
      <w:pPr>
        <w:spacing w:after="0" w:line="132" w:lineRule="exact"/>
        <w:rPr>
          <w:rFonts w:ascii="Arial" w:cs="Arial" w:eastAsia="Arial" w:hAnsi="Arial"/>
          <w:sz w:val="12"/>
          <w:szCs w:val="12"/>
          <w:color w:val="auto"/>
        </w:rPr>
      </w:pPr>
    </w:p>
    <w:p>
      <w:pPr>
        <w:ind w:left="860" w:right="520" w:hanging="436"/>
        <w:spacing w:after="0" w:line="276" w:lineRule="auto"/>
        <w:tabs>
          <w:tab w:leader="none" w:pos="8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2"/>
          <w:szCs w:val="12"/>
          <w:color w:val="auto"/>
        </w:rPr>
      </w:pPr>
    </w:p>
    <w:p>
      <w:pPr>
        <w:ind w:left="860" w:right="120" w:hanging="436"/>
        <w:spacing w:after="0" w:line="276" w:lineRule="auto"/>
        <w:tabs>
          <w:tab w:leader="none" w:pos="8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7" w:lineRule="exact"/>
        <w:rPr>
          <w:rFonts w:ascii="Arial" w:cs="Arial" w:eastAsia="Arial" w:hAnsi="Arial"/>
          <w:sz w:val="12"/>
          <w:szCs w:val="12"/>
          <w:color w:val="auto"/>
        </w:rPr>
      </w:pPr>
    </w:p>
    <w:p>
      <w:pPr>
        <w:ind w:left="860" w:right="300" w:hanging="436"/>
        <w:spacing w:after="0" w:line="276" w:lineRule="auto"/>
        <w:tabs>
          <w:tab w:leader="none" w:pos="8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6" w:lineRule="exact"/>
        <w:rPr>
          <w:rFonts w:ascii="Arial" w:cs="Arial" w:eastAsia="Arial" w:hAnsi="Arial"/>
          <w:sz w:val="12"/>
          <w:szCs w:val="12"/>
          <w:color w:val="auto"/>
        </w:rPr>
      </w:pPr>
    </w:p>
    <w:p>
      <w:pPr>
        <w:ind w:left="1280" w:right="120" w:hanging="423"/>
        <w:spacing w:after="0" w:line="276" w:lineRule="auto"/>
        <w:tabs>
          <w:tab w:leader="none" w:pos="1280" w:val="left"/>
        </w:tabs>
        <w:numPr>
          <w:ilvl w:val="1"/>
          <w:numId w:val="3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7" w:lineRule="exact"/>
        <w:rPr>
          <w:rFonts w:ascii="Arial" w:cs="Arial" w:eastAsia="Arial" w:hAnsi="Arial"/>
          <w:sz w:val="12"/>
          <w:szCs w:val="12"/>
          <w:color w:val="auto"/>
        </w:rPr>
      </w:pPr>
    </w:p>
    <w:p>
      <w:pPr>
        <w:ind w:left="1280" w:right="180" w:hanging="423"/>
        <w:spacing w:after="0" w:line="276" w:lineRule="auto"/>
        <w:tabs>
          <w:tab w:leader="none" w:pos="1280" w:val="left"/>
        </w:tabs>
        <w:numPr>
          <w:ilvl w:val="1"/>
          <w:numId w:val="32"/>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7" w:lineRule="exact"/>
        <w:rPr>
          <w:rFonts w:ascii="Arial" w:cs="Arial" w:eastAsia="Arial" w:hAnsi="Arial"/>
          <w:sz w:val="12"/>
          <w:szCs w:val="12"/>
          <w:color w:val="auto"/>
        </w:rPr>
      </w:pPr>
    </w:p>
    <w:p>
      <w:pPr>
        <w:ind w:left="1280" w:right="80" w:hanging="423"/>
        <w:spacing w:after="0" w:line="276" w:lineRule="auto"/>
        <w:tabs>
          <w:tab w:leader="none" w:pos="1280" w:val="left"/>
        </w:tabs>
        <w:numPr>
          <w:ilvl w:val="1"/>
          <w:numId w:val="32"/>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2"/>
          <w:szCs w:val="12"/>
          <w:color w:val="auto"/>
        </w:rPr>
      </w:pPr>
    </w:p>
    <w:p>
      <w:pPr>
        <w:ind w:left="1280" w:right="140" w:hanging="423"/>
        <w:spacing w:after="0" w:line="276" w:lineRule="auto"/>
        <w:tabs>
          <w:tab w:leader="none" w:pos="1280" w:val="left"/>
        </w:tabs>
        <w:numPr>
          <w:ilvl w:val="1"/>
          <w:numId w:val="32"/>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7" w:lineRule="exact"/>
        <w:rPr>
          <w:rFonts w:ascii="Arial" w:cs="Arial" w:eastAsia="Arial" w:hAnsi="Arial"/>
          <w:sz w:val="12"/>
          <w:szCs w:val="12"/>
          <w:color w:val="auto"/>
        </w:rPr>
      </w:pPr>
    </w:p>
    <w:p>
      <w:pPr>
        <w:ind w:left="860" w:right="100" w:hanging="436"/>
        <w:spacing w:after="0" w:line="276" w:lineRule="auto"/>
        <w:tabs>
          <w:tab w:leader="none" w:pos="8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7" w:lineRule="exact"/>
        <w:rPr>
          <w:rFonts w:ascii="Arial" w:cs="Arial" w:eastAsia="Arial" w:hAnsi="Arial"/>
          <w:sz w:val="12"/>
          <w:szCs w:val="12"/>
          <w:color w:val="auto"/>
        </w:rPr>
      </w:pPr>
    </w:p>
    <w:p>
      <w:pPr>
        <w:ind w:left="1280" w:right="100" w:hanging="423"/>
        <w:spacing w:after="0" w:line="276" w:lineRule="auto"/>
        <w:tabs>
          <w:tab w:leader="none" w:pos="1280" w:val="left"/>
        </w:tabs>
        <w:numPr>
          <w:ilvl w:val="1"/>
          <w:numId w:val="32"/>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2"/>
          <w:szCs w:val="12"/>
          <w:color w:val="auto"/>
        </w:rPr>
      </w:pPr>
    </w:p>
    <w:p>
      <w:pPr>
        <w:ind w:left="1280" w:hanging="423"/>
        <w:spacing w:after="0"/>
        <w:tabs>
          <w:tab w:leader="none" w:pos="1280" w:val="left"/>
        </w:tabs>
        <w:numPr>
          <w:ilvl w:val="1"/>
          <w:numId w:val="32"/>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00" w:type="dxa"/>
            <w:vAlign w:val="bottom"/>
          </w:tcPr>
          <w:p>
            <w:pPr>
              <w:spacing w:after="0"/>
              <w:rPr>
                <w:sz w:val="20"/>
                <w:szCs w:val="20"/>
                <w:color w:val="auto"/>
              </w:rPr>
            </w:pPr>
            <w:r>
              <w:rPr>
                <w:rFonts w:ascii="Arial" w:cs="Arial" w:eastAsia="Arial" w:hAnsi="Arial"/>
                <w:sz w:val="12"/>
                <w:szCs w:val="12"/>
                <w:color w:val="auto"/>
              </w:rPr>
              <w:t>August 3, 2018</w:t>
            </w:r>
          </w:p>
        </w:tc>
        <w:tc>
          <w:tcPr>
            <w:tcW w:w="4380" w:type="dxa"/>
            <w:vAlign w:val="bottom"/>
          </w:tcPr>
          <w:p>
            <w:pPr>
              <w:spacing w:after="0"/>
              <w:rPr>
                <w:sz w:val="12"/>
                <w:szCs w:val="12"/>
                <w:color w:val="auto"/>
              </w:rPr>
            </w:pPr>
          </w:p>
        </w:tc>
        <w:tc>
          <w:tcPr>
            <w:tcW w:w="15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Brian R. Doom</w:t>
            </w:r>
          </w:p>
        </w:tc>
        <w:tc>
          <w:tcPr>
            <w:tcW w:w="2380" w:type="dxa"/>
            <w:vAlign w:val="bottom"/>
          </w:tcPr>
          <w:p>
            <w:pPr>
              <w:spacing w:after="0"/>
              <w:rPr>
                <w:sz w:val="12"/>
                <w:szCs w:val="12"/>
                <w:color w:val="auto"/>
              </w:rPr>
            </w:pPr>
          </w:p>
        </w:tc>
      </w:tr>
      <w:tr>
        <w:trPr>
          <w:trHeight w:val="142"/>
        </w:trPr>
        <w:tc>
          <w:tcPr>
            <w:tcW w:w="320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3900" w:type="dxa"/>
            <w:vAlign w:val="bottom"/>
            <w:gridSpan w:val="2"/>
          </w:tcPr>
          <w:p>
            <w:pPr>
              <w:spacing w:after="0"/>
              <w:rPr>
                <w:sz w:val="20"/>
                <w:szCs w:val="20"/>
                <w:color w:val="auto"/>
              </w:rPr>
            </w:pPr>
            <w:r>
              <w:rPr>
                <w:rFonts w:ascii="Arial" w:cs="Arial" w:eastAsia="Arial" w:hAnsi="Arial"/>
                <w:sz w:val="12"/>
                <w:szCs w:val="12"/>
                <w:color w:val="auto"/>
              </w:rPr>
              <w:t>Brian R. Doom</w:t>
            </w:r>
          </w:p>
        </w:tc>
      </w:tr>
      <w:tr>
        <w:trPr>
          <w:trHeight w:val="144"/>
        </w:trPr>
        <w:tc>
          <w:tcPr>
            <w:tcW w:w="320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3900" w:type="dxa"/>
            <w:vAlign w:val="bottom"/>
            <w:gridSpan w:val="2"/>
          </w:tcPr>
          <w:p>
            <w:pPr>
              <w:spacing w:after="0"/>
              <w:rPr>
                <w:sz w:val="20"/>
                <w:szCs w:val="20"/>
                <w:color w:val="auto"/>
              </w:rPr>
            </w:pPr>
            <w:r>
              <w:rPr>
                <w:rFonts w:ascii="Arial" w:cs="Arial" w:eastAsia="Arial" w:hAnsi="Arial"/>
                <w:sz w:val="12"/>
                <w:szCs w:val="12"/>
                <w:color w:val="auto"/>
              </w:rPr>
              <w:t>Chief Financial Officer</w:t>
            </w:r>
          </w:p>
        </w:tc>
      </w:tr>
      <w:tr>
        <w:trPr>
          <w:trHeight w:val="153"/>
        </w:trPr>
        <w:tc>
          <w:tcPr>
            <w:tcW w:w="320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3900" w:type="dxa"/>
            <w:vAlign w:val="bottom"/>
            <w:gridSpan w:val="2"/>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Principal Financial Officer</w:t>
            </w:r>
            <w:r>
              <w:rPr>
                <w:rFonts w:ascii="Arial" w:cs="Arial" w:eastAsia="Arial" w:hAnsi="Arial"/>
                <w:sz w:val="12"/>
                <w:szCs w:val="12"/>
                <w:color w:val="auto"/>
              </w:rPr>
              <w:t>)</w:t>
            </w:r>
          </w:p>
        </w:tc>
      </w:tr>
      <w:tr>
        <w:trPr>
          <w:trHeight w:val="295"/>
        </w:trPr>
        <w:tc>
          <w:tcPr>
            <w:tcW w:w="320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jc w:val="right"/>
              <w:ind w:right="1740"/>
              <w:spacing w:after="0"/>
              <w:rPr>
                <w:sz w:val="20"/>
                <w:szCs w:val="20"/>
                <w:color w:val="auto"/>
              </w:rPr>
            </w:pPr>
            <w:r>
              <w:rPr>
                <w:rFonts w:ascii="Arial" w:cs="Arial" w:eastAsia="Arial" w:hAnsi="Arial"/>
                <w:sz w:val="12"/>
                <w:szCs w:val="12"/>
                <w:color w:val="auto"/>
              </w:rPr>
              <w:t>61</w:t>
            </w:r>
          </w:p>
        </w:tc>
        <w:tc>
          <w:tcPr>
            <w:tcW w:w="15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r>
    </w:tbl>
    <w:p>
      <w:pPr>
        <w:sectPr>
          <w:pgSz w:w="11900" w:h="16838" w:orient="portrait"/>
          <w:cols w:equalWidth="0" w:num="1">
            <w:col w:w="11480"/>
          </w:cols>
          <w:pgMar w:left="220" w:top="127" w:right="199" w:bottom="1440" w:gutter="0" w:footer="0" w:header="0"/>
        </w:sectPr>
      </w:pPr>
    </w:p>
    <w:bookmarkStart w:id="64" w:name="page65"/>
    <w:bookmarkEnd w:id="64"/>
    <w:p>
      <w:pPr>
        <w:jc w:val="right"/>
        <w:spacing w:after="0"/>
        <w:rPr>
          <w:sz w:val="20"/>
          <w:szCs w:val="20"/>
          <w:color w:val="auto"/>
        </w:rPr>
      </w:pPr>
      <w:r>
        <w:rPr>
          <w:rFonts w:ascii="Arial" w:cs="Arial" w:eastAsia="Arial" w:hAnsi="Arial"/>
          <w:sz w:val="12"/>
          <w:szCs w:val="12"/>
          <w:b w:val="1"/>
          <w:bCs w:val="1"/>
          <w:color w:val="auto"/>
        </w:rPr>
        <w:t>Exhibit 32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SECTION 906 OF THE SARBANES-OXLEY ACT OF 2002</w:t>
      </w:r>
    </w:p>
    <w:p>
      <w:pPr>
        <w:spacing w:after="0" w:line="240" w:lineRule="exact"/>
        <w:rPr>
          <w:sz w:val="20"/>
          <w:szCs w:val="20"/>
          <w:color w:val="auto"/>
        </w:rPr>
      </w:pPr>
    </w:p>
    <w:p>
      <w:pPr>
        <w:ind w:right="140"/>
        <w:spacing w:after="0" w:line="263" w:lineRule="auto"/>
        <w:rPr>
          <w:sz w:val="20"/>
          <w:szCs w:val="20"/>
          <w:color w:val="auto"/>
        </w:rPr>
      </w:pPr>
      <w:r>
        <w:rPr>
          <w:rFonts w:ascii="Arial" w:cs="Arial" w:eastAsia="Arial" w:hAnsi="Arial"/>
          <w:sz w:val="12"/>
          <w:szCs w:val="12"/>
          <w:color w:val="auto"/>
        </w:rPr>
        <w:t>In connection with the quarterly report of NI Holdings, Inc. (the “Company”) on Form 10-Q for the period ended June 30, 2018, as filed with the Securities and Exchange Commission on the date hereof (the “Report”), we, Michael J. Alexander, President and Chief Executive Officer, and Brian R. Doom, Chief Financial Officer, of the Company, certify, pursuant to 18 U.S.C. Section 1350, as adopted pursuant to Section 906 of the Sarbanes-Oxley Act of 2002, that, to our knowledge:</w:t>
      </w:r>
    </w:p>
    <w:p>
      <w:pPr>
        <w:spacing w:after="0" w:line="96" w:lineRule="exact"/>
        <w:rPr>
          <w:sz w:val="20"/>
          <w:szCs w:val="20"/>
          <w:color w:val="auto"/>
        </w:rPr>
      </w:pPr>
    </w:p>
    <w:p>
      <w:pPr>
        <w:ind w:left="860" w:hanging="436"/>
        <w:spacing w:after="0"/>
        <w:tabs>
          <w:tab w:leader="none" w:pos="86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132" w:lineRule="exact"/>
        <w:rPr>
          <w:rFonts w:ascii="Arial" w:cs="Arial" w:eastAsia="Arial" w:hAnsi="Arial"/>
          <w:sz w:val="12"/>
          <w:szCs w:val="12"/>
          <w:color w:val="auto"/>
        </w:rPr>
      </w:pPr>
    </w:p>
    <w:p>
      <w:pPr>
        <w:ind w:left="860" w:hanging="436"/>
        <w:spacing w:after="0"/>
        <w:tabs>
          <w:tab w:leader="none" w:pos="86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00" w:type="dxa"/>
            <w:vAlign w:val="bottom"/>
          </w:tcPr>
          <w:p>
            <w:pPr>
              <w:spacing w:after="0"/>
              <w:rPr>
                <w:sz w:val="20"/>
                <w:szCs w:val="20"/>
                <w:color w:val="auto"/>
              </w:rPr>
            </w:pPr>
            <w:r>
              <w:rPr>
                <w:rFonts w:ascii="Arial" w:cs="Arial" w:eastAsia="Arial" w:hAnsi="Arial"/>
                <w:sz w:val="12"/>
                <w:szCs w:val="12"/>
                <w:color w:val="auto"/>
              </w:rPr>
              <w:t>August 3, 2018</w:t>
            </w:r>
          </w:p>
        </w:tc>
        <w:tc>
          <w:tcPr>
            <w:tcW w:w="4380" w:type="dxa"/>
            <w:vAlign w:val="bottom"/>
          </w:tcPr>
          <w:p>
            <w:pPr>
              <w:spacing w:after="0"/>
              <w:rPr>
                <w:sz w:val="12"/>
                <w:szCs w:val="12"/>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Michael J. Alexander</w:t>
            </w:r>
          </w:p>
        </w:tc>
        <w:tc>
          <w:tcPr>
            <w:tcW w:w="2580" w:type="dxa"/>
            <w:vAlign w:val="bottom"/>
            <w:gridSpan w:val="2"/>
          </w:tcPr>
          <w:p>
            <w:pPr>
              <w:spacing w:after="0"/>
              <w:rPr>
                <w:sz w:val="12"/>
                <w:szCs w:val="12"/>
                <w:color w:val="auto"/>
              </w:rPr>
            </w:pPr>
          </w:p>
        </w:tc>
      </w:tr>
      <w:tr>
        <w:trPr>
          <w:trHeight w:val="142"/>
        </w:trPr>
        <w:tc>
          <w:tcPr>
            <w:tcW w:w="320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3900" w:type="dxa"/>
            <w:vAlign w:val="bottom"/>
            <w:gridSpan w:val="3"/>
          </w:tcPr>
          <w:p>
            <w:pPr>
              <w:spacing w:after="0"/>
              <w:rPr>
                <w:sz w:val="20"/>
                <w:szCs w:val="20"/>
                <w:color w:val="auto"/>
              </w:rPr>
            </w:pPr>
            <w:r>
              <w:rPr>
                <w:rFonts w:ascii="Arial" w:cs="Arial" w:eastAsia="Arial" w:hAnsi="Arial"/>
                <w:sz w:val="12"/>
                <w:szCs w:val="12"/>
                <w:color w:val="auto"/>
              </w:rPr>
              <w:t>Michael J. Alexander</w:t>
            </w:r>
          </w:p>
        </w:tc>
      </w:tr>
      <w:tr>
        <w:trPr>
          <w:trHeight w:val="144"/>
        </w:trPr>
        <w:tc>
          <w:tcPr>
            <w:tcW w:w="320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3900" w:type="dxa"/>
            <w:vAlign w:val="bottom"/>
            <w:gridSpan w:val="3"/>
          </w:tcPr>
          <w:p>
            <w:pPr>
              <w:spacing w:after="0"/>
              <w:rPr>
                <w:sz w:val="20"/>
                <w:szCs w:val="20"/>
                <w:color w:val="auto"/>
              </w:rPr>
            </w:pPr>
            <w:r>
              <w:rPr>
                <w:rFonts w:ascii="Arial" w:cs="Arial" w:eastAsia="Arial" w:hAnsi="Arial"/>
                <w:sz w:val="12"/>
                <w:szCs w:val="12"/>
                <w:color w:val="auto"/>
              </w:rPr>
              <w:t>President and Chief Executive Officer</w:t>
            </w:r>
          </w:p>
        </w:tc>
      </w:tr>
      <w:tr>
        <w:trPr>
          <w:trHeight w:val="153"/>
        </w:trPr>
        <w:tc>
          <w:tcPr>
            <w:tcW w:w="320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3900" w:type="dxa"/>
            <w:vAlign w:val="bottom"/>
            <w:gridSpan w:val="3"/>
          </w:tcPr>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Principal Executive Officer</w:t>
            </w:r>
            <w:r>
              <w:rPr>
                <w:rFonts w:ascii="Arial" w:cs="Arial" w:eastAsia="Arial" w:hAnsi="Arial"/>
                <w:sz w:val="12"/>
                <w:szCs w:val="12"/>
                <w:color w:val="auto"/>
              </w:rPr>
              <w:t>)</w:t>
            </w:r>
          </w:p>
        </w:tc>
      </w:tr>
      <w:tr>
        <w:trPr>
          <w:trHeight w:val="405"/>
        </w:trPr>
        <w:tc>
          <w:tcPr>
            <w:tcW w:w="3200" w:type="dxa"/>
            <w:vAlign w:val="bottom"/>
          </w:tcPr>
          <w:p>
            <w:pPr>
              <w:spacing w:after="0"/>
              <w:rPr>
                <w:sz w:val="20"/>
                <w:szCs w:val="20"/>
                <w:color w:val="auto"/>
              </w:rPr>
            </w:pPr>
            <w:r>
              <w:rPr>
                <w:rFonts w:ascii="Arial" w:cs="Arial" w:eastAsia="Arial" w:hAnsi="Arial"/>
                <w:sz w:val="12"/>
                <w:szCs w:val="12"/>
                <w:color w:val="auto"/>
              </w:rPr>
              <w:t>August 3, 2018</w:t>
            </w:r>
          </w:p>
        </w:tc>
        <w:tc>
          <w:tcPr>
            <w:tcW w:w="4380" w:type="dxa"/>
            <w:vAlign w:val="bottom"/>
          </w:tcPr>
          <w:p>
            <w:pPr>
              <w:spacing w:after="0"/>
              <w:rPr>
                <w:sz w:val="24"/>
                <w:szCs w:val="24"/>
                <w:color w:val="auto"/>
              </w:rPr>
            </w:pPr>
          </w:p>
        </w:tc>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/s/ Brian R. Doom</w:t>
            </w:r>
          </w:p>
        </w:tc>
        <w:tc>
          <w:tcPr>
            <w:tcW w:w="2540" w:type="dxa"/>
            <w:vAlign w:val="bottom"/>
          </w:tcPr>
          <w:p>
            <w:pPr>
              <w:spacing w:after="0"/>
              <w:rPr>
                <w:sz w:val="24"/>
                <w:szCs w:val="24"/>
                <w:color w:val="auto"/>
              </w:rPr>
            </w:pPr>
          </w:p>
        </w:tc>
      </w:tr>
      <w:tr>
        <w:trPr>
          <w:trHeight w:val="142"/>
        </w:trPr>
        <w:tc>
          <w:tcPr>
            <w:tcW w:w="320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3900" w:type="dxa"/>
            <w:vAlign w:val="bottom"/>
            <w:gridSpan w:val="3"/>
          </w:tcPr>
          <w:p>
            <w:pPr>
              <w:spacing w:after="0"/>
              <w:rPr>
                <w:sz w:val="20"/>
                <w:szCs w:val="20"/>
                <w:color w:val="auto"/>
              </w:rPr>
            </w:pPr>
            <w:r>
              <w:rPr>
                <w:rFonts w:ascii="Arial" w:cs="Arial" w:eastAsia="Arial" w:hAnsi="Arial"/>
                <w:sz w:val="12"/>
                <w:szCs w:val="12"/>
                <w:color w:val="auto"/>
              </w:rPr>
              <w:t>Brian R. Doom</w:t>
            </w:r>
          </w:p>
        </w:tc>
      </w:tr>
      <w:tr>
        <w:trPr>
          <w:trHeight w:val="144"/>
        </w:trPr>
        <w:tc>
          <w:tcPr>
            <w:tcW w:w="320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3900" w:type="dxa"/>
            <w:vAlign w:val="bottom"/>
            <w:gridSpan w:val="3"/>
          </w:tcPr>
          <w:p>
            <w:pPr>
              <w:spacing w:after="0"/>
              <w:rPr>
                <w:sz w:val="20"/>
                <w:szCs w:val="20"/>
                <w:color w:val="auto"/>
              </w:rPr>
            </w:pPr>
            <w:r>
              <w:rPr>
                <w:rFonts w:ascii="Arial" w:cs="Arial" w:eastAsia="Arial" w:hAnsi="Arial"/>
                <w:sz w:val="12"/>
                <w:szCs w:val="12"/>
                <w:color w:val="auto"/>
              </w:rPr>
              <w:t>Chief Financial Officer</w:t>
            </w:r>
          </w:p>
        </w:tc>
      </w:tr>
      <w:tr>
        <w:trPr>
          <w:trHeight w:val="153"/>
        </w:trPr>
        <w:tc>
          <w:tcPr>
            <w:tcW w:w="320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3900" w:type="dxa"/>
            <w:vAlign w:val="bottom"/>
            <w:gridSpan w:val="3"/>
          </w:tcPr>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Principal Financial Officer</w:t>
            </w:r>
            <w:r>
              <w:rPr>
                <w:rFonts w:ascii="Arial" w:cs="Arial" w:eastAsia="Arial" w:hAnsi="Arial"/>
                <w:sz w:val="12"/>
                <w:szCs w:val="12"/>
                <w:color w:val="auto"/>
              </w:rPr>
              <w:t>)</w:t>
            </w:r>
          </w:p>
        </w:tc>
      </w:tr>
      <w:tr>
        <w:trPr>
          <w:trHeight w:val="295"/>
        </w:trPr>
        <w:tc>
          <w:tcPr>
            <w:tcW w:w="320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jc w:val="right"/>
              <w:ind w:right="1740"/>
              <w:spacing w:after="0"/>
              <w:rPr>
                <w:sz w:val="20"/>
                <w:szCs w:val="20"/>
                <w:color w:val="auto"/>
              </w:rPr>
            </w:pPr>
            <w:r>
              <w:rPr>
                <w:rFonts w:ascii="Arial" w:cs="Arial" w:eastAsia="Arial" w:hAnsi="Arial"/>
                <w:sz w:val="12"/>
                <w:szCs w:val="12"/>
                <w:color w:val="auto"/>
              </w:rPr>
              <w:t>62</w:t>
            </w:r>
          </w:p>
        </w:tc>
        <w:tc>
          <w:tcPr>
            <w:tcW w:w="1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80"/>
      </w:cols>
      <w:pgMar w:left="220" w:top="12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x"/>
      <w:numFmt w:val="bullet"/>
      <w:start w:val="1"/>
    </w:lvl>
  </w:abstractNum>
  <w:abstractNum w:abstractNumId="1">
    <w:nsid w:val="519B500D"/>
    <w:multiLevelType w:val="hybridMultilevel"/>
    <w:lvl w:ilvl="0">
      <w:lvlJc w:val="left"/>
      <w:lvlText w:val="o"/>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2"/>
    </w:lvl>
  </w:abstractNum>
  <w:abstractNum w:abstractNumId="8">
    <w:nsid w:val="628C895D"/>
    <w:multiLevelType w:val="hybridMultilevel"/>
    <w:lvl w:ilvl="0">
      <w:lvlJc w:val="left"/>
      <w:lvlText w:val="%1."/>
      <w:numFmt w:val="decimal"/>
      <w:start w:val="3"/>
    </w:lvl>
  </w:abstractNum>
  <w:abstractNum w:abstractNumId="9">
    <w:nsid w:val="333AB105"/>
    <w:multiLevelType w:val="hybridMultilevel"/>
    <w:lvl w:ilvl="0">
      <w:lvlJc w:val="left"/>
      <w:lvlText w:val="%1."/>
      <w:numFmt w:val="decimal"/>
      <w:start w:val="4"/>
    </w:lvl>
  </w:abstractNum>
  <w:abstractNum w:abstractNumId="10">
    <w:nsid w:val="721DA317"/>
    <w:multiLevelType w:val="hybridMultilevel"/>
    <w:lvl w:ilvl="0">
      <w:lvlJc w:val="left"/>
      <w:lvlText w:val="%1."/>
      <w:numFmt w:val="decimal"/>
      <w:start w:val="5"/>
    </w:lvl>
  </w:abstractNum>
  <w:abstractNum w:abstractNumId="11">
    <w:nsid w:val="2443A858"/>
    <w:multiLevelType w:val="hybridMultilevel"/>
    <w:lvl w:ilvl="0">
      <w:lvlJc w:val="left"/>
      <w:lvlText w:val="%1."/>
      <w:numFmt w:val="decimal"/>
      <w:start w:val="6"/>
    </w:lvl>
  </w:abstractNum>
  <w:abstractNum w:abstractNumId="12">
    <w:nsid w:val="2D1D5AE9"/>
    <w:multiLevelType w:val="hybridMultilevel"/>
    <w:lvl w:ilvl="0">
      <w:lvlJc w:val="left"/>
      <w:lvlText w:val="%1."/>
      <w:numFmt w:val="decimal"/>
      <w:start w:val="7"/>
    </w:lvl>
  </w:abstractNum>
  <w:abstractNum w:abstractNumId="13">
    <w:nsid w:val="6763845E"/>
    <w:multiLevelType w:val="hybridMultilevel"/>
    <w:lvl w:ilvl="0">
      <w:lvlJc w:val="left"/>
      <w:lvlText w:val="%1."/>
      <w:numFmt w:val="decimal"/>
      <w:start w:val="8"/>
    </w:lvl>
  </w:abstractNum>
  <w:abstractNum w:abstractNumId="14">
    <w:nsid w:val="75A2A8D4"/>
    <w:multiLevelType w:val="hybridMultilevel"/>
    <w:lvl w:ilvl="0">
      <w:lvlJc w:val="left"/>
      <w:lvlText w:val="%1."/>
      <w:numFmt w:val="decimal"/>
      <w:start w:val="9"/>
    </w:lvl>
  </w:abstractNum>
  <w:abstractNum w:abstractNumId="15">
    <w:nsid w:val="8EDBDAB"/>
    <w:multiLevelType w:val="hybridMultilevel"/>
    <w:lvl w:ilvl="0">
      <w:lvlJc w:val="left"/>
      <w:lvlText w:val="%1."/>
      <w:numFmt w:val="decimal"/>
      <w:start w:val="11"/>
    </w:lvl>
  </w:abstractNum>
  <w:abstractNum w:abstractNumId="16">
    <w:nsid w:val="79838CB2"/>
    <w:multiLevelType w:val="hybridMultilevel"/>
    <w:lvl w:ilvl="0">
      <w:lvlJc w:val="left"/>
      <w:lvlText w:val="%1."/>
      <w:numFmt w:val="decimal"/>
      <w:start w:val="12"/>
    </w:lvl>
  </w:abstractNum>
  <w:abstractNum w:abstractNumId="17">
    <w:nsid w:val="4353D0CD"/>
    <w:multiLevelType w:val="hybridMultilevel"/>
    <w:lvl w:ilvl="0">
      <w:lvlJc w:val="left"/>
      <w:lvlText w:val="%1."/>
      <w:numFmt w:val="decimal"/>
      <w:start w:val="13"/>
    </w:lvl>
  </w:abstractNum>
  <w:abstractNum w:abstractNumId="18">
    <w:nsid w:val="B03E0C6"/>
    <w:multiLevelType w:val="hybridMultilevel"/>
    <w:lvl w:ilvl="0">
      <w:lvlJc w:val="left"/>
      <w:lvlText w:val="%1."/>
      <w:numFmt w:val="decimal"/>
      <w:start w:val="14"/>
    </w:lvl>
  </w:abstractNum>
  <w:abstractNum w:abstractNumId="19">
    <w:nsid w:val="189A769B"/>
    <w:multiLevelType w:val="hybridMultilevel"/>
    <w:lvl w:ilvl="0">
      <w:lvlJc w:val="left"/>
      <w:lvlText w:val="%1."/>
      <w:numFmt w:val="decimal"/>
      <w:start w:val="16"/>
    </w:lvl>
  </w:abstractNum>
  <w:abstractNum w:abstractNumId="20">
    <w:nsid w:val="54E49EB4"/>
    <w:multiLevelType w:val="hybridMultilevel"/>
    <w:lvl w:ilvl="0">
      <w:lvlJc w:val="left"/>
      <w:lvlText w:val="%1."/>
      <w:numFmt w:val="decimal"/>
      <w:start w:val="17"/>
    </w:lvl>
  </w:abstractNum>
  <w:abstractNum w:abstractNumId="21">
    <w:nsid w:val="71F32454"/>
    <w:multiLevelType w:val="hybridMultilevel"/>
    <w:lvl w:ilvl="0">
      <w:lvlJc w:val="left"/>
      <w:lvlText w:val="%1."/>
      <w:numFmt w:val="decimal"/>
      <w:start w:val="19"/>
    </w:lvl>
  </w:abstractNum>
  <w:abstractNum w:abstractNumId="22">
    <w:nsid w:val="2CA88611"/>
    <w:multiLevelType w:val="hybridMultilevel"/>
    <w:lvl w:ilvl="0">
      <w:lvlJc w:val="left"/>
      <w:lvlText w:val="%1."/>
      <w:numFmt w:val="decimal"/>
      <w:start w:val="20"/>
    </w:lvl>
  </w:abstractNum>
  <w:abstractNum w:abstractNumId="23">
    <w:nsid w:val="836C40E"/>
    <w:multiLevelType w:val="hybridMultilevel"/>
    <w:lvl w:ilvl="0">
      <w:lvlJc w:val="left"/>
      <w:lvlText w:val="%1."/>
      <w:numFmt w:val="decimal"/>
      <w:start w:val="2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1."/>
      <w:numFmt w:val="decimal"/>
      <w:start w:val="22"/>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decimal"/>
      <w:start w:val="32"/>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2019-12-28T19:59:00Z</dcterms:created>
  <dcterms:modified xsi:type="dcterms:W3CDTF">2019-12-28T19:59:00Z</dcterms:modified>
</cp:coreProperties>
</file>