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74865" cy="85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850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ind w:right="1740" w:firstLine="8"/>
        <w:spacing w:after="0" w:line="282"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81" w:lineRule="exact"/>
        <w:rPr>
          <w:sz w:val="24"/>
          <w:szCs w:val="24"/>
          <w:color w:val="auto"/>
        </w:rPr>
      </w:pPr>
    </w:p>
    <w:p>
      <w:pPr>
        <w:ind w:right="1740" w:firstLine="8"/>
        <w:spacing w:after="0" w:line="282" w:lineRule="auto"/>
        <w:tabs>
          <w:tab w:leader="none" w:pos="34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 to _____</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rPr>
              <w:t>NORTH DAKOTA</w:t>
            </w: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gridSpan w:val="2"/>
          </w:tcPr>
          <w:p>
            <w:pPr>
              <w:jc w:val="right"/>
              <w:ind w:right="1490"/>
              <w:spacing w:after="0"/>
              <w:rPr>
                <w:sz w:val="20"/>
                <w:szCs w:val="20"/>
                <w:color w:val="auto"/>
              </w:rPr>
            </w:pPr>
            <w:r>
              <w:rPr>
                <w:rFonts w:ascii="Arial" w:cs="Arial" w:eastAsia="Arial" w:hAnsi="Arial"/>
                <w:sz w:val="18"/>
                <w:szCs w:val="18"/>
                <w:b w:val="1"/>
                <w:bCs w:val="1"/>
                <w:color w:val="auto"/>
              </w:rPr>
              <w:t>81-2683619</w:t>
            </w:r>
          </w:p>
        </w:tc>
        <w:tc>
          <w:tcPr>
            <w:tcW w:w="6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1360" w:type="dxa"/>
            <w:vAlign w:val="bottom"/>
          </w:tcPr>
          <w:p>
            <w:pPr>
              <w:spacing w:after="0"/>
              <w:rPr>
                <w:sz w:val="20"/>
                <w:szCs w:val="20"/>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1"/>
              </w:rPr>
              <w:t>incorporation or organization)</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3"/>
              </w:rPr>
              <w:t>Identification No.)</w:t>
            </w:r>
          </w:p>
        </w:tc>
      </w:tr>
      <w:tr>
        <w:trPr>
          <w:trHeight w:val="481"/>
        </w:trPr>
        <w:tc>
          <w:tcPr>
            <w:tcW w:w="1360" w:type="dxa"/>
            <w:vAlign w:val="bottom"/>
          </w:tcPr>
          <w:p>
            <w:pPr>
              <w:spacing w:after="0"/>
              <w:rPr>
                <w:sz w:val="24"/>
                <w:szCs w:val="24"/>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0"/>
              </w:rPr>
              <w:t>1101 First Avenue North</w:t>
            </w: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2"/>
              </w:rPr>
              <w:t>Fargo, North Dakota</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60" w:type="dxa"/>
            <w:vAlign w:val="bottom"/>
            <w:gridSpan w:val="2"/>
          </w:tcPr>
          <w:p>
            <w:pPr>
              <w:jc w:val="right"/>
              <w:ind w:right="1690"/>
              <w:spacing w:after="0"/>
              <w:rPr>
                <w:sz w:val="20"/>
                <w:szCs w:val="20"/>
                <w:color w:val="auto"/>
              </w:rPr>
            </w:pPr>
            <w:r>
              <w:rPr>
                <w:rFonts w:ascii="Arial" w:cs="Arial" w:eastAsia="Arial" w:hAnsi="Arial"/>
                <w:sz w:val="18"/>
                <w:szCs w:val="18"/>
                <w:b w:val="1"/>
                <w:bCs w:val="1"/>
                <w:color w:val="auto"/>
              </w:rPr>
              <w:t>58102</w:t>
            </w:r>
          </w:p>
        </w:tc>
        <w:tc>
          <w:tcPr>
            <w:tcW w:w="680" w:type="dxa"/>
            <w:vAlign w:val="bottom"/>
          </w:tcPr>
          <w:p>
            <w:pPr>
              <w:spacing w:after="0"/>
              <w:rPr>
                <w:sz w:val="20"/>
                <w:szCs w:val="20"/>
                <w:color w:val="auto"/>
              </w:rPr>
            </w:pPr>
          </w:p>
        </w:tc>
      </w:tr>
      <w:tr>
        <w:trPr>
          <w:trHeight w:val="257"/>
        </w:trPr>
        <w:tc>
          <w:tcPr>
            <w:tcW w:w="45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2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94"/>
              </w:rPr>
              <w:t>(Zip Code)</w:t>
            </w:r>
          </w:p>
        </w:tc>
      </w:tr>
      <w:tr>
        <w:trPr>
          <w:trHeight w:val="432"/>
        </w:trPr>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(701) 298-4200</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7"/>
        </w:trPr>
        <w:tc>
          <w:tcPr>
            <w:tcW w:w="1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54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513"/>
        </w:trPr>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Not applicable</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63"/>
        </w:trPr>
        <w:tc>
          <w:tcPr>
            <w:tcW w:w="1360" w:type="dxa"/>
            <w:vAlign w:val="bottom"/>
            <w:tcBorders>
              <w:bottom w:val="single" w:sz="8" w:color="auto"/>
            </w:tcBorders>
          </w:tcPr>
          <w:p>
            <w:pPr>
              <w:spacing w:after="0"/>
              <w:rPr>
                <w:sz w:val="22"/>
                <w:szCs w:val="22"/>
                <w:color w:val="auto"/>
              </w:rPr>
            </w:pPr>
          </w:p>
        </w:tc>
        <w:tc>
          <w:tcPr>
            <w:tcW w:w="9880" w:type="dxa"/>
            <w:vAlign w:val="bottom"/>
            <w:tcBorders>
              <w:bottom w:val="single" w:sz="8" w:color="auto"/>
            </w:tcBorders>
            <w:gridSpan w:val="7"/>
          </w:tcPr>
          <w:p>
            <w:pPr>
              <w:jc w:val="center"/>
              <w:ind w:right="1360"/>
              <w:spacing w:after="0"/>
              <w:rPr>
                <w:sz w:val="20"/>
                <w:szCs w:val="20"/>
                <w:color w:val="auto"/>
              </w:rPr>
            </w:pPr>
            <w:r>
              <w:rPr>
                <w:rFonts w:ascii="Arial" w:cs="Arial" w:eastAsia="Arial" w:hAnsi="Arial"/>
                <w:sz w:val="18"/>
                <w:szCs w:val="18"/>
                <w:b w:val="1"/>
                <w:bCs w:val="1"/>
                <w:color w:val="auto"/>
                <w:w w:val="89"/>
              </w:rPr>
              <w:t>Former name, former address, and former fiscal year, if changed since last report</w:t>
            </w:r>
          </w:p>
        </w:tc>
      </w:tr>
      <w:tr>
        <w:trPr>
          <w:trHeight w:val="284"/>
        </w:trPr>
        <w:tc>
          <w:tcPr>
            <w:tcW w:w="1360" w:type="dxa"/>
            <w:vAlign w:val="bottom"/>
          </w:tcPr>
          <w:p>
            <w:pPr>
              <w:spacing w:after="0"/>
              <w:rPr>
                <w:sz w:val="24"/>
                <w:szCs w:val="24"/>
                <w:color w:val="auto"/>
              </w:rPr>
            </w:pPr>
          </w:p>
        </w:tc>
        <w:tc>
          <w:tcPr>
            <w:tcW w:w="9880" w:type="dxa"/>
            <w:vAlign w:val="bottom"/>
            <w:gridSpan w:val="7"/>
          </w:tcPr>
          <w:p>
            <w:pPr>
              <w:jc w:val="center"/>
              <w:ind w:right="1360"/>
              <w:spacing w:after="0"/>
              <w:rPr>
                <w:sz w:val="20"/>
                <w:szCs w:val="20"/>
                <w:color w:val="auto"/>
              </w:rPr>
            </w:pPr>
            <w:r>
              <w:rPr>
                <w:rFonts w:ascii="Arial" w:cs="Arial" w:eastAsia="Arial" w:hAnsi="Arial"/>
                <w:sz w:val="18"/>
                <w:szCs w:val="18"/>
                <w:b w:val="1"/>
                <w:bCs w:val="1"/>
                <w:color w:val="auto"/>
                <w:w w:val="88"/>
              </w:rPr>
              <w:t>Securities registered pursuant to Section 12(b) of the Securities Exchange Act of 1934:</w:t>
            </w:r>
          </w:p>
        </w:tc>
      </w:tr>
      <w:tr>
        <w:trPr>
          <w:trHeight w:val="229"/>
        </w:trPr>
        <w:tc>
          <w:tcPr>
            <w:tcW w:w="1360" w:type="dxa"/>
            <w:vAlign w:val="bottom"/>
          </w:tcPr>
          <w:p>
            <w:pPr>
              <w:spacing w:after="0"/>
              <w:rPr>
                <w:sz w:val="19"/>
                <w:szCs w:val="19"/>
                <w:color w:val="auto"/>
              </w:rPr>
            </w:pPr>
          </w:p>
        </w:tc>
        <w:tc>
          <w:tcPr>
            <w:tcW w:w="3220" w:type="dxa"/>
            <w:vAlign w:val="bottom"/>
            <w:gridSpan w:val="2"/>
          </w:tcPr>
          <w:p>
            <w:pPr>
              <w:jc w:val="center"/>
              <w:ind w:right="1790"/>
              <w:spacing w:after="0"/>
              <w:rPr>
                <w:sz w:val="20"/>
                <w:szCs w:val="20"/>
                <w:color w:val="auto"/>
              </w:rPr>
            </w:pPr>
            <w:r>
              <w:rPr>
                <w:rFonts w:ascii="Arial" w:cs="Arial" w:eastAsia="Arial" w:hAnsi="Arial"/>
                <w:sz w:val="18"/>
                <w:szCs w:val="18"/>
                <w:b w:val="1"/>
                <w:bCs w:val="1"/>
                <w:color w:val="auto"/>
                <w:w w:val="86"/>
              </w:rPr>
              <w:t>Title of each class</w:t>
            </w:r>
          </w:p>
        </w:tc>
        <w:tc>
          <w:tcPr>
            <w:tcW w:w="21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9"/>
              </w:rPr>
              <w:t>Trading Symbol(s)</w:t>
            </w:r>
          </w:p>
        </w:tc>
        <w:tc>
          <w:tcPr>
            <w:tcW w:w="45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13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311"/>
        </w:trPr>
        <w:tc>
          <w:tcPr>
            <w:tcW w:w="4580" w:type="dxa"/>
            <w:vAlign w:val="bottom"/>
            <w:gridSpan w:val="3"/>
          </w:tcPr>
          <w:p>
            <w:pPr>
              <w:jc w:val="center"/>
              <w:ind w:right="430"/>
              <w:spacing w:after="0"/>
              <w:rPr>
                <w:sz w:val="20"/>
                <w:szCs w:val="20"/>
                <w:color w:val="auto"/>
              </w:rPr>
            </w:pPr>
            <w:r>
              <w:rPr>
                <w:rFonts w:ascii="Arial" w:cs="Arial" w:eastAsia="Arial" w:hAnsi="Arial"/>
                <w:sz w:val="18"/>
                <w:szCs w:val="18"/>
                <w:color w:val="auto"/>
                <w:w w:val="89"/>
              </w:rPr>
              <w:t>Common Stock, $0.01 par value per share</w:t>
            </w:r>
          </w:p>
        </w:tc>
        <w:tc>
          <w:tcPr>
            <w:tcW w:w="212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NODK</w:t>
            </w:r>
          </w:p>
        </w:tc>
        <w:tc>
          <w:tcPr>
            <w:tcW w:w="520" w:type="dxa"/>
            <w:vAlign w:val="bottom"/>
          </w:tcPr>
          <w:p>
            <w:pPr>
              <w:spacing w:after="0"/>
              <w:rPr>
                <w:sz w:val="24"/>
                <w:szCs w:val="24"/>
                <w:color w:val="auto"/>
              </w:rPr>
            </w:pPr>
          </w:p>
        </w:tc>
        <w:tc>
          <w:tcPr>
            <w:tcW w:w="402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Nasdaq Capital Market</w:t>
            </w:r>
          </w:p>
        </w:tc>
      </w:tr>
    </w:tbl>
    <w:p>
      <w:pPr>
        <w:spacing w:after="0" w:line="107"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03" w:lineRule="exact"/>
        <w:rPr>
          <w:sz w:val="24"/>
          <w:szCs w:val="24"/>
          <w:color w:val="auto"/>
        </w:rPr>
      </w:pPr>
    </w:p>
    <w:p>
      <w:pPr>
        <w:ind w:right="36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30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common stock outstanding on October 31, 2021 was 21,232,976.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74865" cy="85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850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80" w:type="dxa"/>
            <w:vAlign w:val="bottom"/>
            <w:gridSpan w:val="9"/>
          </w:tcPr>
          <w:p>
            <w:pPr>
              <w:ind w:left="800"/>
              <w:spacing w:after="0"/>
              <w:rPr>
                <w:sz w:val="20"/>
                <w:szCs w:val="20"/>
                <w:color w:val="auto"/>
              </w:rPr>
            </w:pPr>
            <w:r>
              <w:rPr>
                <w:rFonts w:ascii="Arial" w:cs="Arial" w:eastAsia="Arial" w:hAnsi="Arial"/>
                <w:sz w:val="18"/>
                <w:szCs w:val="18"/>
                <w:b w:val="1"/>
                <w:bCs w:val="1"/>
                <w:color w:val="auto"/>
              </w:rPr>
              <w:t>TABLE OF CONTENTS</w:t>
            </w:r>
          </w:p>
        </w:tc>
        <w:tc>
          <w:tcPr>
            <w:tcW w:w="1700" w:type="dxa"/>
            <w:vAlign w:val="bottom"/>
          </w:tcPr>
          <w:p>
            <w:pPr>
              <w:spacing w:after="0"/>
              <w:rPr>
                <w:sz w:val="20"/>
                <w:szCs w:val="20"/>
                <w:color w:val="auto"/>
              </w:rPr>
            </w:pPr>
          </w:p>
        </w:tc>
      </w:tr>
      <w:tr>
        <w:trPr>
          <w:trHeight w:val="675"/>
        </w:trPr>
        <w:tc>
          <w:tcPr>
            <w:tcW w:w="9540" w:type="dxa"/>
            <w:vAlign w:val="bottom"/>
            <w:gridSpan w:val="21"/>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9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21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 - Financial Statements</w:t>
              </w:r>
            </w:hyperlink>
          </w:p>
        </w:tc>
        <w:tc>
          <w:tcPr>
            <w:tcW w:w="6460" w:type="dxa"/>
            <w:vAlign w:val="bottom"/>
            <w:gridSpan w:val="12"/>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Balance Sheets</w:t>
              </w:r>
            </w:hyperlink>
          </w:p>
        </w:tc>
        <w:tc>
          <w:tcPr>
            <w:tcW w:w="5820" w:type="dxa"/>
            <w:vAlign w:val="bottom"/>
            <w:gridSpan w:val="10"/>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Unaudited Consolidated Statements of Operations</w:t>
              </w:r>
            </w:hyperlink>
          </w:p>
        </w:tc>
        <w:tc>
          <w:tcPr>
            <w:tcW w:w="4300" w:type="dxa"/>
            <w:vAlign w:val="bottom"/>
            <w:gridSpan w:val="8"/>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8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Comprehensive Income (Loss)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1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Consolidated Statements of Changes in Shareholders’ Equity</w:t>
              </w:r>
            </w:hyperlink>
          </w:p>
        </w:tc>
        <w:tc>
          <w:tcPr>
            <w:tcW w:w="2720" w:type="dxa"/>
            <w:vAlign w:val="bottom"/>
            <w:gridSpan w:val="2"/>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Unaudited Consolidated Statements of Cash Flows</w:t>
              </w:r>
            </w:hyperlink>
          </w:p>
        </w:tc>
        <w:tc>
          <w:tcPr>
            <w:tcW w:w="4240" w:type="dxa"/>
            <w:vAlign w:val="bottom"/>
            <w:gridSpan w:val="7"/>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Notes to Unaudited Consolidated Financial Statements</w:t>
              </w:r>
            </w:hyperlink>
          </w:p>
        </w:tc>
        <w:tc>
          <w:tcPr>
            <w:tcW w:w="3960" w:type="dxa"/>
            <w:vAlign w:val="bottom"/>
            <w:gridSpan w:val="6"/>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304"/>
        </w:trPr>
        <w:tc>
          <w:tcPr>
            <w:tcW w:w="90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 - Management's Discussion and Analysis of Financial Condition and Results of Operations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196"/>
        </w:trPr>
        <w:tc>
          <w:tcPr>
            <w:tcW w:w="90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Item 3. - Quantitative and Qualitative Disclosures about Market Risk</w:t>
              </w:r>
            </w:hyperlink>
          </w:p>
        </w:tc>
        <w:tc>
          <w:tcPr>
            <w:tcW w:w="2120" w:type="dxa"/>
            <w:vAlign w:val="bottom"/>
            <w:tcBorders>
              <w:top w:val="single" w:sz="8" w:color="0000EE"/>
            </w:tcBorders>
            <w:gridSpan w:val="4"/>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900" w:type="dxa"/>
            <w:vAlign w:val="bottom"/>
          </w:tcPr>
          <w:p>
            <w:pPr>
              <w:spacing w:after="0"/>
              <w:rPr>
                <w:sz w:val="17"/>
                <w:szCs w:val="17"/>
                <w:color w:val="auto"/>
              </w:rPr>
            </w:pPr>
          </w:p>
        </w:tc>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Item 4. - Controls and Procedures</w:t>
              </w:r>
            </w:hyperlink>
          </w:p>
        </w:tc>
        <w:tc>
          <w:tcPr>
            <w:tcW w:w="6200" w:type="dxa"/>
            <w:vAlign w:val="bottom"/>
            <w:gridSpan w:val="11"/>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304"/>
        </w:trPr>
        <w:tc>
          <w:tcPr>
            <w:tcW w:w="9540" w:type="dxa"/>
            <w:vAlign w:val="bottom"/>
            <w:gridSpan w:val="21"/>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 - OTHER INFORMATION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9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1. - Legal Proceedings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196"/>
        </w:trPr>
        <w:tc>
          <w:tcPr>
            <w:tcW w:w="900" w:type="dxa"/>
            <w:vAlign w:val="bottom"/>
          </w:tcPr>
          <w:p>
            <w:pPr>
              <w:spacing w:after="0"/>
              <w:rPr>
                <w:sz w:val="17"/>
                <w:szCs w:val="17"/>
                <w:color w:val="auto"/>
              </w:rPr>
            </w:pPr>
          </w:p>
        </w:tc>
        <w:tc>
          <w:tcPr>
            <w:tcW w:w="2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1A. - Risk Factors</w:t>
              </w:r>
            </w:hyperlink>
          </w:p>
        </w:tc>
        <w:tc>
          <w:tcPr>
            <w:tcW w:w="6640" w:type="dxa"/>
            <w:vAlign w:val="bottom"/>
            <w:gridSpan w:val="14"/>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0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Item 2. - Unregistered Sales of Equity Securities and Use of Proceeds</w:t>
              </w:r>
            </w:hyperlink>
          </w:p>
        </w:tc>
        <w:tc>
          <w:tcPr>
            <w:tcW w:w="3620" w:type="dxa"/>
            <w:vAlign w:val="bottom"/>
            <w:gridSpan w:val="4"/>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900" w:type="dxa"/>
            <w:vAlign w:val="bottom"/>
          </w:tcPr>
          <w:p>
            <w:pPr>
              <w:spacing w:after="0"/>
              <w:rPr>
                <w:sz w:val="17"/>
                <w:szCs w:val="17"/>
                <w:color w:val="auto"/>
              </w:rPr>
            </w:pPr>
          </w:p>
        </w:tc>
        <w:tc>
          <w:tcPr>
            <w:tcW w:w="29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3. - Defaults upon Senior Securities</w:t>
              </w:r>
            </w:hyperlink>
          </w:p>
        </w:tc>
        <w:tc>
          <w:tcPr>
            <w:tcW w:w="5680" w:type="dxa"/>
            <w:vAlign w:val="bottom"/>
            <w:gridSpan w:val="9"/>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900" w:type="dxa"/>
            <w:vAlign w:val="bottom"/>
          </w:tcPr>
          <w:p>
            <w:pPr>
              <w:spacing w:after="0"/>
              <w:rPr>
                <w:sz w:val="17"/>
                <w:szCs w:val="17"/>
                <w:color w:val="auto"/>
              </w:rPr>
            </w:pPr>
          </w:p>
        </w:tc>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Item 4. - Mine Safety Disclosures</w:t>
              </w:r>
            </w:hyperlink>
          </w:p>
        </w:tc>
        <w:tc>
          <w:tcPr>
            <w:tcW w:w="6200" w:type="dxa"/>
            <w:vAlign w:val="bottom"/>
            <w:gridSpan w:val="11"/>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9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5. - Other Information</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900" w:type="dxa"/>
            <w:vAlign w:val="bottom"/>
          </w:tcPr>
          <w:p>
            <w:pPr>
              <w:spacing w:after="0"/>
              <w:rPr>
                <w:sz w:val="17"/>
                <w:szCs w:val="17"/>
                <w:color w:val="auto"/>
              </w:rPr>
            </w:pPr>
          </w:p>
        </w:tc>
        <w:tc>
          <w:tcPr>
            <w:tcW w:w="1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6. - Exhibits</w:t>
              </w:r>
            </w:hyperlink>
          </w:p>
        </w:tc>
        <w:tc>
          <w:tcPr>
            <w:tcW w:w="6660" w:type="dxa"/>
            <w:vAlign w:val="bottom"/>
            <w:gridSpan w:val="15"/>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900" w:type="dxa"/>
            <w:vAlign w:val="bottom"/>
          </w:tcPr>
          <w:p>
            <w:pPr>
              <w:spacing w:after="0"/>
              <w:rPr>
                <w:sz w:val="17"/>
                <w:szCs w:val="17"/>
                <w:color w:val="auto"/>
              </w:rPr>
            </w:pPr>
          </w:p>
        </w:tc>
        <w:tc>
          <w:tcPr>
            <w:tcW w:w="12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7380" w:type="dxa"/>
            <w:vAlign w:val="bottom"/>
            <w:gridSpan w:val="18"/>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CERTAIN IMPORTANT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as used in this quarterly report on Form 10-Q:</w:t>
      </w:r>
    </w:p>
    <w:p>
      <w:pPr>
        <w:spacing w:after="0" w:line="239" w:lineRule="exact"/>
        <w:rPr>
          <w:sz w:val="20"/>
          <w:szCs w:val="20"/>
          <w:color w:val="auto"/>
        </w:rPr>
      </w:pPr>
    </w:p>
    <w:p>
      <w:pPr>
        <w:ind w:left="660" w:hanging="328"/>
        <w:spacing w:after="0" w:line="284"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“NI Holdings”, “the Company”, “we”, “us”, and “our” refer to NI Holdings, Inc., together with Nodak Insurance Company and its subsidiaries and its affiliate (Battle Creek Mutual Insurance Company), Direct Auto Insurance Company (acquired August 31, 2018), and Westminster American Insurance Company (acquired January 1, 2020), for periods discussed after completion of the conversion, and for periods discussed prior to completion of the conversion refer to Nodak Mutual Insurance Company and all of its subsidiaries and Battle Creek Mutual Insurance Company;</w:t>
      </w:r>
    </w:p>
    <w:p>
      <w:pPr>
        <w:spacing w:after="0" w:line="145"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Mutual Group” refers to Nodak Mutual Group, Inc., which is the majority shareholder of NI Holdings;</w:t>
      </w:r>
    </w:p>
    <w:p>
      <w:pPr>
        <w:spacing w:after="0" w:line="215" w:lineRule="exact"/>
        <w:rPr>
          <w:rFonts w:ascii="Arial" w:cs="Arial" w:eastAsia="Arial" w:hAnsi="Arial"/>
          <w:sz w:val="22"/>
          <w:szCs w:val="22"/>
          <w:color w:val="auto"/>
        </w:rPr>
      </w:pPr>
    </w:p>
    <w:p>
      <w:pPr>
        <w:ind w:left="660" w:right="20" w:hanging="328"/>
        <w:spacing w:after="0" w:line="23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21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“Nodak Mutual” refers to Nodak Mutual Insurance Company, the predecessor company to Nodak Insurance Company prior to the conversion;</w:t>
      </w:r>
    </w:p>
    <w:p>
      <w:pPr>
        <w:spacing w:after="0" w:line="190"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Insurance” refers to Nodak Insurance Company or Nodak Mutual Insurance Company interchangeably;</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“members” refers to the policyholders of Nodak Insurance, who are the named insureds under insurance policies issued by Nodak Insurance;</w:t>
      </w:r>
    </w:p>
    <w:p>
      <w:pPr>
        <w:spacing w:after="0" w:line="227" w:lineRule="exact"/>
        <w:rPr>
          <w:rFonts w:ascii="Arial" w:cs="Arial" w:eastAsia="Arial" w:hAnsi="Arial"/>
          <w:sz w:val="19"/>
          <w:szCs w:val="19"/>
          <w:color w:val="auto"/>
        </w:rPr>
      </w:pPr>
    </w:p>
    <w:p>
      <w:pPr>
        <w:ind w:left="660" w:right="180" w:hanging="328"/>
        <w:spacing w:after="0" w:line="24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“Battle Creek” refers to Battle Creek Mutual Insurance Company. Battle Creek became affiliated with Nodak Insurance in 2011, and Nodak Insurance provides underwriting, claims management, policy administration, and other administrative services to Battle Creek. Battle Creek is controlled by Nodak Insurance via a surplus note. The terms of the surplus note allow Nodak Insurance to appoint two-thirds of the Battle Creek Board of Directors;</w:t>
      </w:r>
    </w:p>
    <w:p>
      <w:pPr>
        <w:spacing w:after="0" w:line="202" w:lineRule="exact"/>
        <w:rPr>
          <w:rFonts w:ascii="Arial" w:cs="Arial" w:eastAsia="Arial" w:hAnsi="Arial"/>
          <w:sz w:val="22"/>
          <w:szCs w:val="22"/>
          <w:color w:val="auto"/>
        </w:rPr>
      </w:pPr>
    </w:p>
    <w:p>
      <w:pPr>
        <w:ind w:left="660" w:right="340" w:hanging="328"/>
        <w:spacing w:after="0" w:line="285"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“Direct Auto” refers to Direct Auto Insurance Company. On August 31, 2018, NI Holdings completed the acquisition of 100% of the common stock of Direct Auto from the private shareholders of Direct Auto. Direct Auto became a consolidated subsidiary of NI Holdings on this date. Direct Auto is a property and casualty insurance company specializing in non-standard automobile insurance in the state of Illinois;</w:t>
      </w:r>
    </w:p>
    <w:p>
      <w:pPr>
        <w:spacing w:after="0" w:line="158"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“American West” refers to American West Insurance Company. American West is a wholly-owned subsidiary of Nodak Insurance;</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“Primero” refers to Primero Insurance Company. Primero is an indirect, wholly-owned subsidiary of Nodak Insurance;</w:t>
      </w:r>
    </w:p>
    <w:p>
      <w:pPr>
        <w:spacing w:after="0" w:line="201" w:lineRule="exact"/>
        <w:rPr>
          <w:rFonts w:ascii="Arial" w:cs="Arial" w:eastAsia="Arial" w:hAnsi="Arial"/>
          <w:sz w:val="22"/>
          <w:szCs w:val="22"/>
          <w:color w:val="auto"/>
        </w:rPr>
      </w:pPr>
    </w:p>
    <w:p>
      <w:pPr>
        <w:ind w:left="660" w:right="220" w:hanging="328"/>
        <w:spacing w:after="0" w:line="24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“Westminster” refers to Westminster American Insurance Company. On January 1, 2020, NI Holdings completed the acquisition of 100% of the common stock of Westminster from the private shareholder of Westminster. The financial results of Westminster have been included in the Consolidated Financial Statements herein since January 1, 2020. Westminster is a property and casualty insurance company specializing in commercial multi-peril insurance in the Mid-Atlantic states; and</w:t>
      </w:r>
    </w:p>
    <w:p>
      <w:pPr>
        <w:spacing w:after="0" w:line="19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Agency” refers to Nodak Agency, Inc. Nodak Agency is a wholly-owned subsidiary of Nodak Insurance.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48" w:lineRule="exact"/>
        <w:rPr>
          <w:sz w:val="20"/>
          <w:szCs w:val="20"/>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statements of goals, intentions, and expectations;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statements regarding prospects and business strategy; and</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estimates of future costs, benefits, and results.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forward-looking statements are subject to numerous assumptions, risks and uncertainties, including, among other things, the factors discussed under the heading “Risk Factors” in this Quarterly Report and our Annual Report on Form 10-K (“2020 Annual Report”) that could affect the actual outcome of future events.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of these factors are difficult to predict and many are beyond our control. These important factors include those discussed under “Risk Factors” and those listed below:</w:t>
      </w:r>
    </w:p>
    <w:p>
      <w:pPr>
        <w:spacing w:after="0" w:line="16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material changes to the federal crop insurance program;</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future economic conditions in the markets in which we compete that are less favorable than expected;</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effect of legislative, judicial, economic, demographic, and regulatory events in the jurisdictions where we do business;</w:t>
      </w:r>
    </w:p>
    <w:p>
      <w:pPr>
        <w:spacing w:after="0" w:line="215" w:lineRule="exact"/>
        <w:rPr>
          <w:rFonts w:ascii="Arial" w:cs="Arial" w:eastAsia="Arial" w:hAnsi="Arial"/>
          <w:sz w:val="22"/>
          <w:szCs w:val="22"/>
          <w:color w:val="auto"/>
        </w:rPr>
      </w:pPr>
    </w:p>
    <w:p>
      <w:pPr>
        <w:ind w:left="980" w:right="54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enter new markets successfully and capitalize on growth opportunities either through acquisitions or the expansion of our producer network;</w:t>
      </w:r>
    </w:p>
    <w:p>
      <w:pPr>
        <w:spacing w:after="0" w:line="180"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successfully integrate acquired businesses;</w:t>
      </w:r>
    </w:p>
    <w:p>
      <w:pPr>
        <w:spacing w:after="0" w:line="215" w:lineRule="exact"/>
        <w:rPr>
          <w:rFonts w:ascii="Arial" w:cs="Arial" w:eastAsia="Arial" w:hAnsi="Arial"/>
          <w:sz w:val="22"/>
          <w:szCs w:val="22"/>
          <w:color w:val="auto"/>
        </w:rPr>
      </w:pPr>
    </w:p>
    <w:p>
      <w:pPr>
        <w:ind w:left="980" w:right="24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developments in general economic conditions, domestic and global financial markets, interest rates, unemployment, or inflation, that could affect the performance of our insurance operations and/or investment portfolio;</w:t>
      </w:r>
    </w:p>
    <w:p>
      <w:pPr>
        <w:spacing w:after="0" w:line="216" w:lineRule="exact"/>
        <w:rPr>
          <w:rFonts w:ascii="Arial" w:cs="Arial" w:eastAsia="Arial" w:hAnsi="Arial"/>
          <w:sz w:val="22"/>
          <w:szCs w:val="22"/>
          <w:color w:val="auto"/>
        </w:rPr>
      </w:pPr>
    </w:p>
    <w:p>
      <w:pPr>
        <w:ind w:left="980" w:right="50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heightened competition, specifically the intensification of price competition, the entry of new competitors, and the development of new products by new or existing competitors, resulting in a reduction in the demand for our products;</w:t>
      </w:r>
    </w:p>
    <w:p>
      <w:pPr>
        <w:spacing w:after="0" w:line="180"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impact of national or global events, including pandemics, military conflicts, and other wide-spread events;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estimates and adequacy of loss reserves and trends in loss and loss adjustment expenses;</w:t>
      </w:r>
    </w:p>
    <w:p>
      <w:pPr>
        <w:spacing w:after="0" w:line="204"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1"/>
          <w:szCs w:val="21"/>
          <w:color w:val="auto"/>
        </w:rPr>
      </w:pPr>
      <w:r>
        <w:rPr>
          <w:rFonts w:ascii="Arial" w:cs="Arial" w:eastAsia="Arial" w:hAnsi="Arial"/>
          <w:sz w:val="17"/>
          <w:szCs w:val="17"/>
          <w:color w:val="auto"/>
        </w:rPr>
        <w:t>changes in the coverage terms required by state laws with respect to minimum auto liability insurance, including higher minimum limits;</w:t>
      </w:r>
    </w:p>
    <w:p>
      <w:pPr>
        <w:spacing w:after="0" w:line="179" w:lineRule="exact"/>
        <w:rPr>
          <w:rFonts w:ascii="Arial" w:cs="Arial" w:eastAsia="Arial" w:hAnsi="Arial"/>
          <w:sz w:val="21"/>
          <w:szCs w:val="21"/>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inability to obtain regulatory approval of, or to implement, premium rate increases;</w:t>
      </w:r>
    </w:p>
    <w:p>
      <w:pPr>
        <w:spacing w:after="0" w:line="215" w:lineRule="exact"/>
        <w:rPr>
          <w:rFonts w:ascii="Arial" w:cs="Arial" w:eastAsia="Arial" w:hAnsi="Arial"/>
          <w:sz w:val="22"/>
          <w:szCs w:val="22"/>
          <w:color w:val="auto"/>
        </w:rPr>
      </w:pPr>
    </w:p>
    <w:p>
      <w:pPr>
        <w:ind w:left="980" w:right="8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obtain reinsurance coverage at reasonable prices or with terms that adequately protect us and to collect amounts that we believe we are entitled to under such reinsurance;</w:t>
      </w:r>
    </w:p>
    <w:p>
      <w:pPr>
        <w:spacing w:after="0" w:line="216" w:lineRule="exact"/>
        <w:rPr>
          <w:rFonts w:ascii="Arial" w:cs="Arial" w:eastAsia="Arial" w:hAnsi="Arial"/>
          <w:sz w:val="22"/>
          <w:szCs w:val="22"/>
          <w:color w:val="auto"/>
        </w:rPr>
      </w:pPr>
    </w:p>
    <w:p>
      <w:pPr>
        <w:ind w:left="98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potential impact on our reported net income that could result from the adoption of future accounting standards issued by the Securities and Exchange Commission, the Financial Accounting Standards Board, or other standard-setting bodies;</w:t>
      </w:r>
    </w:p>
    <w:p>
      <w:pPr>
        <w:spacing w:after="0" w:line="180"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unanticipated changes in industry trends and ratings assigned by nationally recognized rating organizations;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potential impact of fraud, operational errors, systems malfunctions, or cybersecurity incidents;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adverse litigation or arbitration results; and</w:t>
      </w:r>
    </w:p>
    <w:p>
      <w:pPr>
        <w:spacing w:after="0" w:line="215" w:lineRule="exact"/>
        <w:rPr>
          <w:rFonts w:ascii="Arial" w:cs="Arial" w:eastAsia="Arial" w:hAnsi="Arial"/>
          <w:sz w:val="22"/>
          <w:szCs w:val="22"/>
          <w:color w:val="auto"/>
        </w:rPr>
      </w:pPr>
    </w:p>
    <w:p>
      <w:pPr>
        <w:jc w:val="both"/>
        <w:ind w:left="980" w:right="40" w:hanging="324"/>
        <w:spacing w:after="0" w:line="238"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adverse changes in applicable laws, regulations or rules governing insurance holding companies and insurance companies, changes that affect the cost of, or demand for our products, and tax or accounting matters including limitations on premium levels, increases in minimum capital, or other financial viability requirements.</w:t>
      </w:r>
    </w:p>
    <w:p>
      <w:pPr>
        <w:spacing w:after="0" w:line="18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Because forward-looking information is subject to various risks and uncertainties, actual results may differ materially from that expressed or implied by the forward-looking information.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Arial" w:cs="Arial" w:eastAsia="Arial" w:hAnsi="Arial"/>
                <w:sz w:val="18"/>
                <w:szCs w:val="18"/>
                <w:b w:val="1"/>
                <w:bCs w:val="1"/>
                <w:color w:val="auto"/>
              </w:rPr>
              <w:t>Item 1. - Financial Statements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0"/>
        </w:trPr>
        <w:tc>
          <w:tcPr>
            <w:tcW w:w="7220" w:type="dxa"/>
            <w:vAlign w:val="bottom"/>
          </w:tcPr>
          <w:p>
            <w:pPr>
              <w:spacing w:after="0"/>
              <w:rPr>
                <w:sz w:val="20"/>
                <w:szCs w:val="20"/>
                <w:color w:val="auto"/>
              </w:rPr>
            </w:pPr>
            <w:r>
              <w:rPr>
                <w:rFonts w:ascii="Arial" w:cs="Arial" w:eastAsia="Arial" w:hAnsi="Arial"/>
                <w:sz w:val="18"/>
                <w:szCs w:val="18"/>
                <w:b w:val="1"/>
                <w:bCs w:val="1"/>
                <w:color w:val="auto"/>
              </w:rPr>
              <w:t>NI Holdings, Inc.</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220" w:type="dxa"/>
            <w:vAlign w:val="bottom"/>
          </w:tcPr>
          <w:p>
            <w:pPr>
              <w:spacing w:after="0"/>
              <w:rPr>
                <w:sz w:val="20"/>
                <w:szCs w:val="20"/>
                <w:color w:val="auto"/>
              </w:rPr>
            </w:pPr>
            <w:r>
              <w:rPr>
                <w:rFonts w:ascii="Arial" w:cs="Arial" w:eastAsia="Arial" w:hAnsi="Arial"/>
                <w:sz w:val="18"/>
                <w:szCs w:val="18"/>
                <w:b w:val="1"/>
                <w:bCs w:val="1"/>
                <w:color w:val="auto"/>
              </w:rPr>
              <w:t>(dollar amounts in thousands, except par value)</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7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September 30, 2021</w:t>
            </w:r>
          </w:p>
        </w:tc>
        <w:tc>
          <w:tcPr>
            <w:tcW w:w="140" w:type="dxa"/>
            <w:vAlign w:val="bottom"/>
          </w:tcPr>
          <w:p>
            <w:pPr>
              <w:spacing w:after="0"/>
              <w:rPr>
                <w:sz w:val="24"/>
                <w:szCs w:val="24"/>
                <w:color w:val="auto"/>
              </w:rPr>
            </w:pPr>
          </w:p>
        </w:tc>
        <w:tc>
          <w:tcPr>
            <w:tcW w:w="188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 2020</w:t>
            </w:r>
          </w:p>
        </w:tc>
      </w:tr>
      <w:tr>
        <w:trPr>
          <w:trHeight w:val="210"/>
        </w:trPr>
        <w:tc>
          <w:tcPr>
            <w:tcW w:w="7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47,729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101,077</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 at fair value</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371,416</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320,410</w:t>
            </w:r>
          </w:p>
        </w:tc>
        <w:tc>
          <w:tcPr>
            <w:tcW w:w="2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Equity securities, at fair value</w:t>
            </w:r>
          </w:p>
        </w:tc>
        <w:tc>
          <w:tcPr>
            <w:tcW w:w="1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74,460</w:t>
            </w:r>
          </w:p>
        </w:tc>
        <w:tc>
          <w:tcPr>
            <w:tcW w:w="1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69,952</w:t>
            </w:r>
          </w:p>
        </w:tc>
        <w:tc>
          <w:tcPr>
            <w:tcW w:w="20" w:type="dxa"/>
            <w:vAlign w:val="bottom"/>
          </w:tcPr>
          <w:p>
            <w:pPr>
              <w:spacing w:after="0"/>
              <w:rPr>
                <w:sz w:val="18"/>
                <w:szCs w:val="18"/>
                <w:color w:val="auto"/>
              </w:rPr>
            </w:pPr>
          </w:p>
        </w:tc>
      </w:tr>
      <w:tr>
        <w:trPr>
          <w:trHeight w:val="216"/>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09"/>
        </w:trPr>
        <w:tc>
          <w:tcPr>
            <w:tcW w:w="7220" w:type="dxa"/>
            <w:vAlign w:val="bottom"/>
          </w:tcPr>
          <w:p>
            <w:pPr>
              <w:ind w:left="360"/>
              <w:spacing w:after="0"/>
              <w:rPr>
                <w:sz w:val="20"/>
                <w:szCs w:val="20"/>
                <w:color w:val="auto"/>
              </w:rPr>
            </w:pPr>
            <w:r>
              <w:rPr>
                <w:rFonts w:ascii="Arial" w:cs="Arial" w:eastAsia="Arial" w:hAnsi="Arial"/>
                <w:sz w:val="18"/>
                <w:szCs w:val="18"/>
                <w:color w:val="auto"/>
              </w:rPr>
              <w:t>Total cash and investments</w:t>
            </w:r>
          </w:p>
        </w:tc>
        <w:tc>
          <w:tcPr>
            <w:tcW w:w="1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495,676</w:t>
            </w:r>
          </w:p>
        </w:tc>
        <w:tc>
          <w:tcPr>
            <w:tcW w:w="1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494,363</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1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82,388</w:t>
            </w:r>
          </w:p>
        </w:tc>
        <w:tc>
          <w:tcPr>
            <w:tcW w:w="1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48,523</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25,476</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23,968</w:t>
            </w:r>
          </w:p>
        </w:tc>
        <w:tc>
          <w:tcPr>
            <w:tcW w:w="2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Reinsurance premiums receivable</w:t>
            </w:r>
          </w:p>
        </w:tc>
        <w:tc>
          <w:tcPr>
            <w:tcW w:w="1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Reinsurance recoverables on losses</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42,678</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8,710</w:t>
            </w:r>
          </w:p>
        </w:tc>
        <w:tc>
          <w:tcPr>
            <w:tcW w:w="2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Income tax recoverable</w:t>
            </w:r>
          </w:p>
        </w:tc>
        <w:tc>
          <w:tcPr>
            <w:tcW w:w="1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2,675</w:t>
            </w:r>
          </w:p>
        </w:tc>
        <w:tc>
          <w:tcPr>
            <w:tcW w:w="1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investment income</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2,213</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2,141</w:t>
            </w:r>
          </w:p>
        </w:tc>
        <w:tc>
          <w:tcPr>
            <w:tcW w:w="2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9,949</w:t>
            </w:r>
          </w:p>
        </w:tc>
        <w:tc>
          <w:tcPr>
            <w:tcW w:w="1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9,899</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 from Federal Crop Insurance Corporation</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9,362</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6,646</w:t>
            </w:r>
          </w:p>
        </w:tc>
        <w:tc>
          <w:tcPr>
            <w:tcW w:w="2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Goodwill and other intangibles</w:t>
            </w:r>
          </w:p>
        </w:tc>
        <w:tc>
          <w:tcPr>
            <w:tcW w:w="1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17,840</w:t>
            </w:r>
          </w:p>
        </w:tc>
        <w:tc>
          <w:tcPr>
            <w:tcW w:w="1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18,194</w:t>
            </w:r>
          </w:p>
        </w:tc>
        <w:tc>
          <w:tcPr>
            <w:tcW w:w="20" w:type="dxa"/>
            <w:vAlign w:val="bottom"/>
          </w:tcPr>
          <w:p>
            <w:pPr>
              <w:spacing w:after="0"/>
              <w:rPr>
                <w:sz w:val="18"/>
                <w:szCs w:val="18"/>
                <w:color w:val="auto"/>
              </w:rPr>
            </w:pPr>
          </w:p>
        </w:tc>
      </w:tr>
      <w:tr>
        <w:trPr>
          <w:trHeight w:val="216"/>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09"/>
        </w:trPr>
        <w:tc>
          <w:tcPr>
            <w:tcW w:w="72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696,486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617,603</w:t>
            </w:r>
          </w:p>
        </w:tc>
        <w:tc>
          <w:tcPr>
            <w:tcW w:w="20" w:type="dxa"/>
            <w:vAlign w:val="bottom"/>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7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179,576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105,750</w:t>
            </w:r>
          </w:p>
        </w:tc>
        <w:tc>
          <w:tcPr>
            <w:tcW w:w="2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1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137,099</w:t>
            </w:r>
          </w:p>
        </w:tc>
        <w:tc>
          <w:tcPr>
            <w:tcW w:w="1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119,363</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Reinsurance premiums payable</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1,205</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1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6,100</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8,757</w:t>
            </w:r>
          </w:p>
        </w:tc>
        <w:tc>
          <w:tcPr>
            <w:tcW w:w="2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Westminster consideration payable</w:t>
            </w:r>
          </w:p>
        </w:tc>
        <w:tc>
          <w:tcPr>
            <w:tcW w:w="1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12,920</w:t>
            </w:r>
          </w:p>
        </w:tc>
        <w:tc>
          <w:tcPr>
            <w:tcW w:w="1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19,287</w:t>
            </w:r>
          </w:p>
        </w:tc>
        <w:tc>
          <w:tcPr>
            <w:tcW w:w="20" w:type="dxa"/>
            <w:vAlign w:val="bottom"/>
          </w:tcPr>
          <w:p>
            <w:pPr>
              <w:spacing w:after="0"/>
              <w:rPr>
                <w:sz w:val="18"/>
                <w:szCs w:val="18"/>
                <w:color w:val="auto"/>
              </w:rPr>
            </w:pPr>
          </w:p>
        </w:tc>
      </w:tr>
      <w:tr>
        <w:trPr>
          <w:trHeight w:val="216"/>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14,820</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10"/>
        </w:trPr>
        <w:tc>
          <w:tcPr>
            <w:tcW w:w="72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352,510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7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72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$0.01 par value, authorized: 25,000,000 shares; issued: 23,000,000 shares; and</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2021 – 21,252,305 shares, 2020 – 21,318,638 shares</w:t>
            </w:r>
          </w:p>
        </w:tc>
        <w:tc>
          <w:tcPr>
            <w:tcW w:w="12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CEEFF"/>
          </w:tcPr>
          <w:p>
            <w:pPr>
              <w:spacing w:after="0"/>
              <w:rPr>
                <w:sz w:val="20"/>
                <w:szCs w:val="20"/>
                <w:color w:val="auto"/>
              </w:rPr>
            </w:pPr>
          </w:p>
        </w:tc>
      </w:tr>
      <w:tr>
        <w:trPr>
          <w:trHeight w:val="202"/>
        </w:trPr>
        <w:tc>
          <w:tcPr>
            <w:tcW w:w="7220" w:type="dxa"/>
            <w:vAlign w:val="bottom"/>
          </w:tcPr>
          <w:p>
            <w:pPr>
              <w:ind w:left="180"/>
              <w:spacing w:after="0" w:line="201" w:lineRule="exact"/>
              <w:rPr>
                <w:sz w:val="20"/>
                <w:szCs w:val="20"/>
                <w:color w:val="auto"/>
              </w:rPr>
            </w:pPr>
            <w:r>
              <w:rPr>
                <w:rFonts w:ascii="Arial" w:cs="Arial" w:eastAsia="Arial" w:hAnsi="Arial"/>
                <w:sz w:val="18"/>
                <w:szCs w:val="18"/>
                <w:color w:val="auto"/>
              </w:rPr>
              <w:t>Preferred stock, without par value, authorized 5,000,000 shares, no shares issued or</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7220" w:type="dxa"/>
            <w:vAlign w:val="bottom"/>
          </w:tcPr>
          <w:p>
            <w:pPr>
              <w:ind w:left="36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97,245</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97,911</w:t>
            </w:r>
          </w:p>
        </w:tc>
        <w:tc>
          <w:tcPr>
            <w:tcW w:w="2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Unearned employee stock ownership plan shares</w:t>
            </w:r>
          </w:p>
        </w:tc>
        <w:tc>
          <w:tcPr>
            <w:tcW w:w="12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(1,427)</w:t>
            </w:r>
          </w:p>
        </w:tc>
        <w:tc>
          <w:tcPr>
            <w:tcW w:w="14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(1,427)</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261,079</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258,741</w:t>
            </w:r>
          </w:p>
        </w:tc>
        <w:tc>
          <w:tcPr>
            <w:tcW w:w="2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net of income taxes</w:t>
            </w:r>
          </w:p>
        </w:tc>
        <w:tc>
          <w:tcPr>
            <w:tcW w:w="1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7,928</w:t>
            </w:r>
          </w:p>
        </w:tc>
        <w:tc>
          <w:tcPr>
            <w:tcW w:w="1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12,840</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2021 – 1,604,955 shares, 2020 – 1,538,622 shares</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(25,347)</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(23,968)</w:t>
            </w:r>
          </w:p>
        </w:tc>
        <w:tc>
          <w:tcPr>
            <w:tcW w:w="2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7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343,976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348,872</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10"/>
        </w:trPr>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696,486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617,603</w:t>
            </w:r>
          </w:p>
        </w:tc>
        <w:tc>
          <w:tcPr>
            <w:tcW w:w="20" w:type="dxa"/>
            <w:vAlign w:val="bottom"/>
            <w:shd w:val="clear" w:color="auto" w:fill="CCEEFF"/>
          </w:tcPr>
          <w:p>
            <w:pPr>
              <w:spacing w:after="0"/>
              <w:rPr>
                <w:sz w:val="22"/>
                <w:szCs w:val="22"/>
                <w:color w:val="auto"/>
              </w:rPr>
            </w:pPr>
          </w:p>
        </w:tc>
      </w:tr>
      <w:tr>
        <w:trPr>
          <w:trHeight w:val="385"/>
        </w:trPr>
        <w:tc>
          <w:tcPr>
            <w:tcW w:w="7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405"/>
        </w:trPr>
        <w:tc>
          <w:tcPr>
            <w:tcW w:w="7220" w:type="dxa"/>
            <w:vAlign w:val="bottom"/>
          </w:tcPr>
          <w:p>
            <w:pPr>
              <w:ind w:left="55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72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6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66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3"/>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Unaudited Consolidated Statements of Operations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 except per share data)</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4"/>
                <w:szCs w:val="24"/>
                <w:color w:val="auto"/>
              </w:rPr>
            </w:pPr>
          </w:p>
        </w:tc>
        <w:tc>
          <w:tcPr>
            <w:tcW w:w="20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20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82,173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73,342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221,589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214,120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1,886</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84,609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80,854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238,620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222,707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Losses and loss adjustment expenses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53,836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165,549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policy acquisition costs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15,061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46,371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underwriting and general expenses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23,804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91,090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75,980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235,724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198,550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(6,481)</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4,874</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(4,859)</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3,686</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Net income (loss) attributable to NI Holdings, Inc.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(4,737)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18,810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8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0.17</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54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data:</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Weighted average common shares outstanding used in basic per common share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calculations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21,411,654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21,565,962</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21,446,192</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21,889,138</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Plus: Dilutive securities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223,784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tcPr>
          <w:p>
            <w:pPr>
              <w:ind w:left="180"/>
              <w:spacing w:after="0"/>
              <w:rPr>
                <w:sz w:val="20"/>
                <w:szCs w:val="20"/>
                <w:color w:val="auto"/>
              </w:rPr>
            </w:pPr>
            <w:r>
              <w:rPr>
                <w:rFonts w:ascii="Arial" w:cs="Arial" w:eastAsia="Arial" w:hAnsi="Arial"/>
                <w:sz w:val="18"/>
                <w:szCs w:val="18"/>
                <w:color w:val="auto"/>
                <w:w w:val="99"/>
              </w:rPr>
              <w:t>Weighted average common shares used in diluted per common share calculations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21,411,654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21,755,228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21,669,976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22,038,886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3"/>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gridSpan w:val="8"/>
          </w:tcPr>
          <w:p>
            <w:pPr>
              <w:spacing w:after="0"/>
              <w:rPr>
                <w:sz w:val="20"/>
                <w:szCs w:val="20"/>
                <w:color w:val="auto"/>
              </w:rPr>
            </w:pPr>
            <w:r>
              <w:rPr>
                <w:rFonts w:ascii="Arial" w:cs="Arial" w:eastAsia="Arial" w:hAnsi="Arial"/>
                <w:sz w:val="18"/>
                <w:szCs w:val="18"/>
                <w:b w:val="1"/>
                <w:bCs w:val="1"/>
                <w:color w:val="auto"/>
                <w:w w:val="94"/>
              </w:rPr>
              <w:t>Unaudited Consolidated Statements of Comprehensive Income (Loss)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8"/>
          </w:tcPr>
          <w:p>
            <w:pPr>
              <w:jc w:val="right"/>
              <w:ind w:right="840"/>
              <w:spacing w:after="0"/>
              <w:rPr>
                <w:sz w:val="20"/>
                <w:szCs w:val="20"/>
                <w:color w:val="auto"/>
              </w:rPr>
            </w:pPr>
            <w:r>
              <w:rPr>
                <w:rFonts w:ascii="Arial" w:cs="Arial" w:eastAsia="Arial" w:hAnsi="Arial"/>
                <w:sz w:val="18"/>
                <w:szCs w:val="18"/>
                <w:b w:val="1"/>
                <w:bCs w:val="1"/>
                <w:color w:val="auto"/>
              </w:rPr>
              <w:t>Three Months Ended September 30, 2021</w:t>
            </w:r>
          </w:p>
        </w:tc>
        <w:tc>
          <w:tcPr>
            <w:tcW w:w="220" w:type="dxa"/>
            <w:vAlign w:val="bottom"/>
          </w:tcPr>
          <w:p>
            <w:pPr>
              <w:spacing w:after="0"/>
              <w:rPr>
                <w:sz w:val="24"/>
                <w:szCs w:val="24"/>
                <w:color w:val="auto"/>
              </w:rPr>
            </w:pPr>
          </w:p>
        </w:tc>
        <w:tc>
          <w:tcPr>
            <w:tcW w:w="386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0"/>
              </w:rPr>
              <w:t>Nine Months Ended September 30, 2021</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Attributable</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to Non-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Attributable</w:t>
            </w:r>
          </w:p>
        </w:tc>
        <w:tc>
          <w:tcPr>
            <w:tcW w:w="10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to Non-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to NI</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Controlling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 NI</w:t>
            </w:r>
          </w:p>
        </w:tc>
        <w:tc>
          <w:tcPr>
            <w:tcW w:w="10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Controlling</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Holdings, Inc.</w:t>
            </w:r>
          </w:p>
        </w:tc>
        <w:tc>
          <w:tcPr>
            <w:tcW w:w="10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Interest</w:t>
            </w:r>
          </w:p>
        </w:tc>
        <w:tc>
          <w:tcPr>
            <w:tcW w:w="240" w:type="dxa"/>
            <w:vAlign w:val="bottom"/>
          </w:tcPr>
          <w:p>
            <w:pPr>
              <w:spacing w:after="0"/>
              <w:rPr>
                <w:sz w:val="20"/>
                <w:szCs w:val="20"/>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Total</w:t>
            </w: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Holdings, Inc.</w:t>
            </w:r>
          </w:p>
        </w:tc>
        <w:tc>
          <w:tcPr>
            <w:tcW w:w="10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Other comprehensive loss, before</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Arial" w:cs="Arial" w:eastAsia="Arial" w:hAnsi="Arial"/>
                <w:sz w:val="18"/>
                <w:szCs w:val="18"/>
                <w:color w:val="auto"/>
                <w:w w:val="99"/>
              </w:rPr>
              <w:t>Holding losses on investments</w:t>
            </w:r>
          </w:p>
        </w:tc>
        <w:tc>
          <w:tcPr>
            <w:tcW w:w="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(2,001)</w:t>
            </w: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Reclassification adjustment for</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realized capital gain</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included in net income</w:t>
            </w:r>
          </w:p>
        </w:tc>
        <w:tc>
          <w:tcPr>
            <w:tcW w:w="80" w:type="dxa"/>
            <w:vAlign w:val="bottom"/>
            <w:shd w:val="clear" w:color="auto" w:fill="CCEEFF"/>
          </w:tcPr>
          <w:p>
            <w:pPr>
              <w:spacing w:after="0"/>
              <w:rPr>
                <w:sz w:val="18"/>
                <w:szCs w:val="18"/>
                <w:color w:val="auto"/>
              </w:rPr>
            </w:pPr>
          </w:p>
        </w:tc>
        <w:tc>
          <w:tcPr>
            <w:tcW w:w="15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7"/>
        </w:trPr>
        <w:tc>
          <w:tcPr>
            <w:tcW w:w="2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w:t>
            </w:r>
          </w:p>
        </w:tc>
        <w:tc>
          <w:tcPr>
            <w:tcW w:w="8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20" w:type="dxa"/>
            <w:vAlign w:val="bottom"/>
            <w:tcBorders>
              <w:top w:val="single" w:sz="8" w:color="CCEEFF"/>
            </w:tcBorders>
            <w:gridSpan w:val="2"/>
          </w:tcPr>
          <w:p>
            <w:pPr>
              <w:ind w:left="360"/>
              <w:spacing w:after="0" w:line="195" w:lineRule="exact"/>
              <w:rPr>
                <w:sz w:val="20"/>
                <w:szCs w:val="20"/>
                <w:color w:val="auto"/>
              </w:rPr>
            </w:pPr>
            <w:r>
              <w:rPr>
                <w:rFonts w:ascii="Arial" w:cs="Arial" w:eastAsia="Arial" w:hAnsi="Arial"/>
                <w:sz w:val="18"/>
                <w:szCs w:val="18"/>
                <w:color w:val="auto"/>
              </w:rPr>
              <w:t>Other comprehensive loss,</w:t>
            </w: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540"/>
              <w:spacing w:after="0"/>
              <w:rPr>
                <w:sz w:val="20"/>
                <w:szCs w:val="20"/>
                <w:color w:val="auto"/>
              </w:rPr>
            </w:pPr>
            <w:r>
              <w:rPr>
                <w:rFonts w:ascii="Arial" w:cs="Arial" w:eastAsia="Arial" w:hAnsi="Arial"/>
                <w:sz w:val="18"/>
                <w:szCs w:val="18"/>
                <w:color w:val="auto"/>
              </w:rPr>
              <w:t>before income taxes</w:t>
            </w:r>
          </w:p>
        </w:tc>
        <w:tc>
          <w:tcPr>
            <w:tcW w:w="8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(2,121)</w:t>
            </w: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(6,218)</w:t>
            </w: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tax benefit related to</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items of other comprehensive</w:t>
            </w:r>
          </w:p>
        </w:tc>
        <w:tc>
          <w:tcPr>
            <w:tcW w:w="80" w:type="dxa"/>
            <w:vAlign w:val="bottom"/>
            <w:shd w:val="clear" w:color="auto" w:fill="CCEEFF"/>
          </w:tcPr>
          <w:p>
            <w:pPr>
              <w:spacing w:after="0"/>
              <w:rPr>
                <w:sz w:val="18"/>
                <w:szCs w:val="18"/>
                <w:color w:val="auto"/>
              </w:rPr>
            </w:pPr>
          </w:p>
        </w:tc>
        <w:tc>
          <w:tcPr>
            <w:tcW w:w="15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445</w:t>
            </w:r>
          </w:p>
        </w:tc>
        <w:tc>
          <w:tcPr>
            <w:tcW w:w="2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7"/>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8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20" w:type="dxa"/>
            <w:vAlign w:val="bottom"/>
            <w:gridSpan w:val="2"/>
          </w:tcPr>
          <w:p>
            <w:pPr>
              <w:ind w:left="360"/>
              <w:spacing w:after="0" w:line="195" w:lineRule="exact"/>
              <w:rPr>
                <w:sz w:val="20"/>
                <w:szCs w:val="20"/>
                <w:color w:val="auto"/>
              </w:rPr>
            </w:pPr>
            <w:r>
              <w:rPr>
                <w:rFonts w:ascii="Arial" w:cs="Arial" w:eastAsia="Arial" w:hAnsi="Arial"/>
                <w:sz w:val="18"/>
                <w:szCs w:val="18"/>
                <w:color w:val="auto"/>
              </w:rPr>
              <w:t>Other comprehensive loss,</w:t>
            </w:r>
          </w:p>
        </w:tc>
        <w:tc>
          <w:tcPr>
            <w:tcW w:w="80" w:type="dxa"/>
            <w:vAlign w:val="bottom"/>
          </w:tcPr>
          <w:p>
            <w:pPr>
              <w:spacing w:after="0"/>
              <w:rPr>
                <w:sz w:val="16"/>
                <w:szCs w:val="16"/>
                <w:color w:val="auto"/>
              </w:rPr>
            </w:pPr>
          </w:p>
        </w:tc>
        <w:tc>
          <w:tcPr>
            <w:tcW w:w="15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6"/>
                <w:szCs w:val="16"/>
                <w:color w:val="auto"/>
              </w:rPr>
            </w:pPr>
          </w:p>
        </w:tc>
        <w:tc>
          <w:tcPr>
            <w:tcW w:w="13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6"/>
                <w:szCs w:val="16"/>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(1,676)</w:t>
            </w:r>
          </w:p>
        </w:tc>
        <w:tc>
          <w:tcPr>
            <w:tcW w:w="220" w:type="dxa"/>
            <w:vAlign w:val="bottom"/>
          </w:tcPr>
          <w:p>
            <w:pPr>
              <w:spacing w:after="0"/>
              <w:rPr>
                <w:sz w:val="16"/>
                <w:szCs w:val="16"/>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(4,912)</w:t>
            </w:r>
          </w:p>
        </w:tc>
        <w:tc>
          <w:tcPr>
            <w:tcW w:w="100" w:type="dxa"/>
            <w:vAlign w:val="bottom"/>
          </w:tcPr>
          <w:p>
            <w:pPr>
              <w:spacing w:after="0"/>
              <w:rPr>
                <w:sz w:val="16"/>
                <w:szCs w:val="16"/>
                <w:color w:val="auto"/>
              </w:rPr>
            </w:pPr>
          </w:p>
        </w:tc>
        <w:tc>
          <w:tcPr>
            <w:tcW w:w="13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6"/>
                <w:szCs w:val="16"/>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17"/>
        </w:trPr>
        <w:tc>
          <w:tcPr>
            <w:tcW w:w="2620" w:type="dxa"/>
            <w:vAlign w:val="bottom"/>
            <w:gridSpan w:val="2"/>
          </w:tcPr>
          <w:p>
            <w:pPr>
              <w:ind w:left="540"/>
              <w:spacing w:after="0"/>
              <w:rPr>
                <w:sz w:val="20"/>
                <w:szCs w:val="20"/>
                <w:color w:val="auto"/>
              </w:rPr>
            </w:pPr>
            <w:r>
              <w:rPr>
                <w:rFonts w:ascii="Arial" w:cs="Arial" w:eastAsia="Arial" w:hAnsi="Arial"/>
                <w:sz w:val="18"/>
                <w:szCs w:val="18"/>
                <w:color w:val="auto"/>
              </w:rPr>
              <w:t>net of income taxes</w:t>
            </w:r>
          </w:p>
        </w:tc>
        <w:tc>
          <w:tcPr>
            <w:tcW w:w="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(6,365)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(6,535)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(2,624)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(277)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20" w:type="dxa"/>
            <w:vAlign w:val="bottom"/>
            <w:gridSpan w:val="8"/>
          </w:tcPr>
          <w:p>
            <w:pPr>
              <w:jc w:val="right"/>
              <w:ind w:right="700"/>
              <w:spacing w:after="0"/>
              <w:rPr>
                <w:sz w:val="20"/>
                <w:szCs w:val="20"/>
                <w:color w:val="auto"/>
              </w:rPr>
            </w:pPr>
            <w:r>
              <w:rPr>
                <w:rFonts w:ascii="Arial" w:cs="Arial" w:eastAsia="Arial" w:hAnsi="Arial"/>
                <w:sz w:val="18"/>
                <w:szCs w:val="18"/>
                <w:b w:val="1"/>
                <w:bCs w:val="1"/>
                <w:color w:val="auto"/>
              </w:rPr>
              <w:t>Three Months Ended September 30, 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10"/>
          </w:tcPr>
          <w:p>
            <w:pPr>
              <w:jc w:val="center"/>
              <w:ind w:right="360"/>
              <w:spacing w:after="0"/>
              <w:rPr>
                <w:sz w:val="20"/>
                <w:szCs w:val="20"/>
                <w:color w:val="auto"/>
              </w:rPr>
            </w:pPr>
            <w:r>
              <w:rPr>
                <w:rFonts w:ascii="Arial" w:cs="Arial" w:eastAsia="Arial" w:hAnsi="Arial"/>
                <w:sz w:val="18"/>
                <w:szCs w:val="18"/>
                <w:b w:val="1"/>
                <w:bCs w:val="1"/>
                <w:color w:val="auto"/>
                <w:w w:val="90"/>
              </w:rPr>
              <w:t>Nine Months Ended September 30, 2020</w:t>
            </w:r>
          </w:p>
        </w:tc>
        <w:tc>
          <w:tcPr>
            <w:tcW w:w="0" w:type="dxa"/>
            <w:vAlign w:val="bottom"/>
          </w:tcPr>
          <w:p>
            <w:pPr>
              <w:spacing w:after="0"/>
              <w:rPr>
                <w:sz w:val="1"/>
                <w:szCs w:val="1"/>
                <w:color w:val="auto"/>
              </w:rPr>
            </w:pPr>
          </w:p>
        </w:tc>
      </w:tr>
      <w:tr>
        <w:trPr>
          <w:trHeight w:val="191"/>
        </w:trPr>
        <w:tc>
          <w:tcPr>
            <w:tcW w:w="26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Attributable</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to Non-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Attributable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 Non-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to NI</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Controlling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 NI</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Controlling</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Holdings, Inc.</w:t>
            </w:r>
          </w:p>
        </w:tc>
        <w:tc>
          <w:tcPr>
            <w:tcW w:w="10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Interest</w:t>
            </w:r>
          </w:p>
        </w:tc>
        <w:tc>
          <w:tcPr>
            <w:tcW w:w="24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Holdings, Inc.</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before income taxes:</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rPr>
                <w:sz w:val="20"/>
                <w:szCs w:val="20"/>
                <w:color w:val="auto"/>
              </w:rPr>
            </w:pPr>
            <w:r>
              <w:rPr>
                <w:rFonts w:ascii="Arial" w:cs="Arial" w:eastAsia="Arial" w:hAnsi="Arial"/>
                <w:sz w:val="18"/>
                <w:szCs w:val="18"/>
                <w:color w:val="auto"/>
              </w:rPr>
              <w:t>Holding gains on investments</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8,851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Reclassification adjustment for</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capital gain</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included in net</w:t>
            </w:r>
          </w:p>
        </w:tc>
        <w:tc>
          <w:tcPr>
            <w:tcW w:w="80" w:type="dxa"/>
            <w:vAlign w:val="bottom"/>
            <w:shd w:val="clear" w:color="auto" w:fill="CCEEFF"/>
          </w:tcPr>
          <w:p>
            <w:pPr>
              <w:spacing w:after="0"/>
              <w:rPr>
                <w:sz w:val="18"/>
                <w:szCs w:val="18"/>
                <w:color w:val="auto"/>
              </w:rPr>
            </w:pPr>
          </w:p>
        </w:tc>
        <w:tc>
          <w:tcPr>
            <w:tcW w:w="15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7"/>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w:t>
            </w:r>
          </w:p>
        </w:tc>
        <w:tc>
          <w:tcPr>
            <w:tcW w:w="8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20" w:type="dxa"/>
            <w:vAlign w:val="bottom"/>
            <w:tcBorders>
              <w:top w:val="single" w:sz="8" w:color="CCEEFF"/>
            </w:tcBorders>
          </w:tcPr>
          <w:p>
            <w:pPr>
              <w:ind w:left="360"/>
              <w:spacing w:after="0" w:line="195" w:lineRule="exact"/>
              <w:rPr>
                <w:sz w:val="20"/>
                <w:szCs w:val="20"/>
                <w:color w:val="auto"/>
              </w:rPr>
            </w:pPr>
            <w:r>
              <w:rPr>
                <w:rFonts w:ascii="Arial" w:cs="Arial" w:eastAsia="Arial" w:hAnsi="Arial"/>
                <w:sz w:val="18"/>
                <w:szCs w:val="18"/>
                <w:color w:val="auto"/>
              </w:rPr>
              <w:t>Other comprehensive</w:t>
            </w: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540"/>
              <w:spacing w:after="0"/>
              <w:rPr>
                <w:sz w:val="20"/>
                <w:szCs w:val="20"/>
                <w:color w:val="auto"/>
              </w:rPr>
            </w:pPr>
            <w:r>
              <w:rPr>
                <w:rFonts w:ascii="Arial" w:cs="Arial" w:eastAsia="Arial" w:hAnsi="Arial"/>
                <w:sz w:val="18"/>
                <w:szCs w:val="18"/>
                <w:color w:val="auto"/>
              </w:rPr>
              <w:t>income, before income</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54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8,167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8,284</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tax expense related to</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 of other comprehensive</w:t>
            </w:r>
          </w:p>
        </w:tc>
        <w:tc>
          <w:tcPr>
            <w:tcW w:w="80" w:type="dxa"/>
            <w:vAlign w:val="bottom"/>
            <w:shd w:val="clear" w:color="auto" w:fill="CCEEFF"/>
          </w:tcPr>
          <w:p>
            <w:pPr>
              <w:spacing w:after="0"/>
              <w:rPr>
                <w:sz w:val="18"/>
                <w:szCs w:val="18"/>
                <w:color w:val="auto"/>
              </w:rPr>
            </w:pPr>
          </w:p>
        </w:tc>
        <w:tc>
          <w:tcPr>
            <w:tcW w:w="15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(1,715)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7"/>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8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20" w:type="dxa"/>
            <w:vAlign w:val="bottom"/>
            <w:tcBorders>
              <w:top w:val="single" w:sz="8" w:color="CCEEFF"/>
            </w:tcBorders>
          </w:tcPr>
          <w:p>
            <w:pPr>
              <w:ind w:left="360"/>
              <w:spacing w:after="0" w:line="195" w:lineRule="exact"/>
              <w:rPr>
                <w:sz w:val="20"/>
                <w:szCs w:val="20"/>
                <w:color w:val="auto"/>
              </w:rPr>
            </w:pPr>
            <w:r>
              <w:rPr>
                <w:rFonts w:ascii="Arial" w:cs="Arial" w:eastAsia="Arial" w:hAnsi="Arial"/>
                <w:sz w:val="18"/>
                <w:szCs w:val="18"/>
                <w:color w:val="auto"/>
              </w:rPr>
              <w:t>Other comprehensive</w:t>
            </w: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540"/>
              <w:spacing w:after="0"/>
              <w:rPr>
                <w:sz w:val="20"/>
                <w:szCs w:val="20"/>
                <w:color w:val="auto"/>
              </w:rPr>
            </w:pPr>
            <w:r>
              <w:rPr>
                <w:rFonts w:ascii="Arial" w:cs="Arial" w:eastAsia="Arial" w:hAnsi="Arial"/>
                <w:sz w:val="18"/>
                <w:szCs w:val="18"/>
                <w:color w:val="auto"/>
              </w:rPr>
              <w:t>income, net of income</w:t>
            </w:r>
          </w:p>
        </w:tc>
        <w:tc>
          <w:tcPr>
            <w:tcW w:w="8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1,184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34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6,452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6,544</w:t>
            </w:r>
          </w:p>
        </w:tc>
        <w:tc>
          <w:tcPr>
            <w:tcW w:w="0" w:type="dxa"/>
            <w:vAlign w:val="bottom"/>
          </w:tcPr>
          <w:p>
            <w:pPr>
              <w:spacing w:after="0"/>
              <w:rPr>
                <w:sz w:val="1"/>
                <w:szCs w:val="1"/>
                <w:color w:val="auto"/>
              </w:rPr>
            </w:pPr>
          </w:p>
        </w:tc>
      </w:tr>
      <w:tr>
        <w:trPr>
          <w:trHeight w:val="217"/>
        </w:trPr>
        <w:tc>
          <w:tcPr>
            <w:tcW w:w="2620" w:type="dxa"/>
            <w:vAlign w:val="bottom"/>
          </w:tcPr>
          <w:p>
            <w:pPr>
              <w:ind w:left="54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4,848</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4,885</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25,262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25,442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91"/>
              </w:rPr>
              <w:t>Unearned</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Employee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4"/>
          </w:tcPr>
          <w:p>
            <w:pPr>
              <w:ind w:left="180"/>
              <w:spacing w:after="0"/>
              <w:rPr>
                <w:sz w:val="20"/>
                <w:szCs w:val="20"/>
                <w:color w:val="auto"/>
              </w:rPr>
            </w:pPr>
            <w:r>
              <w:rPr>
                <w:rFonts w:ascii="Arial" w:cs="Arial" w:eastAsia="Arial" w:hAnsi="Arial"/>
                <w:sz w:val="18"/>
                <w:szCs w:val="18"/>
                <w:b w:val="1"/>
                <w:bCs w:val="1"/>
                <w:color w:val="auto"/>
              </w:rPr>
              <w:t>Additional</w:t>
            </w:r>
          </w:p>
        </w:tc>
        <w:tc>
          <w:tcPr>
            <w:tcW w:w="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Ownership</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Plan</w:t>
            </w:r>
          </w:p>
        </w:tc>
        <w:tc>
          <w:tcPr>
            <w:tcW w:w="10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89"/>
              </w:rPr>
              <w:t>Retained</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Income, Net of</w:t>
            </w:r>
          </w:p>
        </w:tc>
        <w:tc>
          <w:tcPr>
            <w:tcW w:w="8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Treasury</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1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Earnings</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Income Taxes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Balance, July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96,729</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265,816</w:t>
            </w:r>
          </w:p>
        </w:tc>
        <w:tc>
          <w:tcPr>
            <w:tcW w:w="3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(24,403)</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w w:val="93"/>
              </w:rPr>
              <w:t>Other comprehensive loss, net</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of income taxes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September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97,245</w:t>
            </w: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261,079</w:t>
            </w:r>
          </w:p>
        </w:tc>
        <w:tc>
          <w:tcPr>
            <w:tcW w:w="30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4,268</w:t>
            </w:r>
          </w:p>
        </w:tc>
        <w:tc>
          <w:tcPr>
            <w:tcW w:w="3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343,976</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2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1"/>
          </w:tcPr>
          <w:p>
            <w:pPr>
              <w:jc w:val="right"/>
              <w:ind w:right="540"/>
              <w:spacing w:after="0"/>
              <w:rPr>
                <w:sz w:val="20"/>
                <w:szCs w:val="20"/>
                <w:color w:val="auto"/>
              </w:rPr>
            </w:pPr>
            <w:r>
              <w:rPr>
                <w:rFonts w:ascii="Arial" w:cs="Arial" w:eastAsia="Arial" w:hAnsi="Arial"/>
                <w:sz w:val="18"/>
                <w:szCs w:val="18"/>
                <w:b w:val="1"/>
                <w:bCs w:val="1"/>
                <w:color w:val="auto"/>
                <w:w w:val="89"/>
              </w:rPr>
              <w:t>Nine Months Ended September 30, 2021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1"/>
              </w:rPr>
              <w:t>Unearned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Employee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4"/>
          </w:tcPr>
          <w:p>
            <w:pPr>
              <w:ind w:left="180"/>
              <w:spacing w:after="0"/>
              <w:rPr>
                <w:sz w:val="20"/>
                <w:szCs w:val="20"/>
                <w:color w:val="auto"/>
              </w:rPr>
            </w:pPr>
            <w:r>
              <w:rPr>
                <w:rFonts w:ascii="Arial" w:cs="Arial" w:eastAsia="Arial" w:hAnsi="Arial"/>
                <w:sz w:val="18"/>
                <w:szCs w:val="18"/>
                <w:b w:val="1"/>
                <w:bCs w:val="1"/>
                <w:color w:val="auto"/>
              </w:rPr>
              <w:t>Additional</w:t>
            </w:r>
          </w:p>
        </w:tc>
        <w:tc>
          <w:tcPr>
            <w:tcW w:w="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Ownership</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Plan</w:t>
            </w:r>
          </w:p>
        </w:tc>
        <w:tc>
          <w:tcPr>
            <w:tcW w:w="10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Retained</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Income, Net of</w:t>
            </w:r>
          </w:p>
        </w:tc>
        <w:tc>
          <w:tcPr>
            <w:tcW w:w="8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Treasury</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1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Earnings</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Income Taxes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97,911</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258,741</w:t>
            </w:r>
          </w:p>
        </w:tc>
        <w:tc>
          <w:tcPr>
            <w:tcW w:w="3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(23,968)</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w w:val="93"/>
              </w:rPr>
              <w:t>Other comprehensive loss, net</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of income taxes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(5,090 )</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vested award</w:t>
            </w: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(2,370)</w:t>
            </w: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1,832</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7"/>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tcPr>
          <w:p>
            <w:pPr>
              <w:spacing w:after="0"/>
              <w:rPr>
                <w:sz w:val="20"/>
                <w:szCs w:val="20"/>
                <w:color w:val="auto"/>
              </w:rPr>
            </w:pPr>
            <w:r>
              <w:rPr>
                <w:rFonts w:ascii="Arial" w:cs="Arial" w:eastAsia="Arial" w:hAnsi="Arial"/>
                <w:sz w:val="18"/>
                <w:szCs w:val="18"/>
                <w:color w:val="auto"/>
                <w:w w:val="95"/>
              </w:rPr>
              <w:t>Balance, September 30, 2021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97,245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(1,427)</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261,079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7,928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(25,347)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4,268</w:t>
            </w:r>
          </w:p>
        </w:tc>
        <w:tc>
          <w:tcPr>
            <w:tcW w:w="30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343,976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Unearned</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Employee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Ownership</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Plan</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Retained</w:t>
            </w: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Income, Net of</w:t>
            </w:r>
          </w:p>
        </w:tc>
        <w:tc>
          <w:tcPr>
            <w:tcW w:w="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Treasury</w:t>
            </w:r>
          </w:p>
        </w:tc>
        <w:tc>
          <w:tcPr>
            <w:tcW w:w="12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Controlling</w:t>
            </w:r>
          </w:p>
        </w:tc>
        <w:tc>
          <w:tcPr>
            <w:tcW w:w="14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Stock</w:t>
            </w: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Earnings</w:t>
            </w: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Income Taxes</w:t>
            </w:r>
          </w:p>
        </w:tc>
        <w:tc>
          <w:tcPr>
            <w:tcW w:w="120" w:type="dxa"/>
            <w:vAlign w:val="bottom"/>
          </w:tcPr>
          <w:p>
            <w:pPr>
              <w:spacing w:after="0"/>
              <w:rPr>
                <w:sz w:val="20"/>
                <w:szCs w:val="20"/>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Interest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2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July 1, 2020</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96,661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233,498</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10,880</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(18,517)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3,664</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6"/>
              </w:rPr>
              <w:t>Other comprehensive income,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net of income taxes</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Balance, September 30, 2020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237,162</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(23,097)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3,679</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325,513</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2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11"/>
          </w:tcPr>
          <w:p>
            <w:pPr>
              <w:jc w:val="right"/>
              <w:ind w:right="640"/>
              <w:spacing w:after="0"/>
              <w:rPr>
                <w:sz w:val="20"/>
                <w:szCs w:val="20"/>
                <w:color w:val="auto"/>
              </w:rPr>
            </w:pPr>
            <w:r>
              <w:rPr>
                <w:rFonts w:ascii="Arial" w:cs="Arial" w:eastAsia="Arial" w:hAnsi="Arial"/>
                <w:sz w:val="18"/>
                <w:szCs w:val="18"/>
                <w:b w:val="1"/>
                <w:bCs w:val="1"/>
                <w:color w:val="auto"/>
              </w:rPr>
              <w:t>Nine Months Ended September 30, 2020</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Unearned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Employee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Ownership</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Comprehensive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Common</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8"/>
                <w:szCs w:val="18"/>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Plan</w:t>
            </w: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Retained</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Income, Net of</w:t>
            </w:r>
          </w:p>
        </w:tc>
        <w:tc>
          <w:tcPr>
            <w:tcW w:w="9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Treasury</w:t>
            </w:r>
          </w:p>
        </w:tc>
        <w:tc>
          <w:tcPr>
            <w:tcW w:w="11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Controlling</w:t>
            </w:r>
          </w:p>
        </w:tc>
        <w:tc>
          <w:tcPr>
            <w:tcW w:w="14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Stock</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Earnings</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Income Taxes</w:t>
            </w:r>
          </w:p>
        </w:tc>
        <w:tc>
          <w:tcPr>
            <w:tcW w:w="12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Interest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2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95,961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218,480</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(12,308)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18,810</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6"/>
              </w:rPr>
              <w:t>Other comprehensive income,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net of income taxes</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6,452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(11,363)</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Issuance of vested award</w:t>
            </w: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2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tcPr>
          <w:p>
            <w:pPr>
              <w:spacing w:after="0"/>
              <w:rPr>
                <w:sz w:val="20"/>
                <w:szCs w:val="20"/>
                <w:color w:val="auto"/>
              </w:rPr>
            </w:pPr>
            <w:r>
              <w:rPr>
                <w:rFonts w:ascii="Arial" w:cs="Arial" w:eastAsia="Arial" w:hAnsi="Arial"/>
                <w:sz w:val="18"/>
                <w:szCs w:val="18"/>
                <w:color w:val="auto"/>
                <w:w w:val="97"/>
              </w:rPr>
              <w:t>Balance, September 30, 2020</w:t>
            </w:r>
          </w:p>
        </w:tc>
        <w:tc>
          <w:tcPr>
            <w:tcW w:w="100" w:type="dxa"/>
            <w:vAlign w:val="bottom"/>
          </w:tcPr>
          <w:p>
            <w:pPr>
              <w:jc w:val="right"/>
              <w:spacing w:after="0"/>
              <w:rPr>
                <w:sz w:val="20"/>
                <w:szCs w:val="20"/>
                <w:color w:val="auto"/>
              </w:rPr>
            </w:pPr>
            <w:r>
              <w:rPr>
                <w:rFonts w:ascii="Arial" w:cs="Arial" w:eastAsia="Arial" w:hAnsi="Arial"/>
                <w:sz w:val="4"/>
                <w:szCs w:val="4"/>
                <w:color w:val="auto"/>
                <w:w w:val="87"/>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97,146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237,162</w:t>
            </w:r>
          </w:p>
        </w:tc>
        <w:tc>
          <w:tcPr>
            <w:tcW w:w="28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12,064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(23,097)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3,679</w:t>
            </w:r>
          </w:p>
        </w:tc>
        <w:tc>
          <w:tcPr>
            <w:tcW w:w="14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325,513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6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3"/>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2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2,189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18,898</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Net capital gain on investments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(10,734)</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 benefit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Depreciation of property and equipment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1,704</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deferred policy acquisition costs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46,371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39,277</w:t>
            </w:r>
          </w:p>
        </w:tc>
        <w:tc>
          <w:tcPr>
            <w:tcW w:w="0" w:type="dxa"/>
            <w:vAlign w:val="bottom"/>
          </w:tcPr>
          <w:p>
            <w:pPr>
              <w:spacing w:after="0"/>
              <w:rPr>
                <w:sz w:val="1"/>
                <w:szCs w:val="1"/>
                <w:color w:val="auto"/>
              </w:rPr>
            </w:pP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Deferral of policy acquisition costs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(47,879)</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(47,763)</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amortization of premiums and discounts on investments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Loss on sale of property and equipment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ind w:left="540"/>
              <w:spacing w:after="0"/>
              <w:rPr>
                <w:sz w:val="20"/>
                <w:szCs w:val="20"/>
                <w:color w:val="auto"/>
              </w:rPr>
            </w:pPr>
            <w:r>
              <w:rPr>
                <w:rFonts w:ascii="Arial" w:cs="Arial" w:eastAsia="Arial" w:hAnsi="Arial"/>
                <w:sz w:val="18"/>
                <w:szCs w:val="18"/>
                <w:color w:val="auto"/>
              </w:rPr>
              <w:t>Premiums and agents’ balances receivable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(33,865)</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(39,670)</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Reinsurance premiums receivable / payable</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8060" w:type="dxa"/>
            <w:vAlign w:val="bottom"/>
            <w:gridSpan w:val="2"/>
          </w:tcPr>
          <w:p>
            <w:pPr>
              <w:ind w:left="540"/>
              <w:spacing w:after="0"/>
              <w:rPr>
                <w:sz w:val="20"/>
                <w:szCs w:val="20"/>
                <w:color w:val="auto"/>
              </w:rPr>
            </w:pPr>
            <w:r>
              <w:rPr>
                <w:rFonts w:ascii="Arial" w:cs="Arial" w:eastAsia="Arial" w:hAnsi="Arial"/>
                <w:sz w:val="18"/>
                <w:szCs w:val="18"/>
                <w:color w:val="auto"/>
              </w:rPr>
              <w:t>Reinsurance recoverables on losses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(33,968)</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(8,748)</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Accrued investment income</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060" w:type="dxa"/>
            <w:vAlign w:val="bottom"/>
            <w:gridSpan w:val="2"/>
          </w:tcPr>
          <w:p>
            <w:pPr>
              <w:ind w:left="540"/>
              <w:spacing w:after="0"/>
              <w:rPr>
                <w:sz w:val="20"/>
                <w:szCs w:val="20"/>
                <w:color w:val="auto"/>
              </w:rPr>
            </w:pPr>
            <w:r>
              <w:rPr>
                <w:rFonts w:ascii="Arial" w:cs="Arial" w:eastAsia="Arial" w:hAnsi="Arial"/>
                <w:sz w:val="18"/>
                <w:szCs w:val="18"/>
                <w:color w:val="auto"/>
              </w:rPr>
              <w:t>Receivable from Federal Crop Insurance Corporation</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(2,716)</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Income tax recoverable / payable</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8060" w:type="dxa"/>
            <w:vAlign w:val="bottom"/>
            <w:gridSpan w:val="2"/>
          </w:tcPr>
          <w:p>
            <w:pPr>
              <w:ind w:left="5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(3,163)</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Unpaid losses and loss adjustment expenses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73,826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32,985</w:t>
            </w:r>
          </w:p>
        </w:tc>
        <w:tc>
          <w:tcPr>
            <w:tcW w:w="0" w:type="dxa"/>
            <w:vAlign w:val="bottom"/>
          </w:tcPr>
          <w:p>
            <w:pPr>
              <w:spacing w:after="0"/>
              <w:rPr>
                <w:sz w:val="1"/>
                <w:szCs w:val="1"/>
                <w:color w:val="auto"/>
              </w:rPr>
            </w:pPr>
          </w:p>
        </w:tc>
      </w:tr>
      <w:tr>
        <w:trPr>
          <w:trHeight w:val="216"/>
        </w:trPr>
        <w:tc>
          <w:tcPr>
            <w:tcW w:w="8060" w:type="dxa"/>
            <w:vAlign w:val="bottom"/>
            <w:gridSpan w:val="2"/>
          </w:tcPr>
          <w:p>
            <w:pPr>
              <w:ind w:left="540"/>
              <w:spacing w:after="0"/>
              <w:rPr>
                <w:sz w:val="20"/>
                <w:szCs w:val="20"/>
                <w:color w:val="auto"/>
              </w:rPr>
            </w:pPr>
            <w:r>
              <w:rPr>
                <w:rFonts w:ascii="Arial" w:cs="Arial" w:eastAsia="Arial" w:hAnsi="Arial"/>
                <w:sz w:val="18"/>
                <w:szCs w:val="18"/>
                <w:color w:val="auto"/>
              </w:rPr>
              <w:t>Unearned premiums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17,736</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20,079</w:t>
            </w:r>
          </w:p>
        </w:tc>
        <w:tc>
          <w:tcPr>
            <w:tcW w:w="0" w:type="dxa"/>
            <w:vAlign w:val="bottom"/>
          </w:tcPr>
          <w:p>
            <w:pPr>
              <w:spacing w:after="0"/>
              <w:rPr>
                <w:sz w:val="1"/>
                <w:szCs w:val="1"/>
                <w:color w:val="auto"/>
              </w:rPr>
            </w:pPr>
          </w:p>
        </w:tc>
      </w:tr>
      <w:tr>
        <w:trPr>
          <w:trHeight w:val="216"/>
        </w:trPr>
        <w:tc>
          <w:tcPr>
            <w:tcW w:w="80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gridSpan w:val="2"/>
          </w:tcPr>
          <w:p>
            <w:pPr>
              <w:ind w:left="720"/>
              <w:spacing w:after="0"/>
              <w:rPr>
                <w:sz w:val="20"/>
                <w:szCs w:val="20"/>
                <w:color w:val="auto"/>
              </w:rPr>
            </w:pPr>
            <w:r>
              <w:rPr>
                <w:rFonts w:ascii="Arial" w:cs="Arial" w:eastAsia="Arial" w:hAnsi="Arial"/>
                <w:sz w:val="18"/>
                <w:szCs w:val="18"/>
                <w:color w:val="auto"/>
              </w:rPr>
              <w:t>Net cash flows from operating activities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9,489</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30,944</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maturities and sales of fixed income securities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54,492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67,029</w:t>
            </w:r>
          </w:p>
        </w:tc>
        <w:tc>
          <w:tcPr>
            <w:tcW w:w="0" w:type="dxa"/>
            <w:vAlign w:val="bottom"/>
          </w:tcPr>
          <w:p>
            <w:pPr>
              <w:spacing w:after="0"/>
              <w:rPr>
                <w:sz w:val="1"/>
                <w:szCs w:val="1"/>
                <w:color w:val="auto"/>
              </w:rPr>
            </w:pPr>
          </w:p>
        </w:tc>
      </w:tr>
      <w:tr>
        <w:trPr>
          <w:trHeight w:val="216"/>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Proceeds from sales of equity securities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26,790</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13,176</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fixed income securities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(112,940)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(73,502)</w:t>
            </w:r>
          </w:p>
        </w:tc>
        <w:tc>
          <w:tcPr>
            <w:tcW w:w="0" w:type="dxa"/>
            <w:vAlign w:val="bottom"/>
          </w:tcPr>
          <w:p>
            <w:pPr>
              <w:spacing w:after="0"/>
              <w:rPr>
                <w:sz w:val="1"/>
                <w:szCs w:val="1"/>
                <w:color w:val="auto"/>
              </w:rPr>
            </w:pPr>
          </w:p>
        </w:tc>
      </w:tr>
      <w:tr>
        <w:trPr>
          <w:trHeight w:val="216"/>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Purchases of equity securities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(21,091)</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(15,630)</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2"/>
        </w:trPr>
        <w:tc>
          <w:tcPr>
            <w:tcW w:w="80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4"/>
              </w:rPr>
              <w:t>Acquisition of Westminster American Insurance Company (cash consideration paid net of cash and cash</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equivalents acquired)</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other investments and other</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Net cash flows from investing activities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(52,471)</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(10,377)</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treasury stock</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(11,363)</w:t>
            </w:r>
          </w:p>
        </w:tc>
        <w:tc>
          <w:tcPr>
            <w:tcW w:w="0" w:type="dxa"/>
            <w:vAlign w:val="bottom"/>
          </w:tcPr>
          <w:p>
            <w:pPr>
              <w:spacing w:after="0"/>
              <w:rPr>
                <w:sz w:val="1"/>
                <w:szCs w:val="1"/>
                <w:color w:val="auto"/>
              </w:rPr>
            </w:pPr>
          </w:p>
        </w:tc>
      </w:tr>
      <w:tr>
        <w:trPr>
          <w:trHeight w:val="216"/>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Installment payment on Westminster consideration payable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(6,667)</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of restricted stock awards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Net cash flows from financing activities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(10,366)</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(11,394)</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ind w:left="540"/>
              <w:spacing w:after="0"/>
              <w:rPr>
                <w:sz w:val="20"/>
                <w:szCs w:val="20"/>
                <w:color w:val="auto"/>
              </w:rPr>
            </w:pPr>
            <w:r>
              <w:rPr>
                <w:rFonts w:ascii="Arial" w:cs="Arial" w:eastAsia="Arial" w:hAnsi="Arial"/>
                <w:sz w:val="18"/>
                <w:szCs w:val="18"/>
                <w:color w:val="auto"/>
              </w:rPr>
              <w:t>Net (decrease) increase in cash and cash equivalents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(53,348)</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101,077</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62,132</w:t>
            </w:r>
          </w:p>
        </w:tc>
        <w:tc>
          <w:tcPr>
            <w:tcW w:w="0" w:type="dxa"/>
            <w:vAlign w:val="bottom"/>
          </w:tcPr>
          <w:p>
            <w:pPr>
              <w:spacing w:after="0"/>
              <w:rPr>
                <w:sz w:val="1"/>
                <w:szCs w:val="1"/>
                <w:color w:val="auto"/>
              </w:rPr>
            </w:pPr>
          </w:p>
        </w:tc>
      </w:tr>
      <w:tr>
        <w:trPr>
          <w:trHeight w:val="203"/>
        </w:trPr>
        <w:tc>
          <w:tcPr>
            <w:tcW w:w="1280" w:type="dxa"/>
            <w:vAlign w:val="bottom"/>
            <w:tcBorders>
              <w:bottom w:val="single" w:sz="8" w:color="CCEEFF"/>
            </w:tcBorders>
            <w:shd w:val="clear" w:color="auto" w:fill="CCEEFF"/>
          </w:tcPr>
          <w:p>
            <w:pPr>
              <w:spacing w:after="0"/>
              <w:rPr>
                <w:sz w:val="17"/>
                <w:szCs w:val="17"/>
                <w:color w:val="auto"/>
              </w:rPr>
            </w:pPr>
          </w:p>
        </w:tc>
        <w:tc>
          <w:tcPr>
            <w:tcW w:w="67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47,729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71,305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Non-cash item: Present value of installment payable issued in connection with acquisition of Westminster</w:t>
            </w:r>
          </w:p>
        </w:tc>
        <w:tc>
          <w:tcPr>
            <w:tcW w:w="38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spacing w:after="0"/>
              <w:rPr>
                <w:sz w:val="17"/>
                <w:szCs w:val="17"/>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18,787</w:t>
            </w:r>
          </w:p>
        </w:tc>
        <w:tc>
          <w:tcPr>
            <w:tcW w:w="12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gridSpan w:val="2"/>
            <w:shd w:val="clear" w:color="auto" w:fill="CCEEFF"/>
          </w:tcPr>
          <w:p>
            <w:pPr>
              <w:ind w:left="180"/>
              <w:spacing w:after="0" w:line="190" w:lineRule="exact"/>
              <w:rPr>
                <w:sz w:val="20"/>
                <w:szCs w:val="20"/>
                <w:color w:val="auto"/>
              </w:rPr>
            </w:pPr>
            <w:r>
              <w:rPr>
                <w:rFonts w:ascii="Arial" w:cs="Arial" w:eastAsia="Arial" w:hAnsi="Arial"/>
                <w:sz w:val="18"/>
                <w:szCs w:val="18"/>
                <w:color w:val="auto"/>
              </w:rPr>
              <w:t>American Insurance Company</w:t>
            </w:r>
          </w:p>
        </w:tc>
        <w:tc>
          <w:tcPr>
            <w:tcW w:w="380" w:type="dxa"/>
            <w:vAlign w:val="bottom"/>
            <w:tcBorders>
              <w:bottom w:val="single" w:sz="8" w:color="CCEEFF"/>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and state income taxes paid</w:t>
            </w: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7,819</w:t>
            </w:r>
          </w:p>
        </w:tc>
        <w:tc>
          <w:tcPr>
            <w:tcW w:w="0" w:type="dxa"/>
            <w:vAlign w:val="bottom"/>
          </w:tcPr>
          <w:p>
            <w:pPr>
              <w:spacing w:after="0"/>
              <w:rPr>
                <w:sz w:val="1"/>
                <w:szCs w:val="1"/>
                <w:color w:val="auto"/>
              </w:rPr>
            </w:pPr>
          </w:p>
        </w:tc>
      </w:tr>
      <w:tr>
        <w:trPr>
          <w:trHeight w:val="615"/>
        </w:trPr>
        <w:tc>
          <w:tcPr>
            <w:tcW w:w="80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1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became available for public trading on March 16, 2017.</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Consolidated Financial Statements include the financial position and results of NI Holdings and seven other entities:</w:t>
      </w:r>
    </w:p>
    <w:p>
      <w:pPr>
        <w:spacing w:after="0" w:line="13" w:lineRule="exact"/>
        <w:rPr>
          <w:sz w:val="20"/>
          <w:szCs w:val="20"/>
          <w:color w:val="auto"/>
        </w:rPr>
      </w:pPr>
    </w:p>
    <w:p>
      <w:pPr>
        <w:ind w:left="1120" w:hanging="320"/>
        <w:spacing w:after="0"/>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Nodak Insurance – a wholly-owned subsidiary of NI Holdings;</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Nodak Agency – a wholly-owned subsidiary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American West – a wholly-owned subsidiary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Primero – an indirect wholly-owned subsidiary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Battle Creek – an affiliated company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Direct Auto – a wholly-owned subsidiary of NI Holdings; and</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Westminster – a wholly-owned subsidiary of NI Holdings.</w:t>
      </w:r>
    </w:p>
    <w:p>
      <w:pPr>
        <w:spacing w:after="0" w:line="17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(“NDFB”). Nodak Insurance offers private passenger auto, homeowners, farmowners, commercial multi-peril, crop hail, and Federal multi-peril crop insurance coverages through its captive agents.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Agency, a wholly-owned subsidiary of Nodak Insurance, is an inactive shell corporation.</w:t>
      </w:r>
    </w:p>
    <w:p>
      <w:pPr>
        <w:spacing w:after="0" w:line="212"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coverage in North Dakota, as well as crop hail and Federal multi-peril crop insurance coverages in Minnesota and South Dakota.</w:t>
      </w:r>
    </w:p>
    <w:p>
      <w:pPr>
        <w:spacing w:after="0" w:line="16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Primero is a wholly-owned subsidiary of Tri-State, Ltd. Tri-State, Ltd. is an inactive shell corporation 100% owned by Nodak Insurance. Primero is a property and casualty insurance company which writes non-standard automobile coverage in Nevada, Arizona, North Dakota and South Dakota.</w:t>
      </w:r>
    </w:p>
    <w:p>
      <w:pPr>
        <w:spacing w:after="0" w:line="11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Battle Creek became affiliated with Nodak Insurance in 2011, and Nodak Insurance provides underwriting, claims management, policy administration, and other administrative services to Battle Creek. Battle Creek is controlled by Nodak Insurance via a surplus note. The terms of the surplus note allow Nodak Insurance to appoint two-thirds of the Battle Creek Board of Directors. Battle Creek is a property and casualty insurance company writing personal auto, homeowners, and farm coverages in Nebraska.</w:t>
      </w:r>
    </w:p>
    <w:p>
      <w:pPr>
        <w:spacing w:after="0" w:line="1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Direct Auto, a wholly-owned subsidiary of NI Holdings, is a property and casualty company licensed in Illinois. Direct Auto began writing non-standard automobile coverage in 2007, and was acquired by NI Holdings on August 31, 2018 via a stock purchase agreement.</w:t>
      </w:r>
    </w:p>
    <w:p>
      <w:pPr>
        <w:spacing w:after="0" w:line="14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Westminster, a wholly-owned subsidiary of NI Holdings, is a property and casualty insurance company licensed in seventeen states and the District of Columbia. Westminster is headquartered in Owings Mills, Maryland and underwrites commercial multi-peril insurance in the states of Delaware, Georgia, Maryland, New Jersey, North Carolina, Pennsylvania, South Carolina, Virginia, West Virginia, and the District of Columbia. Westminster was acquired by NI Holdings on January 1, 2020 via a stock purchase agreement. The financial results of Westminster have been included in the Consolidated Financial Statements and the Company’s commercial segment following the acquisition close date. See Note 3.</w:t>
      </w:r>
    </w:p>
    <w:p>
      <w:pPr>
        <w:spacing w:after="0" w:line="16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Nodak Insurance markets and distributes its policies through its captive agents, while all other companies utilize the independent agent distribution channel. Additionally, all of the Company’s insurance subsidiary and affiliate companies are rated “A” Excellent by AM Best.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w:t>
      </w:r>
    </w:p>
    <w:p>
      <w:pPr>
        <w:spacing w:after="0" w:line="107" w:lineRule="exact"/>
        <w:rPr>
          <w:sz w:val="20"/>
          <w:szCs w:val="20"/>
          <w:color w:val="auto"/>
        </w:rPr>
      </w:pPr>
    </w:p>
    <w:p>
      <w:pPr>
        <w:ind w:right="7080" w:firstLine="8"/>
        <w:spacing w:after="0" w:line="479" w:lineRule="auto"/>
        <w:tabs>
          <w:tab w:leader="none" w:pos="64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Accounting Policies Basis of Presentation</w:t>
      </w:r>
    </w:p>
    <w:p>
      <w:pPr>
        <w:spacing w:after="0" w:line="1"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for interim financial information and with the instructions to Form 10-Q and Article 10 of Regulation S-X and are unaudited. In the opinion of management, all adjustments (consisting of normal recurring accruals) considered necessary for a fair presentation have been included. All material intercompany transactions and balances have been eliminated. These financial statements should be read in conjunction with the financial statements and notes thereto included in our Annual Report on Form 10-K for the year ended December 31, 2020 (“2020 Annual Report”).</w:t>
      </w:r>
    </w:p>
    <w:p>
      <w:pPr>
        <w:spacing w:after="0" w:line="1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preparation of the interim Consolidated Financial Statements in conformity with GAAP requires management to make estimates and assumptions that affect the reported amounts of assets and liabilities and disclosure of contingent assets and liabilities at the date of the interim Consolidated Financial Statements and the reported amounts of revenues, claims, and expenses during the reporting period. Actual results could differ from those estimates. Operating results for the interim periods ended September 30, 2021 are not necessarily indicative of the results that may be expected for the year ended December 31, 2021.</w:t>
      </w:r>
    </w:p>
    <w:p>
      <w:pPr>
        <w:spacing w:after="0" w:line="17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Consolidated Financial Statements include our accounts and those of our wholly-owned subsidiaries, as well as Battle Creek, an entity we control via contract. The terms “we”, “us”, “our”, or “the Company” as used herein refer to the consolidated entity.</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2020 Annual Report describes the accounting policies and estimates that are critical to the understanding of our results of operations, financial condition, and liquidity. The accounting policies and estimation processes described in the 2020 Annual Report were consistently applied to the Unaudited Consolidated Financial Statements as of and for the nine months ended September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As an emerging growth company, we have elected to use the extended transition period for complying with any new or revised financial accounting standards from the Financial Accounting Standards Board (“FASB”) pursuant to Section 13(a) of the Exchange Act. The following discussion includes effective dates for both public business entities and emerging growth companies, as well as whether specific guidance may be adopted early.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Adopted</w:t>
      </w:r>
    </w:p>
    <w:p>
      <w:pPr>
        <w:spacing w:after="0" w:line="21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January 2020, the Company adopted amended guidance from the FASB that shortened the amortization period of premiums on certain fixed income securities held at a premium to the earliest call date rather than through the maturity date of the callable security. The adoption of this guidance did not materially impact the Company’s financial position, results of operations, or cash flows.</w:t>
      </w:r>
    </w:p>
    <w:p>
      <w:pPr>
        <w:spacing w:after="0" w:line="170"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In March 2020, the Company adopted modified disclosure requirements from the FASB relating to the fair value of assets and liabilities. The modifications primarily related to Level 3 fair value measurements. The Company does not currently carry any Level 3 assets or liabilities. As a result, there was no impact to the Company’s financial statement disclosures.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 Yet Adopted</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February 2016, the FASB issued new guidance that requires lessees to recognize leases, including operating leases, on the lessee’s Consolidated Balance Sheet, unless a lease is considered a short-term lease. The new guidance also requires entities to make new judgments to identify leases. In July 2018, the FASB issued additional guidance to allow an optional transition method. An entity may apply the new leases guidance at the beginning of the earliest period presented in the financial statements, or at the adoption date and recognize a cumulative-effect adjustment to the opening balance of retained earnings in the period of adoption.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new guidance was effective for annual and interim reporting periods beginning after December 15, 2018 for public business entities. For private companies and emerging growth companies, this guidance is effective for annual reporting periods beginning after December 15, 2021 and interim periods within fiscal years beginning after December 15, 2022. Early adoption is permitted for all entities. We do not expect the adoption of this new guidance to have a significant impact on our financial position, results of operations, or cash flows. Upon adoption, the Company will recognize a right of use asset and operating lease liability on its Consolidated Balance Sheet. The cumulative adjustment to retained earnings is not expected to be significant.</w:t>
      </w:r>
    </w:p>
    <w:p>
      <w:pPr>
        <w:spacing w:after="0" w:line="1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June 2016, the FASB issued a new standard that requires timelier recording of credit losses on loans and other financial instruments held by financial institutions and other organizations. The guidance requires the measurement of all expected credit losses for financial assets held at the reporting date based on historical experience, current conditions, and reasonable and supportable forecasts. The guidance also requires financial institutions and other organizations to use forward-looking information to better form their credit loss estimates. Many of the loss estimation techniques applied prior to adoption of this standard are still permitted, although the inputs to those techniques have changed to reflect the full amount of expected credit losses. Organizations are to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was effective for fiscal years, and interim periods within those fiscal years, beginning after December 15, 2019 for filers with the Securities and Exchange Commission (“SEC”) excluding smaller reporting companies, and emerging growth companies that did not relinquish private company relief. For all other entities, this guidance will be effective for annual reporting periods beginning after December 15, 2022 and interim periods within those fiscal years. Early adoption is permitted for all entities. Based on our evaluation, adoption of this new standard will not have a significant impact on our financial position, results of operations, and cash flows.</w:t>
      </w:r>
    </w:p>
    <w:p>
      <w:pPr>
        <w:spacing w:after="0" w:line="15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December 2019, the FASB issued amended guidance to simplify the accounting for income taxes. The amended guidance was effective for fiscal years beginning after December 15, 2020, including interim periods within those fiscal years, for public business entities. For private companies and emerging growth companies, the amended guidance will be effective for fiscal years beginning after December 15, 2021, and interim periods within fiscal years beginning after December 15, 2022. Early adoption is permitted, including adoption in an interim period. We are evaluating the impact this new guidance will have on our financial position, results of operations, and cash flows.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Westminster American Insurance Company</w:t>
      </w:r>
    </w:p>
    <w:p>
      <w:pPr>
        <w:spacing w:after="0" w:line="21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On January 1, 2020, the Company completed the acquisition of 100% of the common stock of Westminster from the private shareholder of Westminster, and Westminster became a consolidated subsidiary of the Company.</w:t>
      </w:r>
    </w:p>
    <w:p>
      <w:pPr>
        <w:spacing w:after="0" w:line="15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account for business acquisitions in accordance with the acquisition method of accounting, which requires, among other things, that most assets acquired, liabilities assumed, and contingent consideration be recognized at their fair values as of the acquisition date, which was the closing date for the Westminster transaction. During the measurement period, adjustments to provisional purchase price allocations are recognized if new information is obtained about the facts and circumstances that existed as of the acquisition date that, if known, would have resulted in the recognition of those assets and liabilities as of that date. The measurement period ends as soon as it is determined that no more information is obtainable, but in no case shall the measurement period exceed one year from the acquisition date. The measurement period for the Westminster acquisition ended December 31, 2020.</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incurred acquisition-related costs of $828 and $83 during the years ended December 31, 2020, and 2019, respectively.</w:t>
      </w:r>
    </w:p>
    <w:p>
      <w:pPr>
        <w:spacing w:after="0" w:line="223"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Company paid $20,000 in cash consideration to the private shareholder of Westminster as of the closing date, with an additional $20,000 to be paid in three equal annual installments. The acquisition of Westminster did not include any contingent consideration other than a provision regarding future changes to federal income tax rates. The first installment of the additional consideration was paid during the first quarter of 2021.</w:t>
      </w:r>
    </w:p>
    <w:p>
      <w:pPr>
        <w:spacing w:after="0" w:line="13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the consideration transferred to acquire Westminster and the amounts of identified assets acquired and liabilities assumed at the acquisition date: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r>
              <w:rPr>
                <w:rFonts w:ascii="Arial" w:cs="Arial" w:eastAsia="Arial" w:hAnsi="Arial"/>
                <w:sz w:val="18"/>
                <w:szCs w:val="18"/>
                <w:b w:val="1"/>
                <w:bCs w:val="1"/>
                <w:color w:val="auto"/>
              </w:rPr>
              <w:t>Fair Value of Consideration:</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transferred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Present value of future cash consideration</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18,787</w:t>
            </w:r>
          </w:p>
        </w:tc>
        <w:tc>
          <w:tcPr>
            <w:tcW w:w="120" w:type="dxa"/>
            <w:vAlign w:val="bottom"/>
          </w:tcPr>
          <w:p>
            <w:pPr>
              <w:spacing w:after="0"/>
              <w:rPr>
                <w:sz w:val="18"/>
                <w:szCs w:val="18"/>
                <w:color w:val="auto"/>
              </w:rPr>
            </w:pPr>
          </w:p>
        </w:tc>
      </w:tr>
      <w:tr>
        <w:trPr>
          <w:trHeight w:val="250"/>
        </w:trPr>
        <w:tc>
          <w:tcPr>
            <w:tcW w:w="9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consideration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7"/>
        </w:trPr>
        <w:tc>
          <w:tcPr>
            <w:tcW w:w="9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Identifiable Assets Acquired and Liabilities Assumed:</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Identifiable net assets: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19,297</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12,073</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Reinsurance recoverables on losses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investment income</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2,376</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income tax recoverable</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State insurance licenses (included in goodwill and other intangibles)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network (included in goodwill and other intangibles)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Trade name (included in goodwill and other intangibles)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business acquired (included in goodwill and other intangibles)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(8,568)</w:t>
            </w: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(16,611)</w:t>
            </w: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(1,583)</w:t>
            </w: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Reinsurance premiums payable</w:t>
            </w: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(1,132)</w:t>
            </w:r>
          </w:p>
        </w:tc>
      </w:tr>
      <w:tr>
        <w:trPr>
          <w:trHeight w:val="209"/>
        </w:trPr>
        <w:tc>
          <w:tcPr>
            <w:tcW w:w="988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identifiable net assets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32,031</w:t>
            </w:r>
          </w:p>
        </w:tc>
        <w:tc>
          <w:tcPr>
            <w:tcW w:w="120" w:type="dxa"/>
            <w:vAlign w:val="bottom"/>
            <w:tcBorders>
              <w:top w:val="single" w:sz="8" w:color="CCEEFF"/>
            </w:tcBorders>
          </w:tcPr>
          <w:p>
            <w:pPr>
              <w:spacing w:after="0"/>
              <w:rPr>
                <w:sz w:val="18"/>
                <w:szCs w:val="18"/>
                <w:color w:val="auto"/>
              </w:rPr>
            </w:pPr>
          </w:p>
        </w:tc>
      </w:tr>
      <w:tr>
        <w:trPr>
          <w:trHeight w:val="20"/>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w:t>
            </w:r>
          </w:p>
        </w:tc>
        <w:tc>
          <w:tcPr>
            <w:tcW w:w="120" w:type="dxa"/>
            <w:vAlign w:val="bottom"/>
          </w:tcPr>
          <w:p>
            <w:pPr>
              <w:spacing w:after="0"/>
              <w:rPr>
                <w:sz w:val="18"/>
                <w:szCs w:val="18"/>
                <w:color w:val="auto"/>
              </w:rPr>
            </w:pPr>
          </w:p>
        </w:tc>
      </w:tr>
      <w:tr>
        <w:trPr>
          <w:trHeight w:val="20"/>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fair value of the assets acquired included premiums and agents’ balances receivable of $8,507 and reinsurance recoverables on losses of $763. These are the gross amounts due from policyholders and reinsurers, respectively, none of which were anticipated to be uncollectible. The Company did not acquire any other material receivables as a result of the acquisition of Westminster.</w:t>
      </w:r>
    </w:p>
    <w:p>
      <w:pPr>
        <w:sectPr>
          <w:pgSz w:w="11900" w:h="16838" w:orient="portrait"/>
          <w:cols w:equalWidth="0" w:num="1">
            <w:col w:w="11240"/>
          </w:cols>
          <w:pgMar w:left="320" w:top="125" w:right="3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fair values of the acquired distribution network, state insurance licenses, Westminster trade name, and value of business acquired (“VOBA”) intangible assets were $6,700, $1,800, $500, and $4,750, respectively. The state insurance license intangible has an indefinite life, while the other intangible assets are being amortized over useful lives of up to twenty years. The goodwill is not deductible for income tax purposes.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amortized cost and estimated fair value of fixed income securities as of September 30, 2021 and December 31, 2020,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8"/>
                <w:szCs w:val="18"/>
                <w:b w:val="1"/>
                <w:bCs w:val="1"/>
                <w:color w:val="auto"/>
              </w:rPr>
              <w:t>September 30, 2021</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Cost or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Amortized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Cost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Gains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13,617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14,115</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73,161</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151,028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5,768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156,159</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42,955</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33,908</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51,118</w:t>
            </w:r>
          </w:p>
        </w:tc>
      </w:tr>
      <w:tr>
        <w:trPr>
          <w:trHeight w:val="20"/>
        </w:trPr>
        <w:tc>
          <w:tcPr>
            <w:tcW w:w="5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6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361,354</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(1,386)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371,416</w:t>
            </w:r>
          </w:p>
        </w:tc>
      </w:tr>
      <w:tr>
        <w:trPr>
          <w:trHeight w:val="20"/>
        </w:trPr>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91"/>
        </w:trPr>
        <w:tc>
          <w:tcPr>
            <w:tcW w:w="5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Cost or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Amortized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Cost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Gains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14,383</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64,244</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119,826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8,755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128,434</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36,494</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23,976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25,655</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51,200</w:t>
            </w:r>
          </w:p>
        </w:tc>
      </w:tr>
      <w:tr>
        <w:trPr>
          <w:trHeight w:val="20"/>
        </w:trPr>
        <w:tc>
          <w:tcPr>
            <w:tcW w:w="5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6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303,905</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320,410</w:t>
            </w:r>
          </w:p>
        </w:tc>
      </w:tr>
      <w:tr>
        <w:trPr>
          <w:trHeight w:val="20"/>
        </w:trPr>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Due to mature: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One year or less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After one year through five years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After five years through ten years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After ten years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Mortgage / asset-backed securities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fixed income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Due to mature: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One year or less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After one year through five years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After five years through ten years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After ten years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Mortgage / asset-backed securities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fixed income securities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Amortized Cost</w:t>
            </w:r>
          </w:p>
        </w:tc>
        <w:tc>
          <w:tcPr>
            <w:tcW w:w="34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8"/>
                <w:szCs w:val="18"/>
                <w:color w:val="auto"/>
              </w:rPr>
            </w:pPr>
          </w:p>
        </w:tc>
      </w:tr>
      <w:tr>
        <w:trPr>
          <w:trHeight w:val="411"/>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17,815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17,978</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80,664</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83,892</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85,609</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88,611</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51,313</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52,954</w:t>
            </w:r>
          </w:p>
        </w:tc>
      </w:tr>
      <w:tr>
        <w:trPr>
          <w:trHeight w:val="230"/>
        </w:trPr>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125,953</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127,981</w:t>
            </w: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361,354</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371,416</w:t>
            </w:r>
          </w:p>
        </w:tc>
        <w:tc>
          <w:tcPr>
            <w:tcW w:w="20" w:type="dxa"/>
            <w:vAlign w:val="bottom"/>
          </w:tcPr>
          <w:p>
            <w:pPr>
              <w:spacing w:after="0"/>
              <w:rPr>
                <w:sz w:val="18"/>
                <w:szCs w:val="1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-993775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-719455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-445135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-161925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December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Amortized Cost</w:t>
            </w:r>
          </w:p>
        </w:tc>
        <w:tc>
          <w:tcPr>
            <w:tcW w:w="34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8"/>
                <w:szCs w:val="18"/>
                <w:color w:val="auto"/>
              </w:rPr>
            </w:pPr>
          </w:p>
        </w:tc>
      </w:tr>
      <w:tr>
        <w:trPr>
          <w:trHeight w:val="411"/>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17,722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17,933</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86,709</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91,457</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59,408</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64,987</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30,322</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32,684</w:t>
            </w:r>
          </w:p>
        </w:tc>
      </w:tr>
      <w:tr>
        <w:trPr>
          <w:trHeight w:val="230"/>
        </w:trPr>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109,744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113,349</w:t>
            </w: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303,905</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320,410</w:t>
            </w:r>
          </w:p>
        </w:tc>
        <w:tc>
          <w:tcPr>
            <w:tcW w:w="20" w:type="dxa"/>
            <w:vAlign w:val="bottom"/>
          </w:tcPr>
          <w:p>
            <w:pPr>
              <w:spacing w:after="0"/>
              <w:rPr>
                <w:sz w:val="18"/>
                <w:szCs w:val="1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-993775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-719455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-445135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-162560</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7180" w:space="720"/>
            <w:col w:w="3340"/>
          </w:cols>
          <w:pgMar w:left="320" w:top="125"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Fixed income securities with a fair value of $8,016 at September 30, 2021 and $6,093 at December 31, 2020, were deposited with various state regulatory agencies as required by law. The Company has not pledged any assets to secure any obligations.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investment category and duration of the Company’s gross unrealized losses on fixed income securities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w w:val="98"/>
              </w:rPr>
              <w:t>September 30, 2021</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8"/>
                <w:szCs w:val="18"/>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8"/>
                <w:szCs w:val="18"/>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2,603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2,603</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39,009</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(637)</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17,333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5,555</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15,942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88,950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90,727</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(1,386)</w:t>
            </w: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3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w w:val="99"/>
              </w:rPr>
              <w:t>December 31, 2020</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8"/>
                <w:szCs w:val="18"/>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8"/>
                <w:szCs w:val="18"/>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3,949</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1,103</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9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12,908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17,830</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Investments with unrealized losses are categorized with a duration of greater than 12 months when all positions of a security have continually been in a loss position for at least 12 months.</w:t>
      </w:r>
    </w:p>
    <w:p>
      <w:pPr>
        <w:spacing w:after="0" w:line="15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 which there has been a significant decline in value, (ii) 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credit loss component of the impairment is reflected in net income (loss) as a realized capital loss on investment if the Company does not intend to sell the security, and the remaining portion of the other-than-temporary loss is recognized in other comprehensive income (loss), net of income taxes. If the Company intends to sell the security, or determines that it is more likely than not that it will be required to sell the security prior to recovering its cost or amortized cost basis less any current-period credit losses, the full amount of the other-than-temporary loss is recognized in net income (loss).</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September 30, 2021, we held 168 fixed income securities with unrealized losses. As of December 31, 2020, we held 67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which had fair values less than 80% of amortized cost for the preceding 12-month period.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Company did not record any other-than-temporary impairments during the three- or nine-month periods ended September 30, 2021 and 2020. For the year ended December 31, 2020, the Company also did not recognize any other-than-temporary impairments of its investment securities. Adverse investment market conditions, in addition to poor operating results of underlying investments, could result in impairment charges in the future.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gridSpan w:val="5"/>
          </w:tcPr>
          <w:p>
            <w:pPr>
              <w:ind w:left="660"/>
              <w:spacing w:after="0"/>
              <w:rPr>
                <w:sz w:val="20"/>
                <w:szCs w:val="20"/>
                <w:color w:val="auto"/>
              </w:rPr>
            </w:pPr>
            <w:r>
              <w:rPr>
                <w:rFonts w:ascii="Arial" w:cs="Arial" w:eastAsia="Arial" w:hAnsi="Arial"/>
                <w:sz w:val="18"/>
                <w:szCs w:val="18"/>
                <w:color w:val="auto"/>
              </w:rPr>
              <w:t>Net investment income was attributable to the following types of securities:</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7"/>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3"/>
              </w:rPr>
              <w:t>2,065</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6,227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gross investment income</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93"/>
              </w:rPr>
              <w:t>2,514</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Investment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2,560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1,713</w:t>
            </w:r>
          </w:p>
        </w:tc>
        <w:tc>
          <w:tcPr>
            <w:tcW w:w="50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93"/>
              </w:rPr>
              <w:t>1,886</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4,959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04"/>
        </w:trPr>
        <w:tc>
          <w:tcPr>
            <w:tcW w:w="514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w w:val="96"/>
              </w:rPr>
              <w:t>Net capital gain on investments consisted of the following:</w:t>
            </w: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7"/>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500" w:type="dxa"/>
            <w:vAlign w:val="bottom"/>
            <w:gridSpan w:val="2"/>
          </w:tcPr>
          <w:p>
            <w:pPr>
              <w:jc w:val="right"/>
              <w:ind w:right="32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center"/>
              <w:ind w:left="410"/>
              <w:spacing w:after="0"/>
              <w:rPr>
                <w:sz w:val="20"/>
                <w:szCs w:val="20"/>
                <w:color w:val="auto"/>
              </w:rPr>
            </w:pPr>
            <w:r>
              <w:rPr>
                <w:rFonts w:ascii="Arial" w:cs="Arial" w:eastAsia="Arial" w:hAnsi="Arial"/>
                <w:sz w:val="18"/>
                <w:szCs w:val="18"/>
                <w:color w:val="auto"/>
                <w:w w:val="86"/>
              </w:rPr>
              <w:t>279</w:t>
            </w:r>
          </w:p>
        </w:tc>
        <w:tc>
          <w:tcPr>
            <w:tcW w:w="60" w:type="dxa"/>
            <w:vAlign w:val="bottom"/>
          </w:tcPr>
          <w:p>
            <w:pPr>
              <w:spacing w:after="0"/>
              <w:rPr>
                <w:sz w:val="18"/>
                <w:szCs w:val="18"/>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6"/>
              </w:rPr>
              <w:t>637</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tcPr>
          <w:p>
            <w:pPr>
              <w:ind w:left="360"/>
              <w:spacing w:after="0"/>
              <w:rPr>
                <w:sz w:val="20"/>
                <w:szCs w:val="20"/>
                <w:color w:val="auto"/>
              </w:rPr>
            </w:pPr>
            <w:r>
              <w:rPr>
                <w:rFonts w:ascii="Arial" w:cs="Arial" w:eastAsia="Arial" w:hAnsi="Arial"/>
                <w:sz w:val="18"/>
                <w:szCs w:val="18"/>
                <w:color w:val="auto"/>
              </w:rPr>
              <w:t>Total gross realized gains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center"/>
              <w:ind w:left="410"/>
              <w:spacing w:after="0"/>
              <w:rPr>
                <w:sz w:val="20"/>
                <w:szCs w:val="20"/>
                <w:color w:val="auto"/>
              </w:rPr>
            </w:pPr>
            <w:r>
              <w:rPr>
                <w:rFonts w:ascii="Arial" w:cs="Arial" w:eastAsia="Arial" w:hAnsi="Arial"/>
                <w:sz w:val="18"/>
                <w:szCs w:val="18"/>
                <w:color w:val="auto"/>
                <w:w w:val="86"/>
              </w:rPr>
              <w:t>916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9,766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40" w:type="dxa"/>
            <w:vAlign w:val="bottom"/>
          </w:tcPr>
          <w:p>
            <w:pPr>
              <w:spacing w:after="0" w:line="201" w:lineRule="exact"/>
              <w:rPr>
                <w:sz w:val="20"/>
                <w:szCs w:val="20"/>
                <w:color w:val="auto"/>
              </w:rPr>
            </w:pPr>
            <w:r>
              <w:rPr>
                <w:rFonts w:ascii="Arial" w:cs="Arial" w:eastAsia="Arial" w:hAnsi="Arial"/>
                <w:sz w:val="18"/>
                <w:szCs w:val="18"/>
                <w:color w:val="auto"/>
                <w:w w:val="97"/>
              </w:rPr>
              <w:t>Gross realized losses, excluding other-than-temporary impairment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losses: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6"/>
              </w:rPr>
              <w:t>252</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center"/>
              <w:ind w:left="410"/>
              <w:spacing w:after="0"/>
              <w:rPr>
                <w:sz w:val="20"/>
                <w:szCs w:val="20"/>
                <w:color w:val="auto"/>
              </w:rPr>
            </w:pPr>
            <w:r>
              <w:rPr>
                <w:rFonts w:ascii="Arial" w:cs="Arial" w:eastAsia="Arial" w:hAnsi="Arial"/>
                <w:sz w:val="18"/>
                <w:szCs w:val="18"/>
                <w:color w:val="auto"/>
                <w:w w:val="90"/>
              </w:rPr>
              <w:t>(532)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Total gross realized losses, excluding other-than-temporary</w:t>
            </w:r>
          </w:p>
        </w:tc>
        <w:tc>
          <w:tcPr>
            <w:tcW w:w="2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impairment losses</w:t>
            </w:r>
          </w:p>
        </w:tc>
        <w:tc>
          <w:tcPr>
            <w:tcW w:w="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0"/>
              </w:rPr>
              <w:t>(280)</w:t>
            </w:r>
          </w:p>
        </w:tc>
        <w:tc>
          <w:tcPr>
            <w:tcW w:w="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 on investments</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6"/>
              </w:rPr>
              <w:t>636</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Change in net unrealized gain on equity securities</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4,466</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tcPr>
          <w:p>
            <w:pPr>
              <w:ind w:left="360"/>
              <w:spacing w:after="0"/>
              <w:rPr>
                <w:sz w:val="20"/>
                <w:szCs w:val="20"/>
                <w:color w:val="auto"/>
              </w:rPr>
            </w:pPr>
            <w:r>
              <w:rPr>
                <w:rFonts w:ascii="Arial" w:cs="Arial" w:eastAsia="Arial" w:hAnsi="Arial"/>
                <w:sz w:val="18"/>
                <w:szCs w:val="18"/>
                <w:color w:val="auto"/>
              </w:rPr>
              <w:t>Net capital gain on investments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500" w:type="dxa"/>
            <w:vAlign w:val="bottom"/>
            <w:gridSpan w:val="2"/>
          </w:tcPr>
          <w:p>
            <w:pPr>
              <w:jc w:val="right"/>
              <w:ind w:right="32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5,102</w:t>
            </w:r>
          </w:p>
        </w:tc>
        <w:tc>
          <w:tcPr>
            <w:tcW w:w="60" w:type="dxa"/>
            <w:vAlign w:val="bottom"/>
          </w:tcPr>
          <w:p>
            <w:pPr>
              <w:spacing w:after="0"/>
              <w:rPr>
                <w:sz w:val="18"/>
                <w:szCs w:val="18"/>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10,734</w:t>
            </w:r>
          </w:p>
        </w:tc>
        <w:tc>
          <w:tcPr>
            <w:tcW w:w="14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970"/>
              <w:spacing w:after="0"/>
              <w:rPr>
                <w:sz w:val="20"/>
                <w:szCs w:val="20"/>
                <w:color w:val="auto"/>
              </w:rPr>
            </w:pPr>
            <w:r>
              <w:rPr>
                <w:rFonts w:ascii="Arial" w:cs="Arial" w:eastAsia="Arial" w:hAnsi="Arial"/>
                <w:sz w:val="18"/>
                <w:szCs w:val="18"/>
                <w:color w:val="auto"/>
                <w:w w:val="89"/>
              </w:rPr>
              <w:t>16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4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6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42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16"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The Company uses fair value measurements to record fair value adjustments to certain assets and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Level I</w:t>
      </w:r>
      <w:r>
        <w:rPr>
          <w:rFonts w:ascii="Arial" w:cs="Arial" w:eastAsia="Arial" w:hAnsi="Arial"/>
          <w:sz w:val="16"/>
          <w:szCs w:val="16"/>
          <w:color w:val="auto"/>
        </w:rPr>
        <w:t>: Unadjusted quoted prices in active markets that are accessible at the measurement date for identical, unrestricted assets or liabilities.</w:t>
      </w:r>
    </w:p>
    <w:p>
      <w:pPr>
        <w:spacing w:after="0" w:line="221"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i w:val="1"/>
          <w:iCs w:val="1"/>
          <w:color w:val="auto"/>
        </w:rPr>
        <w:t>Level II</w:t>
      </w:r>
      <w:r>
        <w:rPr>
          <w:rFonts w:ascii="Arial" w:cs="Arial" w:eastAsia="Arial" w:hAnsi="Arial"/>
          <w:sz w:val="16"/>
          <w:szCs w:val="16"/>
          <w:color w:val="auto"/>
        </w:rPr>
        <w:t>: Quoted prices in markets that are not active, or inputs that are observable either directly or indirectly, for substantially the full term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44"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i w:val="1"/>
          <w:iCs w:val="1"/>
          <w:color w:val="auto"/>
        </w:rPr>
        <w:t>Level III</w:t>
      </w:r>
      <w:r>
        <w:rPr>
          <w:rFonts w:ascii="Arial" w:cs="Arial" w:eastAsia="Arial" w:hAnsi="Arial"/>
          <w:sz w:val="18"/>
          <w:szCs w:val="18"/>
          <w:color w:val="auto"/>
        </w:rPr>
        <w:t>: Prices or valuation techniques that require inputs that are both significant to the fair value measurement and unobservable (i.e.,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supported with little or no market activity).</w:t>
      </w:r>
    </w:p>
    <w:p>
      <w:pPr>
        <w:spacing w:after="0" w:line="15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and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4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pricing service did not use broker quotes in determining any fair values of the Company’s investments at September 30, 2021 or December 31, 2020.</w:t>
      </w:r>
    </w:p>
    <w:p>
      <w:pPr>
        <w:spacing w:after="0" w:line="17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Should the independent pricing service be unable to provide a fair value estimate,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we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III investment.</w:t>
      </w:r>
    </w:p>
    <w:p>
      <w:pPr>
        <w:spacing w:after="0" w:line="16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fair value estimates of the Company’s investments provided by the independent pricing service at each period-end were utilized, among other resources, in reaching a conclusion as to the fair value of its investments.</w:t>
      </w:r>
    </w:p>
    <w:p>
      <w:pPr>
        <w:spacing w:after="0" w:line="14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Management reviews the reasonableness of the pricing provided by the independent pricing service by employing various analytical procedures. Management reviews all securities to identify recent downgrades, significant changes in pricing, and pricing</w:t>
      </w:r>
    </w:p>
    <w:p>
      <w:pPr>
        <w:sectPr>
          <w:pgSz w:w="11900" w:h="16838" w:orient="portrait"/>
          <w:cols w:equalWidth="0" w:num="1">
            <w:col w:w="11220"/>
          </w:cols>
          <w:pgMar w:left="320" w:top="125" w:right="359" w:bottom="1440" w:gutter="0" w:footer="0" w:header="0"/>
        </w:sectPr>
      </w:pP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anomalies on individual securities relative to other similar securities. This will include looking for relative consistency across securities in common sectors, durations, and credit ratings. This review will also include all fixed income securities rated lower than “A” by Moody’s or Standard &amp; Poor’s.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 for the nine-month period ended September 30, 2021, or the year ended December 31, 2020. The classification within the fair value hierarchy is then confirmed based on the final conclusions from the pricing review.</w:t>
      </w:r>
    </w:p>
    <w:p>
      <w:pPr>
        <w:spacing w:after="0" w:line="16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tables set forth our assets which are measured at fair value on a recurring basis by the level within the fair value hierarchy in which fair value measurements fall:</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3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I</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III</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3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14,115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14,115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73,161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73,161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156,159</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156,159</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42,955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42,955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33,908</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33,908</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51,118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09"/>
        </w:trPr>
        <w:tc>
          <w:tcPr>
            <w:tcW w:w="45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371,416</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371,416</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7,580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16,386</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16,386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4,165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4,165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14,292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17,337</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17,337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74,460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09"/>
        </w:trPr>
        <w:tc>
          <w:tcPr>
            <w:tcW w:w="45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30,529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09"/>
        </w:trPr>
        <w:tc>
          <w:tcPr>
            <w:tcW w:w="4540" w:type="dxa"/>
            <w:vAlign w:val="bottom"/>
          </w:tcPr>
          <w:p>
            <w:pPr>
              <w:ind w:left="360"/>
              <w:spacing w:after="0"/>
              <w:rPr>
                <w:sz w:val="20"/>
                <w:szCs w:val="20"/>
                <w:color w:val="auto"/>
              </w:rPr>
            </w:pPr>
            <w:r>
              <w:rPr>
                <w:rFonts w:ascii="Arial" w:cs="Arial" w:eastAsia="Arial" w:hAnsi="Arial"/>
                <w:sz w:val="18"/>
                <w:szCs w:val="18"/>
                <w:color w:val="auto"/>
              </w:rPr>
              <w:t>Total assets at fair value</w:t>
            </w:r>
          </w:p>
        </w:tc>
        <w:tc>
          <w:tcPr>
            <w:tcW w:w="9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476,405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104,989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371,416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540" w:type="dxa"/>
            <w:vAlign w:val="bottom"/>
          </w:tcPr>
          <w:p>
            <w:pPr>
              <w:spacing w:after="0"/>
              <w:rPr>
                <w:sz w:val="24"/>
                <w:szCs w:val="24"/>
                <w:color w:val="auto"/>
              </w:rPr>
            </w:pP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18</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54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94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04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0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I</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III</w:t>
            </w:r>
          </w:p>
        </w:tc>
        <w:tc>
          <w:tcPr>
            <w:tcW w:w="120" w:type="dxa"/>
            <w:vAlign w:val="bottom"/>
          </w:tcPr>
          <w:p>
            <w:pPr>
              <w:spacing w:after="0"/>
              <w:rPr>
                <w:sz w:val="18"/>
                <w:szCs w:val="18"/>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14,383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14,383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64,244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64,244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128,434</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128,434</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36,494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36,494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25,655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25,655</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320,410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320,410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7,455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14,633</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14,633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6,235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16,145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16,145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360"/>
              <w:spacing w:after="0"/>
              <w:rPr>
                <w:sz w:val="20"/>
                <w:szCs w:val="20"/>
                <w:color w:val="auto"/>
              </w:rPr>
            </w:pPr>
            <w:r>
              <w:rPr>
                <w:rFonts w:ascii="Arial" w:cs="Arial" w:eastAsia="Arial" w:hAnsi="Arial"/>
                <w:sz w:val="18"/>
                <w:szCs w:val="18"/>
                <w:color w:val="auto"/>
              </w:rPr>
              <w:t>Total equity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69,952</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69,952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Cash equivalents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65,354</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65,354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at fair value</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455,716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135,306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320,410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liabilities measured at fair value on a recurring basis at September 30, 2021 or December 31, 2020.</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216"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The Company cedes and assumes certain premiums and losses to and from various companies and associations under a variety of reinsurance agreements. The Company seeks to limit the maximum net loss that can arise from large risks or risks in concentrated areas of exposure through use of these agreements, either on an automatic basis under general reinsurance contracts known as treaties or through facultative contracts on substantial individual risks.</w:t>
      </w:r>
    </w:p>
    <w:p>
      <w:pPr>
        <w:spacing w:after="0" w:line="17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16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During the nine-month period ended September 30, 2021, the Company retained the first $10,000 of weather-related losses from catastrophic events and had reinsurance under various reinsurance agreements up to $117,000 in excess of its $10,000 retained risk. During the year ended December 31, 2020, the Company retained the first $10,000 of weather-related losses from catastrophic events and had reinsurance under various reinsurance agreements up to $97,000 in excess of its $10,000 retained risk.</w:t>
      </w:r>
    </w:p>
    <w:p>
      <w:pPr>
        <w:spacing w:after="0" w:line="173"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reinsurance recoverables on paid and unpaid losses were due from reinsurance companies with A.M. Best ratings of “A” or higher.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direct to net premiums on both a written and an earned basis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2"/>
              </w:rPr>
              <w:t>Three Months Ended September 30, 2021</w:t>
            </w:r>
          </w:p>
        </w:tc>
        <w:tc>
          <w:tcPr>
            <w:tcW w:w="100" w:type="dxa"/>
            <w:vAlign w:val="bottom"/>
          </w:tcPr>
          <w:p>
            <w:pPr>
              <w:spacing w:after="0"/>
              <w:rPr>
                <w:sz w:val="20"/>
                <w:szCs w:val="20"/>
                <w:color w:val="auto"/>
              </w:rPr>
            </w:pPr>
          </w:p>
        </w:tc>
        <w:tc>
          <w:tcPr>
            <w:tcW w:w="35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3"/>
              </w:rPr>
              <w:t>Nine Months Ended September 30, 2021</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3"/>
              </w:rPr>
              <w:t>Premiums Written</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Premiums Earned</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3"/>
              </w:rPr>
              <w:t>Premiums Written</w:t>
            </w: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Premiums Earned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93,740</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266,877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Assumed premium</w:t>
            </w:r>
          </w:p>
        </w:tc>
        <w:tc>
          <w:tcPr>
            <w:tcW w:w="10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1,316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6,342</w:t>
            </w:r>
          </w:p>
        </w:tc>
        <w:tc>
          <w:tcPr>
            <w:tcW w:w="12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(12,903)</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(36,812)</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(34,253)</w:t>
            </w:r>
          </w:p>
        </w:tc>
        <w:tc>
          <w:tcPr>
            <w:tcW w:w="0" w:type="dxa"/>
            <w:vAlign w:val="bottom"/>
          </w:tcPr>
          <w:p>
            <w:pPr>
              <w:spacing w:after="0"/>
              <w:rPr>
                <w:sz w:val="1"/>
                <w:szCs w:val="1"/>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ind w:left="180"/>
              <w:spacing w:after="0"/>
              <w:rPr>
                <w:sz w:val="20"/>
                <w:szCs w:val="20"/>
                <w:color w:val="auto"/>
              </w:rPr>
            </w:pPr>
            <w:r>
              <w:rPr>
                <w:rFonts w:ascii="Arial" w:cs="Arial" w:eastAsia="Arial" w:hAnsi="Arial"/>
                <w:sz w:val="18"/>
                <w:szCs w:val="18"/>
                <w:color w:val="auto"/>
              </w:rPr>
              <w:t>Net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66,726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82,173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236,407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221,589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w w:val="94"/>
              </w:rPr>
              <w:t>Percentage of assumed earned premium to direct</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0"/>
        </w:trPr>
        <w:tc>
          <w:tcPr>
            <w:tcW w:w="3740" w:type="dxa"/>
            <w:vAlign w:val="bottom"/>
          </w:tcPr>
          <w:p>
            <w:pPr>
              <w:ind w:left="180"/>
              <w:spacing w:after="0" w:line="190" w:lineRule="exact"/>
              <w:rPr>
                <w:sz w:val="20"/>
                <w:szCs w:val="20"/>
                <w:color w:val="auto"/>
              </w:rPr>
            </w:pPr>
            <w:r>
              <w:rPr>
                <w:rFonts w:ascii="Arial" w:cs="Arial" w:eastAsia="Arial" w:hAnsi="Arial"/>
                <w:sz w:val="18"/>
                <w:szCs w:val="18"/>
                <w:color w:val="auto"/>
              </w:rPr>
              <w:t>earned premium</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w w:val="90"/>
              </w:rPr>
              <w:t>Three Months Ended September 30, 2020</w:t>
            </w:r>
          </w:p>
        </w:tc>
        <w:tc>
          <w:tcPr>
            <w:tcW w:w="100" w:type="dxa"/>
            <w:vAlign w:val="bottom"/>
          </w:tcPr>
          <w:p>
            <w:pPr>
              <w:spacing w:after="0"/>
              <w:rPr>
                <w:sz w:val="20"/>
                <w:szCs w:val="20"/>
                <w:color w:val="auto"/>
              </w:rPr>
            </w:pPr>
          </w:p>
        </w:tc>
        <w:tc>
          <w:tcPr>
            <w:tcW w:w="35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3"/>
              </w:rPr>
              <w:t>Nine Months Ended September 30, 2020</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top w:val="single" w:sz="8" w:color="auto"/>
            </w:tcBorders>
            <w:gridSpan w:val="5"/>
          </w:tcPr>
          <w:p>
            <w:pPr>
              <w:jc w:val="right"/>
              <w:ind w:right="440"/>
              <w:spacing w:after="0"/>
              <w:rPr>
                <w:sz w:val="20"/>
                <w:szCs w:val="20"/>
                <w:color w:val="auto"/>
              </w:rPr>
            </w:pPr>
            <w:r>
              <w:rPr>
                <w:rFonts w:ascii="Arial" w:cs="Arial" w:eastAsia="Arial" w:hAnsi="Arial"/>
                <w:sz w:val="18"/>
                <w:szCs w:val="18"/>
                <w:b w:val="1"/>
                <w:bCs w:val="1"/>
                <w:color w:val="auto"/>
              </w:rPr>
              <w:t>Premiums Written</w:t>
            </w: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4"/>
              </w:rPr>
              <w:t>Premiums Earned</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3"/>
              </w:rPr>
              <w:t>Premiums Written</w:t>
            </w: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Premiums Earned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68,322</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79,455</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244,053</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Assumed premium</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(7,596)</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(7,485)</w:t>
            </w:r>
          </w:p>
        </w:tc>
        <w:tc>
          <w:tcPr>
            <w:tcW w:w="100" w:type="dxa"/>
            <w:vAlign w:val="bottom"/>
            <w:shd w:val="clear" w:color="auto" w:fill="CCEEFF"/>
          </w:tcPr>
          <w:p>
            <w:pPr>
              <w:spacing w:after="0"/>
              <w:rPr>
                <w:sz w:val="18"/>
                <w:szCs w:val="18"/>
                <w:color w:val="auto"/>
              </w:rPr>
            </w:pPr>
          </w:p>
        </w:tc>
        <w:tc>
          <w:tcPr>
            <w:tcW w:w="1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(15,497)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(15,835)</w:t>
            </w: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Pr>
          <w:p>
            <w:pPr>
              <w:ind w:left="180"/>
              <w:spacing w:after="0"/>
              <w:rPr>
                <w:sz w:val="20"/>
                <w:szCs w:val="20"/>
                <w:color w:val="auto"/>
              </w:rPr>
            </w:pPr>
            <w:r>
              <w:rPr>
                <w:rFonts w:ascii="Arial" w:cs="Arial" w:eastAsia="Arial" w:hAnsi="Arial"/>
                <w:sz w:val="18"/>
                <w:szCs w:val="18"/>
                <w:color w:val="auto"/>
              </w:rPr>
              <w:t>Net premiums</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62,152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73,342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234,284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214,120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w w:val="97"/>
              </w:rPr>
              <w:t>Percentage of assumed earned premium to</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180"/>
              <w:spacing w:after="0" w:line="190" w:lineRule="exact"/>
              <w:rPr>
                <w:sz w:val="20"/>
                <w:szCs w:val="20"/>
                <w:color w:val="auto"/>
              </w:rPr>
            </w:pPr>
            <w:r>
              <w:rPr>
                <w:rFonts w:ascii="Arial" w:cs="Arial" w:eastAsia="Arial" w:hAnsi="Arial"/>
                <w:sz w:val="18"/>
                <w:szCs w:val="18"/>
                <w:color w:val="auto"/>
              </w:rPr>
              <w:t>direct earned premium</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760" w:type="dxa"/>
            <w:vAlign w:val="bottom"/>
            <w:gridSpan w:val="9"/>
          </w:tcPr>
          <w:p>
            <w:pPr>
              <w:ind w:left="660"/>
              <w:spacing w:after="0"/>
              <w:rPr>
                <w:sz w:val="20"/>
                <w:szCs w:val="20"/>
                <w:color w:val="auto"/>
              </w:rPr>
            </w:pPr>
            <w:r>
              <w:rPr>
                <w:rFonts w:ascii="Arial" w:cs="Arial" w:eastAsia="Arial" w:hAnsi="Arial"/>
                <w:sz w:val="18"/>
                <w:szCs w:val="18"/>
                <w:color w:val="auto"/>
                <w:w w:val="93"/>
              </w:rPr>
              <w:t>A reconciliation of direct to net losses and loss adjustment expenses is as follows:</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7"/>
          </w:tcPr>
          <w:p>
            <w:pPr>
              <w:jc w:val="right"/>
              <w:ind w:right="62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4"/>
                <w:szCs w:val="24"/>
                <w:color w:val="auto"/>
              </w:rPr>
            </w:pPr>
          </w:p>
        </w:tc>
        <w:tc>
          <w:tcPr>
            <w:tcW w:w="35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6"/>
              </w:rPr>
              <w:t>Direct losses and loss adjustment expenses</w:t>
            </w:r>
          </w:p>
        </w:tc>
        <w:tc>
          <w:tcPr>
            <w:tcW w:w="34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87,453</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8"/>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201,630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w w:val="89"/>
              </w:rPr>
              <w:t>Assumed losses and loss adjustment expenses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5,216</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4"/>
              </w:rPr>
              <w:t>Ceded losses and loss adjustment expenses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(24,019)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(8,536)</w:t>
            </w:r>
          </w:p>
        </w:tc>
        <w:tc>
          <w:tcPr>
            <w:tcW w:w="100" w:type="dxa"/>
            <w:vAlign w:val="bottom"/>
            <w:shd w:val="clear" w:color="auto" w:fill="CCEEFF"/>
          </w:tcPr>
          <w:p>
            <w:pPr>
              <w:spacing w:after="0"/>
              <w:rPr>
                <w:sz w:val="18"/>
                <w:szCs w:val="18"/>
                <w:color w:val="auto"/>
              </w:rPr>
            </w:pPr>
          </w:p>
        </w:tc>
        <w:tc>
          <w:tcPr>
            <w:tcW w:w="1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(41,297)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(20,119)</w:t>
            </w: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Pr>
          <w:p>
            <w:pPr>
              <w:ind w:left="180"/>
              <w:spacing w:after="0"/>
              <w:rPr>
                <w:sz w:val="20"/>
                <w:szCs w:val="20"/>
                <w:color w:val="auto"/>
              </w:rPr>
            </w:pPr>
            <w:r>
              <w:rPr>
                <w:rFonts w:ascii="Arial" w:cs="Arial" w:eastAsia="Arial" w:hAnsi="Arial"/>
                <w:sz w:val="18"/>
                <w:szCs w:val="18"/>
                <w:color w:val="auto"/>
                <w:w w:val="96"/>
              </w:rPr>
              <w:t>Net losses and loss adjustment expenses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65,742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918"/>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53,836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165,549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136,622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If 100% of our ceded reinsurance was cancelled as of September 30, 2021 or December 31, 2020, no ceded commissions would need to be returned to the reinsurers. Reinsurance contracts are typically effective from January 1 through December 31 each year.</w:t>
      </w:r>
    </w:p>
    <w:p>
      <w:pPr>
        <w:spacing w:after="0" w:line="8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216"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shows the deferred policy acquisition costs and asset reconciliation: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4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8,717</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14,742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47,879</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47,763</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policy acquisition costs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(12,898)</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(46,371)</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(39,277)</w:t>
            </w:r>
          </w:p>
        </w:tc>
      </w:tr>
      <w:tr>
        <w:trPr>
          <w:trHeight w:val="20"/>
        </w:trPr>
        <w:tc>
          <w:tcPr>
            <w:tcW w:w="54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r>
      <w:tr>
        <w:trPr>
          <w:trHeight w:val="209"/>
        </w:trPr>
        <w:tc>
          <w:tcPr>
            <w:tcW w:w="540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25,476</w:t>
            </w:r>
          </w:p>
        </w:tc>
        <w:tc>
          <w:tcPr>
            <w:tcW w:w="2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23,885</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25,476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23,885</w:t>
            </w: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Unpaid Losses and Loss Adjustment Expenses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Activity in the liability for unpaid losses and loss adjustment expenses (“LAE”) is summarized as follows:</w:t>
      </w:r>
    </w:p>
    <w:p>
      <w:pPr>
        <w:spacing w:after="0" w:line="181" w:lineRule="exact"/>
        <w:rPr>
          <w:sz w:val="20"/>
          <w:szCs w:val="20"/>
          <w:color w:val="auto"/>
        </w:rPr>
      </w:pPr>
    </w:p>
    <w:p>
      <w:pPr>
        <w:jc w:val="center"/>
        <w:ind w:left="7860"/>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19799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7" w:lineRule="exact"/>
        <w:rPr>
          <w:sz w:val="20"/>
          <w:szCs w:val="20"/>
          <w:color w:val="auto"/>
        </w:rPr>
      </w:pPr>
    </w:p>
    <w:p>
      <w:pPr>
        <w:ind w:left="8540"/>
        <w:spacing w:after="0"/>
        <w:tabs>
          <w:tab w:leader="none" w:pos="102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19799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Liability for unpaid losses and LAE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Reinsurance recoverables on losses</w:t>
      </w:r>
    </w:p>
    <w:p>
      <w:pPr>
        <w:spacing w:after="0" w:line="46" w:lineRule="exact"/>
        <w:rPr>
          <w:sz w:val="20"/>
          <w:szCs w:val="20"/>
          <w:color w:val="auto"/>
        </w:rPr>
      </w:pPr>
    </w:p>
    <w:p>
      <w:pPr>
        <w:jc w:val="right"/>
        <w:ind w:right="4420"/>
        <w:spacing w:after="0"/>
        <w:rPr>
          <w:sz w:val="20"/>
          <w:szCs w:val="20"/>
          <w:color w:val="auto"/>
        </w:rPr>
      </w:pPr>
      <w:r>
        <w:rPr>
          <w:rFonts w:ascii="Arial" w:cs="Arial" w:eastAsia="Arial" w:hAnsi="Arial"/>
          <w:sz w:val="18"/>
          <w:szCs w:val="18"/>
          <w:color w:val="auto"/>
        </w:rPr>
        <w:t>Net balance at beginning of period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105,750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93,250</w:t>
            </w:r>
          </w:p>
        </w:tc>
      </w:tr>
      <w:tr>
        <w:trPr>
          <w:trHeight w:val="230"/>
        </w:trPr>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8,710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4,045</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97,040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89,205</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-565150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-290830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Acquired unpaid losses and LAE related to:</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8,568</w:t>
            </w: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incurred</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8,568</w:t>
            </w:r>
          </w:p>
        </w:tc>
      </w:tr>
      <w:tr>
        <w:trPr>
          <w:trHeight w:val="209"/>
        </w:trPr>
        <w:tc>
          <w:tcPr>
            <w:tcW w:w="80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172,443</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140,890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(6,894)</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(4,268)</w:t>
            </w:r>
          </w:p>
        </w:tc>
      </w:tr>
      <w:tr>
        <w:trPr>
          <w:trHeight w:val="209"/>
        </w:trPr>
        <w:tc>
          <w:tcPr>
            <w:tcW w:w="800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incurred</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165,549</w:t>
            </w: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136,622</w:t>
            </w:r>
          </w:p>
        </w:tc>
        <w:tc>
          <w:tcPr>
            <w:tcW w:w="12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Paid related to:</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86,251</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65,234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39,440</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47,914</w:t>
            </w:r>
          </w:p>
        </w:tc>
        <w:tc>
          <w:tcPr>
            <w:tcW w:w="12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paid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125,691</w:t>
            </w: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113,148</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Liability for unpaid losses and LAE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Reinsurance recoverables on losses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balance at end of period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179,576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134,803</w:t>
            </w:r>
          </w:p>
        </w:tc>
      </w:tr>
      <w:tr>
        <w:trPr>
          <w:trHeight w:val="230"/>
        </w:trPr>
        <w:tc>
          <w:tcPr>
            <w:tcW w:w="4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42,678</w:t>
            </w:r>
          </w:p>
        </w:tc>
        <w:tc>
          <w:tcPr>
            <w:tcW w:w="4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13,556</w:t>
            </w:r>
          </w:p>
        </w:tc>
      </w:tr>
      <w:tr>
        <w:trPr>
          <w:trHeight w:val="210"/>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136,898</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121,247</w:t>
            </w:r>
          </w:p>
        </w:tc>
        <w:tc>
          <w:tcPr>
            <w:tcW w:w="20" w:type="dxa"/>
            <w:vAlign w:val="bottom"/>
          </w:tcPr>
          <w:p>
            <w:pPr>
              <w:spacing w:after="0"/>
              <w:rPr>
                <w:sz w:val="18"/>
                <w:szCs w:val="18"/>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-582295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-307975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ind w:right="200" w:firstLine="648"/>
        <w:spacing w:after="0" w:line="279" w:lineRule="auto"/>
        <w:rPr>
          <w:sz w:val="20"/>
          <w:szCs w:val="20"/>
          <w:color w:val="auto"/>
        </w:rPr>
      </w:pPr>
      <w:r>
        <w:rPr>
          <w:rFonts w:ascii="Arial" w:cs="Arial" w:eastAsia="Arial" w:hAnsi="Arial"/>
          <w:sz w:val="17"/>
          <w:szCs w:val="17"/>
          <w:color w:val="auto"/>
        </w:rPr>
        <w:t>During the nine months ended September 30, 2021, the Company’s reported incurred losses and LAE included $6,894 of net favorable development on prior accident years, compared to $4,268 of net favorable development on prior accident years during the nine months ended September 30, 2020. The net favorable development on prior accident years through September 30, 2021 was primarily driven by favorable development in the non-standard auto segment and, to a lesser extent, the private passenger auto and home and farm segments.</w:t>
      </w:r>
    </w:p>
    <w:p>
      <w:pPr>
        <w:sectPr>
          <w:pgSz w:w="11900" w:h="16838" w:orient="portrait"/>
          <w:cols w:equalWidth="0" w:num="1">
            <w:col w:w="11240"/>
          </w:cols>
          <w:pgMar w:left="320" w:top="125" w:right="339" w:bottom="1440" w:gutter="0" w:footer="0" w:header="0"/>
          <w:type w:val="continuous"/>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Increases and decreases are generally the result of ongoing analysis of loss development trends. As additional information becomes known regarding individual claims, original estimates are increased or decreased accordingly.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660"/>
              <w:spacing w:after="0"/>
              <w:rPr>
                <w:sz w:val="20"/>
                <w:szCs w:val="20"/>
                <w:color w:val="auto"/>
              </w:rPr>
            </w:pPr>
            <w:r>
              <w:rPr>
                <w:rFonts w:ascii="Arial" w:cs="Arial" w:eastAsia="Arial" w:hAnsi="Arial"/>
                <w:sz w:val="18"/>
                <w:szCs w:val="18"/>
                <w:color w:val="auto"/>
              </w:rPr>
              <w:t>The Company’s liabilities for unpaid losses and LAE are summarized below:</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September 30, 2021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2020</w:t>
            </w: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Case reserves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89,903</w:t>
            </w: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IBNR reserves</w:t>
            </w:r>
          </w:p>
        </w:tc>
        <w:tc>
          <w:tcPr>
            <w:tcW w:w="1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22,728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15,847</w:t>
            </w:r>
          </w:p>
        </w:tc>
      </w:tr>
      <w:tr>
        <w:trPr>
          <w:trHeight w:val="20"/>
        </w:trPr>
        <w:tc>
          <w:tcPr>
            <w:tcW w:w="7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unpaid LAE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105,750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1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42,678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8,710</w:t>
            </w:r>
          </w:p>
        </w:tc>
      </w:tr>
      <w:tr>
        <w:trPr>
          <w:trHeight w:val="20"/>
        </w:trPr>
        <w:tc>
          <w:tcPr>
            <w:tcW w:w="7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97,040</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case and IBNR reserves for unpaid losses and LAE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5"/>
              </w:rPr>
              <w:t>September 30, 2021</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209"/>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w w:val="85"/>
              </w:rPr>
              <w:t>Case Reserves</w:t>
            </w:r>
          </w:p>
        </w:tc>
        <w:tc>
          <w:tcPr>
            <w:tcW w:w="200" w:type="dxa"/>
            <w:vAlign w:val="bottom"/>
          </w:tcPr>
          <w:p>
            <w:pPr>
              <w:spacing w:after="0"/>
              <w:rPr>
                <w:sz w:val="18"/>
                <w:szCs w:val="18"/>
                <w:color w:val="auto"/>
              </w:rPr>
            </w:pPr>
          </w:p>
        </w:tc>
        <w:tc>
          <w:tcPr>
            <w:tcW w:w="15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IBNR Reserves</w:t>
            </w: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Reserves</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18,344</w:t>
            </w:r>
          </w:p>
        </w:tc>
        <w:tc>
          <w:tcPr>
            <w:tcW w:w="200" w:type="dxa"/>
            <w:vAlign w:val="bottom"/>
            <w:tcBorders>
              <w:lef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26,073</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Non-standard auto</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51,606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44,114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12,771</w:t>
            </w:r>
          </w:p>
        </w:tc>
        <w:tc>
          <w:tcPr>
            <w:tcW w:w="20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17,443</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Crop</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50,378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50,393</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19,737</w:t>
            </w:r>
          </w:p>
        </w:tc>
        <w:tc>
          <w:tcPr>
            <w:tcW w:w="20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30,547</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4,012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6,994</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11,006</w:t>
            </w:r>
          </w:p>
        </w:tc>
      </w:tr>
      <w:tr>
        <w:trPr>
          <w:trHeight w:val="20"/>
        </w:trPr>
        <w:tc>
          <w:tcPr>
            <w:tcW w:w="6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156,848</w:t>
            </w:r>
          </w:p>
        </w:tc>
        <w:tc>
          <w:tcPr>
            <w:tcW w:w="20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179,576</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39,169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42,678</w:t>
            </w:r>
          </w:p>
        </w:tc>
      </w:tr>
      <w:tr>
        <w:trPr>
          <w:trHeight w:val="20"/>
        </w:trPr>
        <w:tc>
          <w:tcPr>
            <w:tcW w:w="6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117,679</w:t>
            </w:r>
          </w:p>
        </w:tc>
        <w:tc>
          <w:tcPr>
            <w:tcW w:w="200" w:type="dxa"/>
            <w:vAlign w:val="bottom"/>
            <w:tcBorders>
              <w:left w:val="single" w:sz="8" w:color="CCEEFF"/>
            </w:tcBorders>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136,898</w:t>
            </w:r>
          </w:p>
        </w:tc>
      </w:tr>
      <w:tr>
        <w:trPr>
          <w:trHeight w:val="20"/>
        </w:trPr>
        <w:tc>
          <w:tcPr>
            <w:tcW w:w="6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3"/>
              </w:rPr>
              <w:t>December 31, 2020</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10"/>
        </w:trPr>
        <w:tc>
          <w:tcPr>
            <w:tcW w:w="4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Case Reserves</w:t>
            </w:r>
          </w:p>
        </w:tc>
        <w:tc>
          <w:tcPr>
            <w:tcW w:w="140" w:type="dxa"/>
            <w:vAlign w:val="bottom"/>
          </w:tcPr>
          <w:p>
            <w:pPr>
              <w:spacing w:after="0"/>
              <w:rPr>
                <w:sz w:val="18"/>
                <w:szCs w:val="18"/>
                <w:color w:val="auto"/>
              </w:rPr>
            </w:pPr>
          </w:p>
        </w:tc>
        <w:tc>
          <w:tcPr>
            <w:tcW w:w="15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IBNR Reserves</w:t>
            </w:r>
          </w:p>
        </w:tc>
        <w:tc>
          <w:tcPr>
            <w:tcW w:w="1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Reserves</w:t>
            </w: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2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Non-standard auto</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50,702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(7,366)</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43,336</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11,737</w:t>
            </w: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Crop</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771</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10,749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19,089</w:t>
            </w: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All other</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10,506</w:t>
            </w:r>
          </w:p>
        </w:tc>
        <w:tc>
          <w:tcPr>
            <w:tcW w:w="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105,750</w:t>
            </w: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3,608</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8,710</w:t>
            </w:r>
          </w:p>
        </w:tc>
        <w:tc>
          <w:tcPr>
            <w:tcW w:w="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24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84,801</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97,040</w:t>
            </w:r>
          </w:p>
        </w:tc>
        <w:tc>
          <w:tcPr>
            <w:tcW w:w="20" w:type="dxa"/>
            <w:vAlign w:val="bottom"/>
            <w:shd w:val="clear" w:color="auto" w:fill="CCEEFF"/>
          </w:tcPr>
          <w:p>
            <w:pPr>
              <w:spacing w:after="0"/>
              <w:rPr>
                <w:sz w:val="21"/>
                <w:szCs w:val="21"/>
                <w:color w:val="auto"/>
              </w:rPr>
            </w:pPr>
          </w:p>
        </w:tc>
      </w:tr>
      <w:tr>
        <w:trPr>
          <w:trHeight w:val="372"/>
        </w:trPr>
        <w:tc>
          <w:tcPr>
            <w:tcW w:w="4160" w:type="dxa"/>
            <w:vAlign w:val="bottom"/>
            <w:tcBorders>
              <w:top w:val="single" w:sz="8" w:color="CCEEFF"/>
            </w:tcBorders>
          </w:tcPr>
          <w:p>
            <w:pPr>
              <w:spacing w:after="0"/>
              <w:rPr>
                <w:sz w:val="24"/>
                <w:szCs w:val="24"/>
                <w:color w:val="auto"/>
              </w:rPr>
            </w:pPr>
          </w:p>
        </w:tc>
        <w:tc>
          <w:tcPr>
            <w:tcW w:w="2480" w:type="dxa"/>
            <w:vAlign w:val="bottom"/>
            <w:tcBorders>
              <w:top w:val="single" w:sz="8" w:color="CCEEFF"/>
            </w:tcBorders>
          </w:tcPr>
          <w:p>
            <w:pPr>
              <w:jc w:val="right"/>
              <w:ind w:right="830"/>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2"/>
        </w:trPr>
        <w:tc>
          <w:tcPr>
            <w:tcW w:w="4160" w:type="dxa"/>
            <w:vAlign w:val="bottom"/>
            <w:tcBorders>
              <w:bottom w:val="single" w:sz="8" w:color="EEEEEE"/>
            </w:tcBorders>
          </w:tcPr>
          <w:p>
            <w:pPr>
              <w:spacing w:after="0"/>
              <w:rPr>
                <w:sz w:val="17"/>
                <w:szCs w:val="17"/>
                <w:color w:val="auto"/>
              </w:rPr>
            </w:pPr>
          </w:p>
        </w:tc>
        <w:tc>
          <w:tcPr>
            <w:tcW w:w="24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26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48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 amounts in thousands, except per share amounts)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Property and equipment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Cost: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Real estate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Electronic data processing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jc w:val="right"/>
        <w:ind w:right="3680"/>
        <w:spacing w:after="0"/>
        <w:rPr>
          <w:sz w:val="20"/>
          <w:szCs w:val="20"/>
          <w:color w:val="auto"/>
        </w:rPr>
      </w:pPr>
      <w:r>
        <w:rPr>
          <w:rFonts w:ascii="Arial" w:cs="Arial" w:eastAsia="Arial" w:hAnsi="Arial"/>
          <w:sz w:val="18"/>
          <w:szCs w:val="18"/>
          <w:color w:val="auto"/>
        </w:rPr>
        <w:t>Automobiles</w:t>
      </w:r>
    </w:p>
    <w:p>
      <w:pPr>
        <w:spacing w:after="0" w:line="23" w:lineRule="exact"/>
        <w:rPr>
          <w:sz w:val="20"/>
          <w:szCs w:val="20"/>
          <w:color w:val="auto"/>
        </w:rPr>
      </w:pPr>
    </w:p>
    <w:p>
      <w:pPr>
        <w:jc w:val="right"/>
        <w:ind w:right="3680"/>
        <w:spacing w:after="0"/>
        <w:rPr>
          <w:sz w:val="20"/>
          <w:szCs w:val="20"/>
          <w:color w:val="auto"/>
        </w:rPr>
      </w:pPr>
      <w:r>
        <w:rPr>
          <w:rFonts w:ascii="Arial" w:cs="Arial" w:eastAsia="Arial" w:hAnsi="Arial"/>
          <w:sz w:val="18"/>
          <w:szCs w:val="18"/>
          <w:color w:val="auto"/>
        </w:rPr>
        <w:t>Gross cost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September 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9"/>
              </w:rPr>
              <w:t>December 31,</w:t>
            </w:r>
          </w:p>
        </w:tc>
        <w:tc>
          <w:tcPr>
            <w:tcW w:w="22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 Useful Life</w:t>
            </w:r>
          </w:p>
        </w:tc>
      </w:tr>
      <w:tr>
        <w:trPr>
          <w:trHeight w:val="411"/>
        </w:trPr>
        <w:tc>
          <w:tcPr>
            <w:tcW w:w="280" w:type="dxa"/>
            <w:vAlign w:val="bottom"/>
            <w:gridSpan w:val="2"/>
          </w:tcPr>
          <w:p>
            <w:pPr>
              <w:jc w:val="right"/>
              <w:ind w:right="98"/>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15,467</w:t>
            </w:r>
          </w:p>
        </w:tc>
        <w:tc>
          <w:tcPr>
            <w:tcW w:w="120" w:type="dxa"/>
            <w:vAlign w:val="bottom"/>
          </w:tcPr>
          <w:p>
            <w:pPr>
              <w:spacing w:after="0"/>
              <w:rPr>
                <w:sz w:val="24"/>
                <w:szCs w:val="24"/>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15,313</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10-31 years</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1,271</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5-7 years</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2,867</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5-7 years</w:t>
            </w: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1,275</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2-3 years</w:t>
            </w:r>
          </w:p>
        </w:tc>
      </w:tr>
      <w:tr>
        <w:trPr>
          <w:trHeight w:val="224"/>
        </w:trPr>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20,726</w:t>
            </w:r>
          </w:p>
        </w:tc>
        <w:tc>
          <w:tcPr>
            <w:tcW w:w="2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(11,244)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(10,827)</w:t>
            </w:r>
          </w:p>
        </w:tc>
        <w:tc>
          <w:tcPr>
            <w:tcW w:w="2260" w:type="dxa"/>
            <w:vAlign w:val="bottom"/>
          </w:tcPr>
          <w:p>
            <w:pPr>
              <w:spacing w:after="0"/>
              <w:rPr>
                <w:sz w:val="24"/>
                <w:szCs w:val="24"/>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9,899</w:t>
            </w: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-1276350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-1002030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-728345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-445135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-162560</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4800" w:space="720"/>
            <w:col w:w="5720"/>
          </w:cols>
          <w:pgMar w:left="320" w:top="125" w:right="339" w:bottom="1440" w:gutter="0" w:footer="0" w:header="0"/>
          <w:type w:val="continuous"/>
        </w:sectPr>
      </w:pPr>
    </w:p>
    <w:p>
      <w:pPr>
        <w:ind w:right="140" w:firstLine="648"/>
        <w:spacing w:after="0" w:line="277" w:lineRule="auto"/>
        <w:rPr>
          <w:sz w:val="20"/>
          <w:szCs w:val="20"/>
          <w:color w:val="auto"/>
        </w:rPr>
      </w:pPr>
      <w:r>
        <w:rPr>
          <w:rFonts w:ascii="Arial" w:cs="Arial" w:eastAsia="Arial" w:hAnsi="Arial"/>
          <w:sz w:val="18"/>
          <w:szCs w:val="18"/>
          <w:color w:val="auto"/>
        </w:rPr>
        <w:t>Depreciation expense was $162 and $180 for the three months ended September 30, 2021 and 2020, respectively, and $503 and $545 for the nine months ended September 30, 2021 and 2020, respectively.</w:t>
      </w:r>
    </w:p>
    <w:p>
      <w:pPr>
        <w:spacing w:after="0" w:line="112" w:lineRule="exact"/>
        <w:rPr>
          <w:sz w:val="20"/>
          <w:szCs w:val="20"/>
          <w:color w:val="auto"/>
        </w:rPr>
      </w:pPr>
    </w:p>
    <w:p>
      <w:pPr>
        <w:ind w:left="660" w:right="8140" w:hanging="652"/>
        <w:spacing w:after="0" w:line="479"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Other Intangibles </w:t>
      </w:r>
      <w:r>
        <w:rPr>
          <w:rFonts w:ascii="Arial" w:cs="Arial" w:eastAsia="Arial" w:hAnsi="Arial"/>
          <w:sz w:val="18"/>
          <w:szCs w:val="18"/>
          <w:b w:val="1"/>
          <w:bCs w:val="1"/>
          <w:i w:val="1"/>
          <w:iCs w:val="1"/>
          <w:color w:val="auto"/>
        </w:rPr>
        <w:t>Goodwill</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carrying amount of the Company’s goodwill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2020</w:t>
            </w: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Non-standard auto from acquisition of Primero</w:t>
            </w:r>
          </w:p>
        </w:tc>
        <w:tc>
          <w:tcPr>
            <w:tcW w:w="18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2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Commercial from acquisition of Westminster</w:t>
            </w:r>
          </w:p>
        </w:tc>
        <w:tc>
          <w:tcPr>
            <w:tcW w:w="1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w:t>
            </w:r>
          </w:p>
        </w:tc>
        <w:tc>
          <w:tcPr>
            <w:tcW w:w="120" w:type="dxa"/>
            <w:vAlign w:val="bottom"/>
          </w:tcPr>
          <w:p>
            <w:pPr>
              <w:spacing w:after="0"/>
              <w:rPr>
                <w:sz w:val="18"/>
                <w:szCs w:val="18"/>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9,384</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amount of the Company’s other intangible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Gross Carrying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September 30, 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r>
      <w:tr>
        <w:trPr>
          <w:trHeight w:val="209"/>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241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507</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network</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6,049</w:t>
            </w:r>
          </w:p>
        </w:tc>
      </w:tr>
      <w:tr>
        <w:trPr>
          <w:trHeight w:val="20"/>
        </w:trPr>
        <w:tc>
          <w:tcPr>
            <w:tcW w:w="6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6640" w:type="dxa"/>
            <w:vAlign w:val="bottom"/>
          </w:tcPr>
          <w:p>
            <w:pPr>
              <w:ind w:left="360"/>
              <w:spacing w:after="0"/>
              <w:rPr>
                <w:sz w:val="20"/>
                <w:szCs w:val="20"/>
                <w:color w:val="auto"/>
              </w:rPr>
            </w:pPr>
            <w:r>
              <w:rPr>
                <w:rFonts w:ascii="Arial" w:cs="Arial" w:eastAsia="Arial" w:hAnsi="Arial"/>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892</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6,556</w:t>
            </w:r>
          </w:p>
        </w:tc>
      </w:tr>
      <w:tr>
        <w:trPr>
          <w:trHeight w:val="216"/>
        </w:trPr>
        <w:tc>
          <w:tcPr>
            <w:tcW w:w="6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Not subject to amortization – state insurance licenses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1,900</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8,456</w:t>
            </w:r>
          </w:p>
        </w:tc>
      </w:tr>
      <w:tr>
        <w:trPr>
          <w:trHeight w:val="20"/>
        </w:trPr>
        <w:tc>
          <w:tcPr>
            <w:tcW w:w="6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Gross Carrying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r>
      <w:tr>
        <w:trPr>
          <w:trHeight w:val="210"/>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166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582</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network</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6,328</w:t>
            </w:r>
          </w:p>
        </w:tc>
      </w:tr>
      <w:tr>
        <w:trPr>
          <w:trHeight w:val="20"/>
        </w:trPr>
        <w:tc>
          <w:tcPr>
            <w:tcW w:w="6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6640" w:type="dxa"/>
            <w:vAlign w:val="bottom"/>
          </w:tcPr>
          <w:p>
            <w:pPr>
              <w:ind w:left="360"/>
              <w:spacing w:after="0"/>
              <w:rPr>
                <w:sz w:val="20"/>
                <w:szCs w:val="20"/>
                <w:color w:val="auto"/>
              </w:rPr>
            </w:pPr>
            <w:r>
              <w:rPr>
                <w:rFonts w:ascii="Arial" w:cs="Arial" w:eastAsia="Arial" w:hAnsi="Arial"/>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6,910</w:t>
            </w:r>
          </w:p>
        </w:tc>
      </w:tr>
      <w:tr>
        <w:trPr>
          <w:trHeight w:val="216"/>
        </w:trPr>
        <w:tc>
          <w:tcPr>
            <w:tcW w:w="6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Not subject to amortization – state insurance license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1,900</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8,810</w:t>
            </w:r>
          </w:p>
        </w:tc>
      </w:tr>
      <w:tr>
        <w:trPr>
          <w:trHeight w:val="20"/>
        </w:trPr>
        <w:tc>
          <w:tcPr>
            <w:tcW w:w="6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Amortization expense was $118 and $1,070 for the three months ended September 30, 2021 and 2020, respectively, and $354 and $4,781 for the nine months ended September 30, 2021 and 2020, respectively.</w:t>
      </w:r>
    </w:p>
    <w:p>
      <w:pPr>
        <w:sectPr>
          <w:pgSz w:w="11900" w:h="16838" w:orient="portrait"/>
          <w:cols w:equalWidth="0" w:num="1">
            <w:col w:w="11240"/>
          </w:cols>
          <w:pgMar w:left="320" w:top="125" w:right="339" w:bottom="1440" w:gutter="0" w:footer="0" w:header="0"/>
          <w:type w:val="continuous"/>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Other intangible assets that have finite lives, including trade names and distribution networks, are amortized over their useful lives. As of September 30, 2021, the estimated amortization of other intangible assets with finite lives for the next five years in the period ended December 31, 2025, and thereafter is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60" w:type="dxa"/>
            <w:vAlign w:val="bottom"/>
            <w:gridSpan w:val="2"/>
          </w:tcPr>
          <w:p>
            <w:pPr>
              <w:ind w:left="240"/>
              <w:spacing w:after="0"/>
              <w:rPr>
                <w:sz w:val="20"/>
                <w:szCs w:val="20"/>
                <w:color w:val="auto"/>
              </w:rPr>
            </w:pPr>
            <w:r>
              <w:rPr>
                <w:rFonts w:ascii="Arial" w:cs="Arial" w:eastAsia="Arial" w:hAnsi="Arial"/>
                <w:sz w:val="18"/>
                <w:szCs w:val="18"/>
                <w:b w:val="1"/>
                <w:bCs w:val="1"/>
                <w:color w:val="auto"/>
              </w:rPr>
              <w:t>Amortization Expense</w:t>
            </w:r>
          </w:p>
        </w:tc>
      </w:tr>
      <w:tr>
        <w:trPr>
          <w:trHeight w:val="209"/>
        </w:trPr>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18"/>
                <w:szCs w:val="18"/>
                <w:color w:val="auto"/>
              </w:rPr>
            </w:pPr>
          </w:p>
        </w:tc>
      </w:tr>
      <w:tr>
        <w:trPr>
          <w:trHeight w:val="250"/>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intangible assets with finite lives</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4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0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Intercompany Reinsurance Pooling Arrangement</w:t>
      </w:r>
    </w:p>
    <w:p>
      <w:pPr>
        <w:spacing w:after="0" w:line="21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Effective January 1, 2020, all of our insurance subsidiary and affiliate companies entered into an intercompany reinsurance pooling agreement. This agreement was finalized, approved, and implemented during the fourth quarter of 2020, retroactive to the January 1 effective date.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w:t>
      </w:r>
    </w:p>
    <w:p>
      <w:pPr>
        <w:spacing w:after="0" w:line="18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connection with the pooling agreement, the quota share agreement between Battle Creek and Nodak Insurance was cancelled. As a result, the Company’s consolidated financial position and results of operations are impacted by the portion of Battle Creek’s underwriting results that are allocated to the policyholders of Battle Creek rather than the shareholders of NI Holdings.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nine months ended September 30, 2021 and the year ended December 31, 2020, the pooling percentages by insurance company were:</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20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Pool Percentage</w:t>
            </w:r>
          </w:p>
        </w:tc>
        <w:tc>
          <w:tcPr>
            <w:tcW w:w="160" w:type="dxa"/>
            <w:vAlign w:val="bottom"/>
          </w:tcPr>
          <w:p>
            <w:pPr>
              <w:spacing w:after="0"/>
              <w:rPr>
                <w:sz w:val="20"/>
                <w:szCs w:val="20"/>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Nodak Insurance</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American West</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Primero</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Battle Creek</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Direct Auto</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Westminster</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0"/>
        </w:trPr>
        <w:tc>
          <w:tcPr>
            <w:tcW w:w="79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jc w:val="right"/>
              <w:ind w:right="20"/>
              <w:spacing w:after="0" w:line="210" w:lineRule="exact"/>
              <w:rPr>
                <w:sz w:val="20"/>
                <w:szCs w:val="20"/>
                <w:color w:val="auto"/>
              </w:rPr>
            </w:pPr>
            <w:r>
              <w:rPr>
                <w:rFonts w:ascii="Arial" w:cs="Arial" w:eastAsia="Arial" w:hAnsi="Arial"/>
                <w:sz w:val="14"/>
                <w:szCs w:val="14"/>
                <w:color w:val="auto"/>
              </w:rPr>
              <w:t>100.0</w:t>
            </w:r>
            <w:r>
              <w:rPr>
                <w:rFonts w:ascii="Arial" w:cs="Arial" w:eastAsia="Arial" w:hAnsi="Arial"/>
                <w:sz w:val="24"/>
                <w:szCs w:val="24"/>
                <w:color w:val="auto"/>
                <w:vertAlign w:val="subscript"/>
              </w:rPr>
              <w:t>%</w:t>
            </w: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North Dakota Farm Bureau</w:t>
      </w:r>
    </w:p>
    <w:p>
      <w:pPr>
        <w:spacing w:after="0" w:line="21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were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$370 and $386 during the three months ended September 30, 2021 and 2020, respectively, and $1,102 and $1,115 for the nine months ended September 30, 2021 and 2020, respectively. Royalty amounts payable of $38 and $113 were accrued as a liability to the NDFB at September 30, 2021 and December 31, 2020, respectively.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21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State insurance laws require our insurance subsidiaries to maintain certain minimum capital and surplus amounts on a statutory basis. Our insurance subsidiaries are subject to regulations that restrict the payment of dividends from statutory surplus and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2020 exceeded the amount of statutory capital and surplus necessary to satisfy regulatory requirements, including the RBC requirements, by a significant margin.</w:t>
      </w:r>
    </w:p>
    <w:p>
      <w:pPr>
        <w:spacing w:after="0" w:line="13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amount available for payment of dividends from Nodak Insurance to NI Holdings during 2021 without the prior approval of the North Dakota Insurance Department is $21,628 based upon the surplus of Nodak Insurance at December 31, 2020.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by Nodak Insurance during the nine months ended September 30, 2021. The Board of Directors of Nodak Insurance declared and paid a $6,000 dividend to NI Holdings during the year ended December 31, 2020.</w:t>
      </w:r>
    </w:p>
    <w:p>
      <w:pPr>
        <w:spacing w:after="0" w:line="16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2021 without the prior approval of the Illinois Department of Insurance is $3,582 based upon the surplus of Direct Auto at December 31, 2020.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nine months ended September 30, 2021 or the year ended December 31, 2020.</w:t>
      </w:r>
    </w:p>
    <w:p>
      <w:pPr>
        <w:spacing w:after="0" w:line="16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amount available for payment of dividends from Westminster to NI Holdings during 2021 without the prior approval of the Maryland Insurance Administration is $505 based upon the statutory net investment income of Westminster for the year ended December 31, 2020 and the three preceding years. Prior to its payment of any dividend, Westminster will be required to provide notice of the dividend to the Maryland Insurance Administration. This notice must be provided to the Maryland Insurance Administration within five business days following declaration of any dividend and no less than 30 days prior to the payment of an extraordinary dividend or 10 days prior to the payment of an ordinary dividend. The Maryland Insurance Administration has the power to limit or prohibit dividend payments if Westminster is in violation of any law or regulation. These restrictions or any subsequently imposed restrictions may affect our future liquidity. No dividends were declared or paid by Westminster during the nine months ended September 30, 2021 or the year ended December 31, 2020.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Battle Creek Mutual Insurance Company</w:t>
      </w:r>
    </w:p>
    <w:p>
      <w:pPr>
        <w:spacing w:after="0" w:line="21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tables illustrates the impact of including Battle Creek in our Consolidated Balance Sheets and Statements of Operations prior to intercompany eliminations: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1,626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6,055</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5,543</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4,738</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w:t>
            </w:r>
          </w:p>
        </w:tc>
      </w:tr>
      <w:tr>
        <w:trPr>
          <w:trHeight w:val="257"/>
        </w:trPr>
        <w:tc>
          <w:tcPr>
            <w:tcW w:w="546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Pooling receivable </w:t>
            </w:r>
            <w:r>
              <w:rPr>
                <w:rFonts w:ascii="Arial" w:cs="Arial" w:eastAsia="Arial" w:hAnsi="Arial"/>
                <w:sz w:val="29"/>
                <w:szCs w:val="29"/>
                <w:color w:val="auto"/>
                <w:vertAlign w:val="superscript"/>
              </w:rPr>
              <w:t>(1)</w:t>
            </w:r>
          </w:p>
        </w:tc>
        <w:tc>
          <w:tcPr>
            <w:tcW w:w="2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920</w:t>
            </w:r>
          </w:p>
        </w:tc>
      </w:tr>
      <w:tr>
        <w:trPr>
          <w:trHeight w:val="257"/>
        </w:trPr>
        <w:tc>
          <w:tcPr>
            <w:tcW w:w="54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Reinsurance recoverables on losses </w:t>
            </w:r>
            <w:r>
              <w:rPr>
                <w:rFonts w:ascii="Arial" w:cs="Arial" w:eastAsia="Arial" w:hAnsi="Arial"/>
                <w:sz w:val="29"/>
                <w:szCs w:val="29"/>
                <w:color w:val="auto"/>
                <w:vertAlign w:val="superscript"/>
              </w:rPr>
              <w:t>(2)</w:t>
            </w:r>
          </w:p>
        </w:tc>
        <w:tc>
          <w:tcPr>
            <w:tcW w:w="2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13,235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5,646</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Accrued investment income</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asset</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337</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r>
      <w:tr>
        <w:trPr>
          <w:trHeight w:val="20"/>
        </w:trPr>
        <w:tc>
          <w:tcPr>
            <w:tcW w:w="54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4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31,736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23,895</w:t>
            </w:r>
          </w:p>
        </w:tc>
      </w:tr>
      <w:tr>
        <w:trPr>
          <w:trHeight w:val="20"/>
        </w:trPr>
        <w:tc>
          <w:tcPr>
            <w:tcW w:w="5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Liabilities: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2,445</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2,381</w:t>
            </w:r>
          </w:p>
        </w:tc>
      </w:tr>
      <w:tr>
        <w:trPr>
          <w:trHeight w:val="256"/>
        </w:trPr>
        <w:tc>
          <w:tcPr>
            <w:tcW w:w="54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9"/>
                <w:szCs w:val="29"/>
                <w:color w:val="auto"/>
                <w:vertAlign w:val="superscript"/>
              </w:rPr>
              <w:t>(1)</w:t>
            </w:r>
          </w:p>
        </w:tc>
        <w:tc>
          <w:tcPr>
            <w:tcW w:w="2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r>
      <w:tr>
        <w:trPr>
          <w:trHeight w:val="257"/>
        </w:trPr>
        <w:tc>
          <w:tcPr>
            <w:tcW w:w="546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Reinsurance losses payable </w:t>
            </w:r>
            <w:r>
              <w:rPr>
                <w:rFonts w:ascii="Arial" w:cs="Arial" w:eastAsia="Arial" w:hAnsi="Arial"/>
                <w:sz w:val="29"/>
                <w:szCs w:val="29"/>
                <w:color w:val="auto"/>
                <w:vertAlign w:val="superscript"/>
              </w:rPr>
              <w:t>(2)</w:t>
            </w:r>
          </w:p>
        </w:tc>
        <w:tc>
          <w:tcPr>
            <w:tcW w:w="2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11,872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11,221</w:t>
            </w:r>
          </w:p>
        </w:tc>
      </w:tr>
      <w:tr>
        <w:trPr>
          <w:trHeight w:val="256"/>
        </w:trPr>
        <w:tc>
          <w:tcPr>
            <w:tcW w:w="54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Pooling payable </w:t>
            </w:r>
            <w:r>
              <w:rPr>
                <w:rFonts w:ascii="Arial" w:cs="Arial" w:eastAsia="Arial" w:hAnsi="Arial"/>
                <w:sz w:val="29"/>
                <w:szCs w:val="29"/>
                <w:color w:val="auto"/>
                <w:vertAlign w:val="superscript"/>
              </w:rPr>
              <w:t>(1)</w:t>
            </w:r>
          </w:p>
        </w:tc>
        <w:tc>
          <w:tcPr>
            <w:tcW w:w="2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r>
      <w:tr>
        <w:trPr>
          <w:trHeight w:val="20"/>
        </w:trPr>
        <w:tc>
          <w:tcPr>
            <w:tcW w:w="5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19,350</w:t>
            </w:r>
          </w:p>
        </w:tc>
      </w:tr>
      <w:tr>
        <w:trPr>
          <w:trHeight w:val="210"/>
        </w:trPr>
        <w:tc>
          <w:tcPr>
            <w:tcW w:w="54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4,545</w:t>
            </w:r>
          </w:p>
        </w:tc>
      </w:tr>
      <w:tr>
        <w:trPr>
          <w:trHeight w:val="20"/>
        </w:trPr>
        <w:tc>
          <w:tcPr>
            <w:tcW w:w="5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4,545</w:t>
            </w:r>
          </w:p>
        </w:tc>
      </w:tr>
      <w:tr>
        <w:trPr>
          <w:trHeight w:val="209"/>
        </w:trPr>
        <w:tc>
          <w:tcPr>
            <w:tcW w:w="54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3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equity</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31,736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23,895</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fully eliminated in consolidation.</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partly eliminated in consolidation.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4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174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1,499</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4,594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 (expense)</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9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0"/>
        </w:trPr>
        <w:tc>
          <w:tcPr>
            <w:tcW w:w="46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1,510</w:t>
            </w:r>
          </w:p>
        </w:tc>
        <w:tc>
          <w:tcPr>
            <w:tcW w:w="9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4,626</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r>
      <w:tr>
        <w:trPr>
          <w:trHeight w:val="210"/>
        </w:trPr>
        <w:tc>
          <w:tcPr>
            <w:tcW w:w="4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Expenses: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and loss adjustment expenses</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1,179</w:t>
            </w: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Amortization of deferred policy acquisition costs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9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927</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and general expenses</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1,646</w:t>
            </w:r>
          </w:p>
        </w:tc>
        <w:tc>
          <w:tcPr>
            <w:tcW w:w="9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4,731</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9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r>
      <w:tr>
        <w:trPr>
          <w:trHeight w:val="20"/>
        </w:trPr>
        <w:tc>
          <w:tcPr>
            <w:tcW w:w="46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900" w:type="dxa"/>
            <w:vAlign w:val="bottom"/>
          </w:tcPr>
          <w:p>
            <w:pPr>
              <w:spacing w:after="0"/>
              <w:rPr>
                <w:sz w:val="18"/>
                <w:szCs w:val="18"/>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r>
      <w:tr>
        <w:trPr>
          <w:trHeight w:val="20"/>
        </w:trPr>
        <w:tc>
          <w:tcPr>
            <w:tcW w:w="4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bl>
    <w:p>
      <w:pPr>
        <w:spacing w:after="0" w:line="161" w:lineRule="exact"/>
        <w:rPr>
          <w:sz w:val="20"/>
          <w:szCs w:val="20"/>
          <w:color w:val="auto"/>
        </w:rPr>
      </w:pPr>
    </w:p>
    <w:p>
      <w:pPr>
        <w:sectPr>
          <w:pgSz w:w="11900" w:h="16838" w:orient="portrait"/>
          <w:cols w:equalWidth="0" w:num="1">
            <w:col w:w="11240"/>
          </w:cols>
          <w:pgMar w:left="320" w:top="125" w:right="339" w:bottom="763" w:gutter="0" w:footer="0" w:header="0"/>
        </w:sect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763"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Nodak Insurance sponsors a 401(k) plan with an automatic and matching contribution for eligible employees at Nodak Insurance, Primero,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Direct Auto. Westminster also sponsors a separate 401(k) plan. The Company reported expenses related to the 401(k) plans totaling $178 and $164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September 30, 2021 and 2020, respectively, and $525 and $489 during the nine months ended September 30, 2021 and 2020,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respectively. Nodak Insurance also contributes an additional elective amount of employee compensation as a profit-sharing contribution for eligible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employees that is invested in a portfolio of investments directed by the Company. The reported expenses related to this profit-sharing contribution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$165 and $97 during the three months ended September 30, 2021 and 2020, respectively, and $704 and $500 during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and 2020,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fees associated with the plans are deducted from the eligible employee accounts.</w:t>
      </w:r>
    </w:p>
    <w:p>
      <w:pPr>
        <w:spacing w:after="0" w:line="19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(“ERISA”) over the key executives’ allowable 401(k) contribution. The plan also allows employee-directed deferral of key executive’s compensation or incentive payments. The Company reported expenses related to this plan totaling $21 and $15 during the three months ended September 30, 2021 and 2020, respectively, and $588 and $43 during the nine months ended September 30, 2021 and 2020, respectively.</w:t>
      </w:r>
    </w:p>
    <w:p>
      <w:pPr>
        <w:spacing w:after="0" w:line="14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connection with our initial public offering in March 2017, the Company established an Employee Stock Ownership Plan (the “ESOP”). The ESOP is intended to be an employee stock ownership plan within the meaning of Internal Revenue Code Section 4975(e)(7) and invests solely in common stock of the Company.</w:t>
      </w:r>
    </w:p>
    <w:p>
      <w:pPr>
        <w:spacing w:after="0" w:line="170"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Upon establishment of the plan,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initial public offering, which resulted in the ESOP Trust owning approximately 1.0% of the Company’s authorized shares. The ESOP has purchased the shares for investment and not for resale.</w:t>
      </w:r>
    </w:p>
    <w:p>
      <w:pPr>
        <w:spacing w:after="0" w:line="16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5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 American West and Battle Creek have no employees.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spacing w:after="0" w:line="16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connection with the establishment of the ESOP, the Company created a contra-equity account on the Consolidated Balance Sheet equal to the ESOP’s basis in the shares. The basis of those shares was set at $10.00 per share as part of the initial public offering. As shares are released from the ESOP suspense account, the contra-equity account is credited, which reduces the impact of the contra-equity account on the Company’s Consolidated Balance Sheet over time. The Company records compensation expense related to the shares released, equal to the number of shares released from the suspense account multiplied by the average market value of the Company’s stock during the period.</w:t>
      </w:r>
    </w:p>
    <w:p>
      <w:pPr>
        <w:spacing w:after="0" w:line="16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recognized compensation expense of $116 and $98 during the three months ended September 30, 2021 and 2020, respectively, related to the ESOP, and $342 and $270 during the nine months ended September 30, 2021 and 2020, respectively.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Through September 30, 2021 and December 31, 2020, the Company has released and allocated 97,260 ESOP shares to participants, with a remainder of 142,740 ESOP shares in suspense at September 30, 2021 and December 31, 2020. Using the Company’s quarter-end market price of $17.56 per share, the fair value of the unearned ESOP shares was $2,507 at September 30, 2021.</w:t>
      </w:r>
    </w:p>
    <w:p>
      <w:pPr>
        <w:spacing w:after="0" w:line="12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1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Nodak Insurance has a $5,000 line of credit with Wells Fargo Bank, N.A. The terms of the line of credit include a floating interest rate with a floor rate of 3.25%. There were no outstanding amounts during the nine months ended September 30, 2021, or the year ended December 31, 2020. This line of credit is scheduled to expire on January 30, 2022.</w:t>
      </w:r>
    </w:p>
    <w:p>
      <w:pPr>
        <w:spacing w:after="0" w:line="12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March 27, 2020, the Coronavirus Aid, Relief, and Economic Security Act (the “CARES” Act) was enacted, implementing numerous changes to tax law including temporary changes regarding the prior and future utilization of net operating losses, temporary changes to the prior and future limitations on interest deductions, and the creation of certain refundable employee retention credits. There has been no impact to the Company’s income taxes due to this legislation.</w:t>
      </w:r>
    </w:p>
    <w:p>
      <w:pPr>
        <w:spacing w:after="0" w:line="173"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At September 30, 2021 and December 31, 2020, we had no unrecognized tax benefits, accrued interest and penalties, or significant uncertain tax positions. No interest and penalties were recognized during the three- or nine-month periods ended September 30, 2021 or 2020.</w:t>
      </w:r>
    </w:p>
    <w:p>
      <w:pPr>
        <w:spacing w:after="0" w:line="13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September 30, 2021 and December 31, 2020, the Company, other than Battle Creek and Westminster, had no income tax related carryovers for net operating losses, alternative minimum tax credits, or capital losses.</w:t>
      </w:r>
    </w:p>
    <w:p>
      <w:pPr>
        <w:spacing w:after="0" w:line="14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Battle Creek, which files its income tax returns on a stand-alone basis, had net operating loss carryovers of $3,390 at December 31, 2020. The net operating loss carryforwards expire beginning in 2021 through 2030 due to limitations on the use of these net operating loss carryforwards.</w:t>
      </w:r>
    </w:p>
    <w:p>
      <w:pPr>
        <w:spacing w:after="0" w:line="13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Westminster, which became part of the Company’s consolidated federal income tax return beginning in 2020, had net operating loss carryovers of $2,559 at December 31, 2020. The net operating loss carryforwards expire beginning in 2021 through 2023 due to limitations on the use of these net operating loss carryforwards.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NI Holdings had gross deferred income tax assets of $10,190 at September 30, 2021 and $8,603 at December 31, 2020, arising primarily from unearned premiums, loss reserve discounting, and net operating loss carryforwards. A valuation allowance is required to be established for any portion of the deferred income tax asset for which the Company believes it is more likely than not that it will not be realized. A valuation allowance of $931 was carried at September 30, 2021 and December 31, 2020.</w:t>
      </w:r>
    </w:p>
    <w:p>
      <w:pPr>
        <w:spacing w:after="0" w:line="16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NI Holdings had gross deferred income tax liabilities of $15,359 at September 30, 2021 and $16,429 at December 31, 2020, arising primarily from deferred policy acquisition costs, net unrealized capital gains on investments, and other intangible assets.</w:t>
      </w:r>
    </w:p>
    <w:p>
      <w:pPr>
        <w:spacing w:after="0" w:line="15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September 30, 2021, NI Holdings had no material unrecognized income tax benefits or accrued interest and penalties. Federal income tax years 2017 through 2019 remain open for examination.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1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Primero leases a facility in Spearfish, South Dakota under a non-cancellable operating lease expiring in 2023. Direct Auto leases a facility in Chicago, Illinois under a non-cancellable operating lease expiring in 2029. Nodak Insurance leases a facility in Fargo, North Dakota under a non-cancellable operating lease expiring in 2024. There were expenses of $63 and $94 related to these leases during the three months ended September 30, 2021 and 2020, respectively, and $187 and $277 related to these leases during the nine months ended September 30, 2021 and 2020, respectively.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2021, we have minimum future commitments under non-cancellable leases for the next five years in the period 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and thereafter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Estimated Future</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Minimum</w:t>
            </w:r>
          </w:p>
        </w:tc>
      </w:tr>
      <w:tr>
        <w:trPr>
          <w:trHeight w:val="234"/>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Commitments</w:t>
            </w:r>
          </w:p>
        </w:tc>
      </w:tr>
      <w:tr>
        <w:trPr>
          <w:trHeight w:val="209"/>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9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2024</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320</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1,066</w:t>
            </w:r>
          </w:p>
        </w:tc>
      </w:tr>
      <w:tr>
        <w:trPr>
          <w:trHeight w:val="20"/>
        </w:trPr>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minimum future commitments</w:t>
            </w: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2,412</w:t>
            </w:r>
          </w:p>
        </w:tc>
      </w:tr>
      <w:tr>
        <w:trPr>
          <w:trHeight w:val="20"/>
        </w:trPr>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359"/>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16.</w:t>
            </w:r>
          </w:p>
        </w:tc>
        <w:tc>
          <w:tcPr>
            <w:tcW w:w="61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Contingencies</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ectPr>
          <w:pgSz w:w="11900" w:h="16838" w:orient="portrait"/>
          <w:cols w:equalWidth="0" w:num="1">
            <w:col w:w="11240"/>
          </w:cols>
          <w:pgMar w:left="320" w:top="125" w:right="339" w:bottom="1440" w:gutter="0" w:footer="0" w:header="0"/>
        </w:sectPr>
      </w:pPr>
    </w:p>
    <w:p>
      <w:pPr>
        <w:spacing w:after="0" w:line="11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0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Changes in the number of common stock shares outstanding were as follows: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right="2420"/>
        <w:spacing w:after="0" w:line="328" w:lineRule="auto"/>
        <w:rPr>
          <w:sz w:val="20"/>
          <w:szCs w:val="20"/>
          <w:color w:val="auto"/>
        </w:rPr>
      </w:pPr>
      <w:r>
        <w:rPr>
          <w:rFonts w:ascii="Arial" w:cs="Arial" w:eastAsia="Arial" w:hAnsi="Arial"/>
          <w:sz w:val="15"/>
          <w:szCs w:val="15"/>
          <w:color w:val="auto"/>
        </w:rPr>
        <w:t>Treasury shares repurchased through stock repurchase authorization Issuance of treasury shares for 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Shares outstanding,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31750</wp:posOffset>
            </wp:positionV>
            <wp:extent cx="19799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0" w:lineRule="exact"/>
        <w:rPr>
          <w:sz w:val="20"/>
          <w:szCs w:val="20"/>
          <w:color w:val="auto"/>
        </w:rPr>
      </w:pPr>
    </w:p>
    <w:p>
      <w:pPr>
        <w:ind w:left="320"/>
        <w:spacing w:after="0"/>
        <w:tabs>
          <w:tab w:leader="none" w:pos="19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14605</wp:posOffset>
            </wp:positionV>
            <wp:extent cx="19799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2080" w:val="left"/>
        </w:tabs>
        <w:rPr>
          <w:sz w:val="20"/>
          <w:szCs w:val="20"/>
          <w:color w:val="auto"/>
        </w:rPr>
      </w:pPr>
      <w:r>
        <w:rPr>
          <w:rFonts w:ascii="Arial" w:cs="Arial" w:eastAsia="Arial" w:hAnsi="Arial"/>
          <w:sz w:val="17"/>
          <w:szCs w:val="17"/>
          <w:color w:val="auto"/>
        </w:rPr>
        <w:t>21,318,638</w:t>
      </w:r>
      <w:r>
        <w:rPr>
          <w:sz w:val="20"/>
          <w:szCs w:val="20"/>
          <w:color w:val="auto"/>
        </w:rPr>
        <w:tab/>
      </w:r>
      <w:r>
        <w:rPr>
          <w:rFonts w:ascii="Arial" w:cs="Arial" w:eastAsia="Arial" w:hAnsi="Arial"/>
          <w:sz w:val="17"/>
          <w:szCs w:val="17"/>
          <w:color w:val="auto"/>
        </w:rPr>
        <w:t>22,119,380</w:t>
      </w:r>
    </w:p>
    <w:p>
      <w:pPr>
        <w:spacing w:after="0" w:line="34" w:lineRule="exact"/>
        <w:rPr>
          <w:sz w:val="20"/>
          <w:szCs w:val="20"/>
          <w:color w:val="auto"/>
        </w:rPr>
      </w:pPr>
    </w:p>
    <w:p>
      <w:pPr>
        <w:jc w:val="both"/>
        <w:ind w:left="600"/>
        <w:spacing w:after="0"/>
        <w:tabs>
          <w:tab w:leader="none" w:pos="2240" w:val="left"/>
        </w:tabs>
        <w:rPr>
          <w:sz w:val="20"/>
          <w:szCs w:val="20"/>
          <w:color w:val="auto"/>
        </w:rPr>
      </w:pPr>
      <w:r>
        <w:rPr>
          <w:rFonts w:ascii="Arial" w:cs="Arial" w:eastAsia="Arial" w:hAnsi="Arial"/>
          <w:sz w:val="18"/>
          <w:szCs w:val="18"/>
          <w:color w:val="auto"/>
        </w:rPr>
        <w:t>(168,393)</w:t>
      </w:r>
      <w:r>
        <w:rPr>
          <w:sz w:val="20"/>
          <w:szCs w:val="20"/>
          <w:color w:val="auto"/>
        </w:rPr>
        <w:tab/>
      </w:r>
      <w:r>
        <w:rPr>
          <w:rFonts w:ascii="Arial" w:cs="Arial" w:eastAsia="Arial" w:hAnsi="Arial"/>
          <w:sz w:val="18"/>
          <w:szCs w:val="18"/>
          <w:color w:val="auto"/>
        </w:rPr>
        <w:t>(804,743)</w:t>
      </w:r>
    </w:p>
    <w:p>
      <w:pPr>
        <w:spacing w:after="0" w:line="9" w:lineRule="exact"/>
        <w:rPr>
          <w:sz w:val="20"/>
          <w:szCs w:val="20"/>
          <w:color w:val="auto"/>
        </w:rPr>
      </w:pPr>
    </w:p>
    <w:p>
      <w:pPr>
        <w:ind w:left="660"/>
        <w:spacing w:after="0"/>
        <w:tabs>
          <w:tab w:leader="none" w:pos="2380" w:val="left"/>
        </w:tabs>
        <w:rPr>
          <w:sz w:val="20"/>
          <w:szCs w:val="20"/>
          <w:color w:val="auto"/>
        </w:rPr>
      </w:pPr>
      <w:r>
        <w:rPr>
          <w:rFonts w:ascii="Arial" w:cs="Arial" w:eastAsia="Arial" w:hAnsi="Arial"/>
          <w:sz w:val="18"/>
          <w:szCs w:val="18"/>
          <w:color w:val="auto"/>
        </w:rPr>
        <w:t>102,060</w:t>
      </w:r>
      <w:r>
        <w:rPr>
          <w:sz w:val="20"/>
          <w:szCs w:val="20"/>
          <w:color w:val="auto"/>
        </w:rPr>
        <w:tab/>
      </w:r>
      <w:r>
        <w:rPr>
          <w:rFonts w:ascii="Arial" w:cs="Arial" w:eastAsia="Arial" w:hAnsi="Arial"/>
          <w:sz w:val="18"/>
          <w:szCs w:val="18"/>
          <w:color w:val="auto"/>
        </w:rPr>
        <w:t>31,442</w:t>
      </w:r>
    </w:p>
    <w:p>
      <w:pPr>
        <w:spacing w:after="0" w:line="9" w:lineRule="exact"/>
        <w:rPr>
          <w:sz w:val="20"/>
          <w:szCs w:val="20"/>
          <w:color w:val="auto"/>
        </w:rPr>
      </w:pPr>
    </w:p>
    <w:p>
      <w:pPr>
        <w:ind w:left="420"/>
        <w:spacing w:after="0"/>
        <w:tabs>
          <w:tab w:leader="none" w:pos="2060" w:val="left"/>
        </w:tabs>
        <w:rPr>
          <w:sz w:val="20"/>
          <w:szCs w:val="20"/>
          <w:color w:val="auto"/>
        </w:rPr>
      </w:pPr>
      <w:r>
        <w:rPr>
          <w:rFonts w:ascii="Arial" w:cs="Arial" w:eastAsia="Arial" w:hAnsi="Arial"/>
          <w:sz w:val="17"/>
          <w:szCs w:val="17"/>
          <w:color w:val="auto"/>
        </w:rPr>
        <w:t>21,252,305</w:t>
      </w:r>
      <w:r>
        <w:rPr>
          <w:sz w:val="20"/>
          <w:szCs w:val="20"/>
          <w:color w:val="auto"/>
        </w:rPr>
        <w:tab/>
      </w:r>
      <w:r>
        <w:rPr>
          <w:rFonts w:ascii="Arial" w:cs="Arial" w:eastAsia="Arial" w:hAnsi="Arial"/>
          <w:sz w:val="17"/>
          <w:szCs w:val="17"/>
          <w:color w:val="auto"/>
        </w:rPr>
        <w:t>21,346,079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21590</wp:posOffset>
            </wp:positionV>
            <wp:extent cx="197993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79930" cy="2540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7500" w:space="720"/>
            <w:col w:w="3020"/>
          </w:cols>
          <w:pgMar w:left="320" w:top="125" w:right="339" w:bottom="1440" w:gutter="0" w:footer="0" w:header="0"/>
          <w:type w:val="continuous"/>
        </w:sectPr>
      </w:pPr>
    </w:p>
    <w:p>
      <w:pPr>
        <w:ind w:right="20" w:firstLine="648"/>
        <w:spacing w:after="0" w:line="259" w:lineRule="auto"/>
        <w:rPr>
          <w:sz w:val="20"/>
          <w:szCs w:val="20"/>
          <w:color w:val="auto"/>
        </w:rPr>
      </w:pPr>
      <w:r>
        <w:rPr>
          <w:rFonts w:ascii="Arial" w:cs="Arial" w:eastAsia="Arial" w:hAnsi="Arial"/>
          <w:sz w:val="18"/>
          <w:szCs w:val="18"/>
          <w:color w:val="auto"/>
        </w:rPr>
        <w:t>On February 28, 2018, our Board of Directors approved an authorization for the repurchase of up to approximately $10,000 of the Company’s outstanding common stock. We completed the repurchase of 191,265 shares of our common stock for $2,966 during 2018, and an additional 116,034 shares for $2,006 during 2019. During the six months ended June 30, 2020, we completed the repurchase of 402,056 shares of our common stock for $4,996 to close out this authorization.</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May 4, 2020, our Board of Directors approved an additional authorization for the repurchase of up to approximately $10,000 of the Company’s outstanding common stock. During the year ended December 31, 2020, we completed the repurchase of 454,443 shares of our common stock for $7,238 under this authorization. During the nine months ended September 30, 2021, we completed the repurchase of 144,110 shares of our common stock for $2,762 to close out this authorization.</w:t>
      </w:r>
    </w:p>
    <w:p>
      <w:pPr>
        <w:spacing w:after="0" w:line="17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On August 11, 2021, our Board of Directors approved an additional authorization for the repurchase of up to approximately $5,000 of the Company’s outstanding common stock. During the three months ended September 30, 2021, we completed the repurchase of 24,283 shares of our common stock for $449 under this new authorization.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 of this treasury stock is a reduction of shareholders’ equity within our Consolidated Balance Sheets.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21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At its 2020 Annual Shareholders’ Meeting, the NI Holdings, Inc. 2020 Stock and Incentive Plan (the “Plan”) was approved by shareholders. The purpose of the Plan is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6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4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total aggregate number of shares of common stock that awards may be issued under all awards made under the Plan shall not exceed 1,000,000 shares of common stock,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Compensation Committee has awarded RSUs to non-employee directors and select executives. RSUs are promises to issue actual shares of common stock at the end of a vesting period. The RSUs granted to executives under the Plan were based on salary and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4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recognizes stock-based compensation costs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outstanding and unearned restricted stock units is presented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granted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RSUs earned during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granted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earned during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September 30, 2021</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impact of RSU activity to the Company’s financial results: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1"/>
              </w:rPr>
              <w:t>Weighted-Average</w:t>
            </w: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Grant-Date</w:t>
            </w: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14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RSUs</w:t>
            </w:r>
          </w:p>
        </w:tc>
        <w:tc>
          <w:tcPr>
            <w:tcW w:w="1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Per Share</w:t>
            </w:r>
          </w:p>
        </w:tc>
      </w:tr>
      <w:tr>
        <w:trPr>
          <w:trHeight w:val="195"/>
        </w:trPr>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96,540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16.47</w:t>
            </w:r>
          </w:p>
        </w:tc>
        <w:tc>
          <w:tcPr>
            <w:tcW w:w="20" w:type="dxa"/>
            <w:vAlign w:val="bottom"/>
          </w:tcPr>
          <w:p>
            <w:pPr>
              <w:spacing w:after="0"/>
              <w:rPr>
                <w:sz w:val="16"/>
                <w:szCs w:val="16"/>
                <w:color w:val="auto"/>
              </w:rPr>
            </w:pPr>
          </w:p>
        </w:tc>
      </w:tr>
      <w:tr>
        <w:trPr>
          <w:trHeight w:val="216"/>
        </w:trPr>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66,000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14.27</w:t>
            </w:r>
          </w:p>
        </w:tc>
      </w:tr>
      <w:tr>
        <w:trPr>
          <w:trHeight w:val="230"/>
        </w:trPr>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(46,760)</w:t>
            </w:r>
          </w:p>
        </w:tc>
        <w:tc>
          <w:tcPr>
            <w:tcW w:w="1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16.33</w:t>
            </w:r>
          </w:p>
        </w:tc>
      </w:tr>
      <w:tr>
        <w:trPr>
          <w:trHeight w:val="210"/>
        </w:trPr>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115,780</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15.27</w:t>
            </w:r>
          </w:p>
        </w:tc>
      </w:tr>
      <w:tr>
        <w:trPr>
          <w:trHeight w:val="411"/>
        </w:trPr>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58,700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18.76</w:t>
            </w:r>
          </w:p>
        </w:tc>
      </w:tr>
      <w:tr>
        <w:trPr>
          <w:trHeight w:val="230"/>
        </w:trPr>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(60,720)</w:t>
            </w:r>
          </w:p>
        </w:tc>
        <w:tc>
          <w:tcPr>
            <w:tcW w:w="1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15.73</w:t>
            </w:r>
          </w:p>
        </w:tc>
      </w:tr>
      <w:tr>
        <w:trPr>
          <w:trHeight w:val="210"/>
        </w:trPr>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113,760</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16.83</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72" w:lineRule="exact"/>
        <w:rPr>
          <w:sz w:val="20"/>
          <w:szCs w:val="20"/>
          <w:color w:val="auto"/>
        </w:rPr>
      </w:pPr>
    </w:p>
    <w:p>
      <w:pPr>
        <w:sectPr>
          <w:pgSz w:w="11900" w:h="16838" w:orient="portrait"/>
          <w:cols w:equalWidth="0" w:num="2">
            <w:col w:w="7500" w:space="720"/>
            <w:col w:w="3020"/>
          </w:cols>
          <w:pgMar w:left="320" w:top="125" w:right="33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4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4"/>
              </w:rPr>
              <w:t>Nine Months Ended</w:t>
            </w:r>
          </w:p>
        </w:tc>
      </w:tr>
      <w:tr>
        <w:trPr>
          <w:trHeight w:val="234"/>
        </w:trPr>
        <w:tc>
          <w:tcPr>
            <w:tcW w:w="5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40" w:type="dxa"/>
            <w:vAlign w:val="bottom"/>
            <w:gridSpan w:val="5"/>
          </w:tcPr>
          <w:p>
            <w:pPr>
              <w:jc w:val="right"/>
              <w:ind w:right="207"/>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60" w:type="dxa"/>
            <w:vAlign w:val="bottom"/>
          </w:tcPr>
          <w:p>
            <w:pPr>
              <w:spacing w:after="0"/>
              <w:rPr>
                <w:sz w:val="18"/>
                <w:szCs w:val="18"/>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RSU compensation expense</w:t>
            </w:r>
          </w:p>
        </w:tc>
        <w:tc>
          <w:tcPr>
            <w:tcW w:w="15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Income tax benefit</w:t>
            </w: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5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RSU compensation expense, net of income taxes</w:t>
            </w: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179</w:t>
            </w:r>
          </w:p>
        </w:tc>
        <w:tc>
          <w:tcPr>
            <w:tcW w:w="80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167</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At September 30, 2021, there was $939 of unrecognized compensation cost related to outstanding RSUs. That cost is expected to be recognized over a weighted-average period of 2.01 years.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9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6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Company recognizes stock-based compensation costs based on the grant date fair value over the performance period of the awards. Estimated forfeitures are included in the determination of compensation costs. The current cost estimate assumes that the cumulative growth targets will be achieved or exceeded.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outstanding performance share units is presented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7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7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r>
      <w:tr>
        <w:trPr>
          <w:trHeight w:val="234"/>
        </w:trPr>
        <w:tc>
          <w:tcPr>
            <w:tcW w:w="79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PSUs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Per Share</w:t>
            </w: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Units outstanding at January 1, 2020</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2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PSUs granted during 2020 (at target)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63,600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14.26</w:t>
            </w:r>
          </w:p>
        </w:tc>
      </w:tr>
      <w:tr>
        <w:trPr>
          <w:trHeight w:val="20"/>
        </w:trPr>
        <w:tc>
          <w:tcPr>
            <w:tcW w:w="7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Units outstanding at December 31, 2020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15.15</w:t>
            </w:r>
          </w:p>
        </w:tc>
      </w:tr>
      <w:tr>
        <w:trPr>
          <w:trHeight w:val="20"/>
        </w:trPr>
        <w:tc>
          <w:tcPr>
            <w:tcW w:w="79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PSUs granted during 2021 (at target)</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PSUs earned during 2021</w:t>
      </w:r>
    </w:p>
    <w:p>
      <w:pPr>
        <w:ind w:left="180"/>
        <w:spacing w:after="0" w:line="201" w:lineRule="auto"/>
        <w:rPr>
          <w:sz w:val="20"/>
          <w:szCs w:val="20"/>
          <w:color w:val="auto"/>
        </w:rPr>
      </w:pPr>
      <w:r>
        <w:rPr>
          <w:rFonts w:ascii="Arial" w:cs="Arial" w:eastAsia="Arial" w:hAnsi="Arial"/>
          <w:sz w:val="18"/>
          <w:szCs w:val="18"/>
          <w:color w:val="auto"/>
        </w:rPr>
        <w:t xml:space="preserve">Performance adjustment </w:t>
      </w:r>
      <w:r>
        <w:rPr>
          <w:rFonts w:ascii="Arial" w:cs="Arial" w:eastAsia="Arial" w:hAnsi="Arial"/>
          <w:sz w:val="29"/>
          <w:szCs w:val="29"/>
          <w:color w:val="auto"/>
          <w:vertAlign w:val="superscript"/>
        </w:rPr>
        <w:t>(1)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Forfeitures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Units outstanding at September 30,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64,600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18.64</w:t>
            </w:r>
          </w:p>
        </w:tc>
      </w:tr>
      <w:tr>
        <w:trPr>
          <w:trHeight w:val="230"/>
        </w:trPr>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(70,363)</w:t>
            </w:r>
          </w:p>
        </w:tc>
        <w:tc>
          <w:tcPr>
            <w:tcW w:w="8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42"/>
        </w:trPr>
        <w:tc>
          <w:tcPr>
            <w:tcW w:w="1220" w:type="dxa"/>
            <w:vAlign w:val="bottom"/>
          </w:tcPr>
          <w:p>
            <w:pPr>
              <w:jc w:val="right"/>
              <w:spacing w:after="0"/>
              <w:rPr>
                <w:sz w:val="20"/>
                <w:szCs w:val="20"/>
                <w:color w:val="auto"/>
              </w:rPr>
            </w:pPr>
            <w:r>
              <w:rPr>
                <w:rFonts w:ascii="Arial" w:cs="Arial" w:eastAsia="Arial" w:hAnsi="Arial"/>
                <w:sz w:val="18"/>
                <w:szCs w:val="18"/>
                <w:color w:val="auto"/>
              </w:rPr>
              <w:t>24,300</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30"/>
        </w:trPr>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(2,537)</w:t>
            </w:r>
          </w:p>
        </w:tc>
        <w:tc>
          <w:tcPr>
            <w:tcW w:w="8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10"/>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190,600</w:t>
            </w:r>
          </w:p>
        </w:tc>
        <w:tc>
          <w:tcPr>
            <w:tcW w:w="140" w:type="dxa"/>
            <w:vAlign w:val="bottom"/>
          </w:tcPr>
          <w:p>
            <w:pPr>
              <w:spacing w:after="0"/>
              <w:rPr>
                <w:sz w:val="18"/>
                <w:szCs w:val="18"/>
                <w:color w:val="auto"/>
              </w:rPr>
            </w:pPr>
          </w:p>
        </w:tc>
        <w:tc>
          <w:tcPr>
            <w:tcW w:w="8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-745490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-471170</wp:posOffset>
            </wp:positionV>
            <wp:extent cx="713232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-162560</wp:posOffset>
            </wp:positionV>
            <wp:extent cx="713232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340"/>
          </w:cols>
          <w:pgMar w:left="320" w:top="125" w:right="339" w:bottom="1440" w:gutter="0" w:footer="0" w:header="0"/>
          <w:type w:val="continuous"/>
        </w:sectPr>
      </w:pPr>
    </w:p>
    <w:p>
      <w:pPr>
        <w:spacing w:after="0" w:line="29" w:lineRule="exact"/>
        <w:rPr>
          <w:sz w:val="20"/>
          <w:szCs w:val="20"/>
          <w:color w:val="auto"/>
        </w:rPr>
      </w:pPr>
    </w:p>
    <w:p>
      <w:pPr>
        <w:ind w:left="660" w:right="2660" w:hanging="652"/>
        <w:spacing w:after="0" w:line="391" w:lineRule="auto"/>
        <w:tabs>
          <w:tab w:leader="none" w:pos="232" w:val="left"/>
        </w:tabs>
        <w:numPr>
          <w:ilvl w:val="0"/>
          <w:numId w:val="25"/>
        </w:numPr>
        <w:rPr>
          <w:rFonts w:ascii="Arial" w:cs="Arial" w:eastAsia="Arial" w:hAnsi="Arial"/>
          <w:sz w:val="27"/>
          <w:szCs w:val="27"/>
          <w:color w:val="auto"/>
          <w:vertAlign w:val="superscript"/>
        </w:rPr>
      </w:pPr>
      <w:r>
        <w:rPr>
          <w:rFonts w:ascii="Arial" w:cs="Arial" w:eastAsia="Arial" w:hAnsi="Arial"/>
          <w:sz w:val="16"/>
          <w:szCs w:val="16"/>
          <w:color w:val="auto"/>
        </w:rPr>
        <w:t>Represents the change in PSUs issued based upon the attainment of performance goals established by the Company. The following table shows the impact of PSU activity to the Company’s financial results:</w:t>
      </w: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Nine Months Ended</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PSU compensation expense</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4"/>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Income tax benefit</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96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(181)</w:t>
            </w:r>
          </w:p>
        </w:tc>
        <w:tc>
          <w:tcPr>
            <w:tcW w:w="8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(176)</w:t>
            </w:r>
          </w:p>
        </w:tc>
      </w:tr>
      <w:tr>
        <w:trPr>
          <w:trHeight w:val="20"/>
        </w:trPr>
        <w:tc>
          <w:tcPr>
            <w:tcW w:w="4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PSU compensation expense, net of income taxes</w:t>
            </w:r>
          </w:p>
        </w:tc>
        <w:tc>
          <w:tcPr>
            <w:tcW w:w="1720" w:type="dxa"/>
            <w:vAlign w:val="bottom"/>
            <w:gridSpan w:val="2"/>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920" w:type="dxa"/>
            <w:vAlign w:val="bottom"/>
            <w:gridSpan w:val="2"/>
            <w:shd w:val="clear" w:color="auto" w:fill="CCEEFF"/>
          </w:tcPr>
          <w:p>
            <w:pPr>
              <w:jc w:val="right"/>
              <w:ind w:right="674"/>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PSU grants above represent initial target awards and do not reflect potential increases or decreases resulting from financial performance objectives to be determined at the end of the performance period. The actual number of shares to be issued at the end of the performance period will range from 0% to 150% of the initial target awards.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At September 30, 2021, there was $1,434 of unrecognized compensation cost related to outstanding PSUs. That cost is expected to be recognized over a weighted-average period of 1.92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1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five primary reportable operating segments, which consist of private passenger auto insurance, non-standard auto insurance, home and farm insurance, crop insurance, and commercial insurance. A sixth segment captures all other insurance coverages we sell, including our assumed reinsurance business. We operate only in the United States, and no single customer or agent provides 10 percent or more of our revenues. The following tables provide available information of these segments for the three- and nine-month periods ended September 30, 2021 and 2020. For presentation in these tables, “LAE” refers to loss adjustment expenses.</w:t>
      </w:r>
    </w:p>
    <w:p>
      <w:pPr>
        <w:spacing w:after="0" w:line="174"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ratios presented in these tables are non-GAAP financial measures under SEC rules and regulations. While these ratios are used widely in the property and casualty insurance industry, such non-GAAP ratios may not be comparable to similarly-named measures reported by other companies.</w:t>
      </w:r>
    </w:p>
    <w:p>
      <w:pPr>
        <w:spacing w:after="0" w:line="97"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The loss and LAE ratio equals losses and loss adjustment expenses divided by net premiums earned. The expense ratio equals amortization of deferred policy acquisition costs and other underwriting and general expenses, divided by net premiums earned. The combined ratio equals losses and loss adjustment expenses, amortization of deferred policy acquisition costs, and other underwriting and general expenses, divided by net premiums earned.</w:t>
      </w:r>
    </w:p>
    <w:p>
      <w:pPr>
        <w:spacing w:after="0" w:line="13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tables below. The remaining fee and other income amounts are not allocated to any segment.</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do not assign or allocate all Consolidated Statement of Operations or Consolidated Balance Sheet line items to our operating segments. Those line items include investment income, net capital gain on investments, other income excluding non-standard auto insurance fees, and income taxes within the Consolidated Statement of Operations. For the Consolidated Balance Sheet, those items include cash and investments, property and equipment, other assets, accrued expenses, income taxes recoverable or payable, and shareholders’ equity.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5"/>
          </w:tcPr>
          <w:p>
            <w:pPr>
              <w:jc w:val="center"/>
              <w:ind w:left="630"/>
              <w:spacing w:after="0"/>
              <w:rPr>
                <w:sz w:val="20"/>
                <w:szCs w:val="20"/>
                <w:color w:val="auto"/>
              </w:rPr>
            </w:pPr>
            <w:r>
              <w:rPr>
                <w:rFonts w:ascii="Arial" w:cs="Arial" w:eastAsia="Arial" w:hAnsi="Arial"/>
                <w:sz w:val="18"/>
                <w:szCs w:val="18"/>
                <w:b w:val="1"/>
                <w:bCs w:val="1"/>
                <w:color w:val="auto"/>
                <w:w w:val="93"/>
              </w:rPr>
              <w:t>NI Holdings, Inc.</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13"/>
          </w:tcPr>
          <w:p>
            <w:pPr>
              <w:jc w:val="center"/>
              <w:ind w:left="31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3"/>
          </w:tcPr>
          <w:p>
            <w:pPr>
              <w:jc w:val="center"/>
              <w:ind w:left="31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810"/>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0"/>
          </w:tcPr>
          <w:p>
            <w:pPr>
              <w:jc w:val="right"/>
              <w:ind w:right="380"/>
              <w:spacing w:after="0"/>
              <w:rPr>
                <w:sz w:val="20"/>
                <w:szCs w:val="20"/>
                <w:color w:val="auto"/>
              </w:rPr>
            </w:pPr>
            <w:r>
              <w:rPr>
                <w:rFonts w:ascii="Arial" w:cs="Arial" w:eastAsia="Arial" w:hAnsi="Arial"/>
                <w:sz w:val="18"/>
                <w:szCs w:val="18"/>
                <w:b w:val="1"/>
                <w:bCs w:val="1"/>
                <w:color w:val="auto"/>
                <w:w w:val="92"/>
              </w:rPr>
              <w:t>Three Months Ended September 30, 2021</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Private</w:t>
            </w:r>
          </w:p>
        </w:tc>
        <w:tc>
          <w:tcPr>
            <w:tcW w:w="120" w:type="dxa"/>
            <w:vAlign w:val="bottom"/>
          </w:tcPr>
          <w:p>
            <w:pPr>
              <w:spacing w:after="0"/>
              <w:rPr>
                <w:sz w:val="16"/>
                <w:szCs w:val="16"/>
                <w:color w:val="auto"/>
              </w:rPr>
            </w:pPr>
          </w:p>
        </w:tc>
        <w:tc>
          <w:tcPr>
            <w:tcW w:w="11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Passenger</w:t>
            </w:r>
          </w:p>
        </w:tc>
        <w:tc>
          <w:tcPr>
            <w:tcW w:w="1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Home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Auto</w:t>
            </w: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19,453</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15,258</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19,654</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93,740</w:t>
            </w:r>
          </w:p>
        </w:tc>
        <w:tc>
          <w:tcPr>
            <w:tcW w:w="12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1,336</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(12,903)</w:t>
            </w: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18,491</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14,889</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18,775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12,724</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14,798</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82,173</w:t>
            </w:r>
          </w:p>
        </w:tc>
      </w:tr>
      <w:tr>
        <w:trPr>
          <w:trHeight w:val="216"/>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Direct losses and LAE</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17,646</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9,620</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19,839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27,237</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13,058</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87,453</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2,308</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Ceded losses and LAE</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(14,906)</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(5,288)</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(24,019)</w:t>
            </w:r>
          </w:p>
        </w:tc>
      </w:tr>
      <w:tr>
        <w:trPr>
          <w:trHeight w:val="20"/>
        </w:trPr>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17,130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9,620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12,482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65,742</w:t>
            </w:r>
          </w:p>
        </w:tc>
      </w:tr>
      <w:tr>
        <w:trPr>
          <w:trHeight w:val="203"/>
        </w:trPr>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5,269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16,431</w:t>
            </w:r>
          </w:p>
        </w:tc>
      </w:tr>
      <w:tr>
        <w:trPr>
          <w:trHeight w:val="210"/>
        </w:trPr>
        <w:tc>
          <w:tcPr>
            <w:tcW w:w="1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Underwriting and general expenses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5,892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6,010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25,348</w:t>
            </w: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Underwriting gain (loss)</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(4,531)</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(622)</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(8,917)</w:t>
            </w:r>
          </w:p>
        </w:tc>
      </w:tr>
      <w:tr>
        <w:trPr>
          <w:trHeight w:val="210"/>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501</w:t>
            </w:r>
          </w:p>
        </w:tc>
      </w:tr>
      <w:tr>
        <w:trPr>
          <w:trHeight w:val="209"/>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capital gain on investments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tax benefit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loss attributable to non-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 attributable to NI</w:t>
      </w:r>
    </w:p>
    <w:p>
      <w:pPr>
        <w:ind w:left="360"/>
        <w:spacing w:after="0" w:line="213" w:lineRule="auto"/>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8"/>
          <w:szCs w:val="18"/>
          <w:color w:val="auto"/>
        </w:rPr>
        <w:t>1,713</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222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(6,481)</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(1,622)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(4,859)</w:t>
      </w:r>
    </w:p>
    <w:p>
      <w:pPr>
        <w:spacing w:after="0" w:line="21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(122)</w:t>
      </w:r>
    </w:p>
    <w:p>
      <w:pPr>
        <w:spacing w:after="0" w:line="198" w:lineRule="exact"/>
        <w:rPr>
          <w:sz w:val="20"/>
          <w:szCs w:val="20"/>
          <w:color w:val="auto"/>
        </w:rPr>
      </w:pPr>
    </w:p>
    <w:p>
      <w:pPr>
        <w:ind w:left="541" w:hanging="541"/>
        <w:spacing w:after="0"/>
        <w:tabs>
          <w:tab w:leader="none" w:pos="541" w:val="left"/>
        </w:tabs>
        <w:numPr>
          <w:ilvl w:val="0"/>
          <w:numId w:val="27"/>
        </w:numPr>
        <w:rPr>
          <w:rFonts w:ascii="Arial" w:cs="Arial" w:eastAsia="Arial" w:hAnsi="Arial"/>
          <w:sz w:val="16"/>
          <w:szCs w:val="16"/>
          <w:color w:val="auto"/>
        </w:rPr>
      </w:pPr>
      <w:r>
        <w:rPr>
          <w:rFonts w:ascii="Arial" w:cs="Arial" w:eastAsia="Arial" w:hAnsi="Arial"/>
          <w:sz w:val="16"/>
          <w:szCs w:val="16"/>
          <w:color w:val="auto"/>
        </w:rPr>
        <w:t>(4,737)</w:t>
      </w:r>
    </w:p>
    <w:p>
      <w:pPr>
        <w:spacing w:after="0" w:line="46" w:lineRule="exact"/>
        <w:rPr>
          <w:sz w:val="20"/>
          <w:szCs w:val="20"/>
          <w:color w:val="auto"/>
        </w:rPr>
      </w:pPr>
    </w:p>
    <w:p>
      <w:pPr>
        <w:sectPr>
          <w:pgSz w:w="11900" w:h="16838" w:orient="portrait"/>
          <w:cols w:equalWidth="0" w:num="2">
            <w:col w:w="9399" w:space="720"/>
            <w:col w:w="1121"/>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2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Non-GAAP Ratios: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92.6%</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98.1%</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40.4%</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38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28.0%</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124.5%</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88.0%</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131.5%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8"/>
              </w:rPr>
              <w:t>Balances at September 30, 2021:</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Premiums and agents’ balances</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19,531</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8,789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9,246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33,376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10,737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82,388</w:t>
            </w:r>
          </w:p>
        </w:tc>
        <w:tc>
          <w:tcPr>
            <w:tcW w:w="20" w:type="dxa"/>
            <w:vAlign w:val="bottom"/>
            <w:shd w:val="clear" w:color="auto" w:fill="CCEEFF"/>
          </w:tcPr>
          <w:p>
            <w:pPr>
              <w:spacing w:after="0"/>
              <w:rPr>
                <w:sz w:val="20"/>
                <w:szCs w:val="20"/>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w w:val="94"/>
              </w:rPr>
              <w:t>Deferred policy acquisition costs</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5,234</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6,226</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7,539</w:t>
            </w: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6,027</w:t>
            </w:r>
          </w:p>
        </w:tc>
        <w:tc>
          <w:tcPr>
            <w:tcW w:w="38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25,476</w:t>
            </w: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Reinsurance recoverables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1,422</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2,680</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28,824</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7,911</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1,841</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42,678</w:t>
            </w:r>
          </w:p>
        </w:tc>
        <w:tc>
          <w:tcPr>
            <w:tcW w:w="20" w:type="dxa"/>
            <w:vAlign w:val="bottom"/>
            <w:shd w:val="clear" w:color="auto" w:fill="CCEEFF"/>
          </w:tcPr>
          <w:p>
            <w:pPr>
              <w:spacing w:after="0"/>
              <w:rPr>
                <w:sz w:val="18"/>
                <w:szCs w:val="18"/>
                <w:color w:val="auto"/>
              </w:rPr>
            </w:pPr>
          </w:p>
        </w:tc>
      </w:tr>
      <w:tr>
        <w:trPr>
          <w:trHeight w:val="202"/>
        </w:trPr>
        <w:tc>
          <w:tcPr>
            <w:tcW w:w="2640" w:type="dxa"/>
            <w:vAlign w:val="bottom"/>
          </w:tcPr>
          <w:p>
            <w:pPr>
              <w:ind w:left="180"/>
              <w:spacing w:after="0" w:line="201" w:lineRule="exact"/>
              <w:rPr>
                <w:sz w:val="20"/>
                <w:szCs w:val="20"/>
                <w:color w:val="auto"/>
              </w:rPr>
            </w:pPr>
            <w:r>
              <w:rPr>
                <w:rFonts w:ascii="Arial" w:cs="Arial" w:eastAsia="Arial" w:hAnsi="Arial"/>
                <w:sz w:val="18"/>
                <w:szCs w:val="18"/>
                <w:color w:val="auto"/>
              </w:rPr>
              <w:t>Receivable from Federal Crop</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640" w:type="dxa"/>
            <w:vAlign w:val="bottom"/>
          </w:tcPr>
          <w:p>
            <w:pPr>
              <w:ind w:left="360"/>
              <w:spacing w:after="0"/>
              <w:rPr>
                <w:sz w:val="20"/>
                <w:szCs w:val="20"/>
                <w:color w:val="auto"/>
              </w:rPr>
            </w:pPr>
            <w:r>
              <w:rPr>
                <w:rFonts w:ascii="Arial" w:cs="Arial" w:eastAsia="Arial" w:hAnsi="Arial"/>
                <w:sz w:val="18"/>
                <w:szCs w:val="18"/>
                <w:color w:val="auto"/>
              </w:rPr>
              <w:t>Insurance Corporation</w:t>
            </w:r>
          </w:p>
        </w:tc>
        <w:tc>
          <w:tcPr>
            <w:tcW w:w="3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9,362</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9,362</w:t>
            </w:r>
          </w:p>
        </w:tc>
        <w:tc>
          <w:tcPr>
            <w:tcW w:w="20" w:type="dxa"/>
            <w:vAlign w:val="bottom"/>
          </w:tcPr>
          <w:p>
            <w:pPr>
              <w:spacing w:after="0"/>
              <w:rPr>
                <w:sz w:val="20"/>
                <w:szCs w:val="20"/>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other intangibles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2,823</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15,017</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17,840</w:t>
            </w: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LAE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26,073</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44,114</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17,443</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50,393</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30,547</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11,006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179,576</w:t>
            </w:r>
          </w:p>
        </w:tc>
        <w:tc>
          <w:tcPr>
            <w:tcW w:w="20" w:type="dxa"/>
            <w:vAlign w:val="bottom"/>
            <w:shd w:val="clear" w:color="auto" w:fill="CCEEFF"/>
          </w:tcPr>
          <w:p>
            <w:pPr>
              <w:spacing w:after="0"/>
              <w:rPr>
                <w:sz w:val="18"/>
                <w:szCs w:val="18"/>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3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29,462</w:t>
            </w:r>
          </w:p>
        </w:tc>
        <w:tc>
          <w:tcPr>
            <w:tcW w:w="4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19,489</w:t>
            </w:r>
          </w:p>
        </w:tc>
        <w:tc>
          <w:tcPr>
            <w:tcW w:w="3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42,664</w:t>
            </w:r>
          </w:p>
        </w:tc>
        <w:tc>
          <w:tcPr>
            <w:tcW w:w="3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9,369</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32,930</w:t>
            </w:r>
          </w:p>
        </w:tc>
        <w:tc>
          <w:tcPr>
            <w:tcW w:w="38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3,185</w:t>
            </w: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137,099</w:t>
            </w:r>
          </w:p>
        </w:tc>
        <w:tc>
          <w:tcPr>
            <w:tcW w:w="20" w:type="dxa"/>
            <w:vAlign w:val="bottom"/>
          </w:tcPr>
          <w:p>
            <w:pPr>
              <w:spacing w:after="0"/>
              <w:rPr>
                <w:sz w:val="20"/>
                <w:szCs w:val="20"/>
                <w:color w:val="auto"/>
              </w:rPr>
            </w:pPr>
          </w:p>
        </w:tc>
      </w:tr>
      <w:tr>
        <w:trPr>
          <w:trHeight w:val="377"/>
        </w:trPr>
        <w:tc>
          <w:tcPr>
            <w:tcW w:w="2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550"/>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64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42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7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26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3"/>
              </w:rPr>
              <w:t>NI Holdings, Inc.</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15"/>
          </w:tcPr>
          <w:p>
            <w:pPr>
              <w:jc w:val="center"/>
              <w:ind w:left="31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5"/>
          </w:tcPr>
          <w:p>
            <w:pPr>
              <w:jc w:val="center"/>
              <w:ind w:left="31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0"/>
          </w:tcPr>
          <w:p>
            <w:pPr>
              <w:jc w:val="right"/>
              <w:ind w:right="300"/>
              <w:spacing w:after="0"/>
              <w:rPr>
                <w:sz w:val="20"/>
                <w:szCs w:val="20"/>
                <w:color w:val="auto"/>
              </w:rPr>
            </w:pPr>
            <w:r>
              <w:rPr>
                <w:rFonts w:ascii="Arial" w:cs="Arial" w:eastAsia="Arial" w:hAnsi="Arial"/>
                <w:sz w:val="18"/>
                <w:szCs w:val="18"/>
                <w:b w:val="1"/>
                <w:bCs w:val="1"/>
                <w:color w:val="auto"/>
                <w:w w:val="92"/>
              </w:rPr>
              <w:t>Three Months Ended September 30, 2020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Passenger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Home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Crop</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Commercial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20"/>
                <w:szCs w:val="20"/>
                <w:color w:val="auto"/>
              </w:rPr>
            </w:pPr>
          </w:p>
        </w:tc>
        <w:tc>
          <w:tcPr>
            <w:tcW w:w="1020" w:type="dxa"/>
            <w:vAlign w:val="bottom"/>
            <w:gridSpan w:val="3"/>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12,189</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Assumed premiums earned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(2,437)</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17,947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13,839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18,548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9,719</w:t>
            </w:r>
          </w:p>
        </w:tc>
        <w:tc>
          <w:tcPr>
            <w:tcW w:w="3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10,773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Direct losses and LAE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13,570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9,425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13,912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12,154</w:t>
            </w:r>
          </w:p>
        </w:tc>
        <w:tc>
          <w:tcPr>
            <w:tcW w:w="3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9,257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Ceded losses and LAE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(3,546)</w:t>
            </w:r>
          </w:p>
        </w:tc>
        <w:tc>
          <w:tcPr>
            <w:tcW w:w="3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9,225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Underwriting and general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1,542</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Underwriting gain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(1,048)</w:t>
            </w:r>
          </w:p>
        </w:tc>
        <w:tc>
          <w:tcPr>
            <w:tcW w:w="3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1,886</w:t>
            </w: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capital gain on investments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Net income attributable to non-</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vMerge w:val="restart"/>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controlling interest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4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Net income attributable to NI</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3,664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gridSpan w:val="2"/>
          </w:tcPr>
          <w:p>
            <w:pPr>
              <w:ind w:left="360"/>
              <w:spacing w:after="0" w:line="190" w:lineRule="exact"/>
              <w:rPr>
                <w:sz w:val="20"/>
                <w:szCs w:val="20"/>
                <w:color w:val="auto"/>
              </w:rPr>
            </w:pPr>
            <w:r>
              <w:rPr>
                <w:rFonts w:ascii="Arial" w:cs="Arial" w:eastAsia="Arial" w:hAnsi="Arial"/>
                <w:sz w:val="18"/>
                <w:szCs w:val="18"/>
                <w:color w:val="auto"/>
              </w:rPr>
              <w:t>Holdings, Inc.</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Non-GAAP Ratios: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Expense ratio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w w:val="98"/>
              </w:rPr>
              <w:t>Balances at September 30, 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Premiums and agents’ balances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receivable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9,323</w:t>
            </w: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39,182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84,868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w w:val="94"/>
              </w:rPr>
              <w:t>Deferred policy acquisition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409</w:t>
            </w:r>
          </w:p>
        </w:tc>
        <w:tc>
          <w:tcPr>
            <w:tcW w:w="3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4,564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Reinsurance recoverables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Receivable from Federal Crop</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360"/>
              <w:spacing w:after="0"/>
              <w:rPr>
                <w:sz w:val="20"/>
                <w:szCs w:val="20"/>
                <w:color w:val="auto"/>
              </w:rPr>
            </w:pPr>
            <w:r>
              <w:rPr>
                <w:rFonts w:ascii="Arial" w:cs="Arial" w:eastAsia="Arial" w:hAnsi="Arial"/>
                <w:sz w:val="18"/>
                <w:szCs w:val="18"/>
                <w:color w:val="auto"/>
              </w:rPr>
              <w:t>Insurance Corporation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9,519</w:t>
            </w:r>
          </w:p>
        </w:tc>
        <w:tc>
          <w:tcPr>
            <w:tcW w:w="3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 and other intangibles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Unpaid losses and LAE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29,723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Unearned premiums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29,203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17,147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41,724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8,730</w:t>
            </w:r>
          </w:p>
        </w:tc>
        <w:tc>
          <w:tcPr>
            <w:tcW w:w="3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26,247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125,966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ind w:right="270"/>
              <w:spacing w:after="0"/>
              <w:rPr>
                <w:sz w:val="20"/>
                <w:szCs w:val="20"/>
                <w:color w:val="auto"/>
              </w:rPr>
            </w:pPr>
            <w:r>
              <w:rPr>
                <w:rFonts w:ascii="Arial" w:cs="Arial" w:eastAsia="Arial" w:hAnsi="Arial"/>
                <w:sz w:val="18"/>
                <w:szCs w:val="18"/>
                <w:color w:val="auto"/>
                <w:w w:val="89"/>
              </w:rPr>
              <w:t>34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Borders>
              <w:bottom w:val="single" w:sz="8" w:color="EEEEEE"/>
            </w:tcBorders>
          </w:tcPr>
          <w:p>
            <w:pPr>
              <w:spacing w:after="0"/>
              <w:rPr>
                <w:sz w:val="17"/>
                <w:szCs w:val="17"/>
                <w:color w:val="auto"/>
              </w:rPr>
            </w:pPr>
          </w:p>
        </w:tc>
        <w:tc>
          <w:tcPr>
            <w:tcW w:w="136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6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5"/>
          </w:tcPr>
          <w:p>
            <w:pPr>
              <w:jc w:val="center"/>
              <w:ind w:left="630"/>
              <w:spacing w:after="0"/>
              <w:rPr>
                <w:sz w:val="20"/>
                <w:szCs w:val="20"/>
                <w:color w:val="auto"/>
              </w:rPr>
            </w:pPr>
            <w:r>
              <w:rPr>
                <w:rFonts w:ascii="Arial" w:cs="Arial" w:eastAsia="Arial" w:hAnsi="Arial"/>
                <w:sz w:val="18"/>
                <w:szCs w:val="18"/>
                <w:b w:val="1"/>
                <w:bCs w:val="1"/>
                <w:color w:val="auto"/>
                <w:w w:val="93"/>
              </w:rPr>
              <w:t>NI Holdings, Inc.</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13"/>
          </w:tcPr>
          <w:p>
            <w:pPr>
              <w:jc w:val="center"/>
              <w:ind w:left="31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3"/>
          </w:tcPr>
          <w:p>
            <w:pPr>
              <w:jc w:val="center"/>
              <w:ind w:left="31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tcPr>
          <w:p>
            <w:pPr>
              <w:jc w:val="right"/>
              <w:ind w:right="440"/>
              <w:spacing w:after="0"/>
              <w:rPr>
                <w:sz w:val="20"/>
                <w:szCs w:val="20"/>
                <w:color w:val="auto"/>
              </w:rPr>
            </w:pPr>
            <w:r>
              <w:rPr>
                <w:rFonts w:ascii="Arial" w:cs="Arial" w:eastAsia="Arial" w:hAnsi="Arial"/>
                <w:sz w:val="18"/>
                <w:szCs w:val="18"/>
                <w:b w:val="1"/>
                <w:bCs w:val="1"/>
                <w:color w:val="auto"/>
                <w:w w:val="90"/>
              </w:rPr>
              <w:t>Nine Months Ended September 30, 2021</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Private</w:t>
            </w:r>
          </w:p>
        </w:tc>
        <w:tc>
          <w:tcPr>
            <w:tcW w:w="120" w:type="dxa"/>
            <w:vAlign w:val="bottom"/>
          </w:tcPr>
          <w:p>
            <w:pPr>
              <w:spacing w:after="0"/>
              <w:rPr>
                <w:sz w:val="16"/>
                <w:szCs w:val="16"/>
                <w:color w:val="auto"/>
              </w:rPr>
            </w:pPr>
          </w:p>
        </w:tc>
        <w:tc>
          <w:tcPr>
            <w:tcW w:w="11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Passenger</w:t>
            </w:r>
          </w:p>
        </w:tc>
        <w:tc>
          <w:tcPr>
            <w:tcW w:w="1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Home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Auto</w:t>
            </w: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57,153</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44,102</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34,212</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249,542</w:t>
            </w:r>
          </w:p>
        </w:tc>
        <w:tc>
          <w:tcPr>
            <w:tcW w:w="12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2,108</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6,300</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(15,196)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(34,253)</w:t>
            </w: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54,057</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43,045</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54,602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21,124</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41,156</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7,605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221,589</w:t>
            </w:r>
          </w:p>
        </w:tc>
      </w:tr>
      <w:tr>
        <w:trPr>
          <w:trHeight w:val="216"/>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Direct losses and LAE</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45,299</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25,910</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47,163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49,612</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33,016</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201,630</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5,216</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Ceded losses and LAE</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(27,911)</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(7,583)</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(41,297)</w:t>
            </w:r>
          </w:p>
        </w:tc>
      </w:tr>
      <w:tr>
        <w:trPr>
          <w:trHeight w:val="20"/>
        </w:trPr>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44,289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25,910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22,375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25,433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165,549</w:t>
            </w:r>
          </w:p>
        </w:tc>
      </w:tr>
      <w:tr>
        <w:trPr>
          <w:trHeight w:val="203"/>
        </w:trPr>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9,768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56,040</w:t>
            </w:r>
          </w:p>
        </w:tc>
      </w:tr>
      <w:tr>
        <w:trPr>
          <w:trHeight w:val="210"/>
        </w:trPr>
        <w:tc>
          <w:tcPr>
            <w:tcW w:w="1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Underwriting and general expenses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16,018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70,175</w:t>
            </w: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Underwriting gain (loss)</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(6,250)</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(4,082)</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(14,135)</w:t>
            </w:r>
          </w:p>
        </w:tc>
      </w:tr>
      <w:tr>
        <w:trPr>
          <w:trHeight w:val="210"/>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1,338</w:t>
            </w:r>
          </w:p>
        </w:tc>
      </w:tr>
      <w:tr>
        <w:trPr>
          <w:trHeight w:val="209"/>
        </w:trPr>
        <w:tc>
          <w:tcPr>
            <w:tcW w:w="1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right"/>
        <w:ind w:right="7119"/>
        <w:spacing w:after="0"/>
        <w:rPr>
          <w:sz w:val="20"/>
          <w:szCs w:val="20"/>
          <w:color w:val="auto"/>
        </w:rPr>
      </w:pPr>
      <w:r>
        <w:rPr>
          <w:rFonts w:ascii="Arial" w:cs="Arial" w:eastAsia="Arial" w:hAnsi="Arial"/>
          <w:sz w:val="16"/>
          <w:szCs w:val="16"/>
          <w:color w:val="auto"/>
        </w:rPr>
        <w:t>Net capital gain on investments</w:t>
      </w:r>
    </w:p>
    <w:p>
      <w:pPr>
        <w:spacing w:after="0" w:line="46" w:lineRule="exact"/>
        <w:rPr>
          <w:sz w:val="20"/>
          <w:szCs w:val="20"/>
          <w:color w:val="auto"/>
        </w:rPr>
      </w:pPr>
    </w:p>
    <w:p>
      <w:pPr>
        <w:jc w:val="right"/>
        <w:ind w:right="7179"/>
        <w:spacing w:after="0"/>
        <w:rPr>
          <w:sz w:val="20"/>
          <w:szCs w:val="20"/>
          <w:color w:val="auto"/>
        </w:rPr>
      </w:pPr>
      <w:r>
        <w:rPr>
          <w:rFonts w:ascii="Arial" w:cs="Arial" w:eastAsia="Arial" w:hAnsi="Arial"/>
          <w:sz w:val="17"/>
          <w:szCs w:val="17"/>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loss attributable to non-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attributable to NI</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ind w:left="601"/>
        <w:spacing w:after="0"/>
        <w:rPr>
          <w:sz w:val="20"/>
          <w:szCs w:val="20"/>
          <w:color w:val="auto"/>
        </w:rPr>
      </w:pPr>
      <w:r>
        <w:rPr>
          <w:rFonts w:ascii="Arial" w:cs="Arial" w:eastAsia="Arial" w:hAnsi="Arial"/>
          <w:sz w:val="18"/>
          <w:szCs w:val="18"/>
          <w:color w:val="auto"/>
        </w:rPr>
        <w:t>4,959</w:t>
      </w:r>
    </w:p>
    <w:p>
      <w:pPr>
        <w:spacing w:after="0" w:line="9" w:lineRule="exact"/>
        <w:rPr>
          <w:sz w:val="20"/>
          <w:szCs w:val="20"/>
          <w:color w:val="auto"/>
        </w:rPr>
      </w:pPr>
    </w:p>
    <w:p>
      <w:pPr>
        <w:ind w:left="501"/>
        <w:spacing w:after="0"/>
        <w:rPr>
          <w:sz w:val="20"/>
          <w:szCs w:val="20"/>
          <w:color w:val="auto"/>
        </w:rPr>
      </w:pPr>
      <w:r>
        <w:rPr>
          <w:rFonts w:ascii="Arial" w:cs="Arial" w:eastAsia="Arial" w:hAnsi="Arial"/>
          <w:sz w:val="18"/>
          <w:szCs w:val="18"/>
          <w:color w:val="auto"/>
        </w:rPr>
        <w:t>10,734</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2,896</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707</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2,189</w:t>
      </w:r>
    </w:p>
    <w:p>
      <w:pPr>
        <w:spacing w:after="0" w:line="21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(99)</w:t>
      </w:r>
    </w:p>
    <w:p>
      <w:pPr>
        <w:spacing w:after="0" w:line="198" w:lineRule="exact"/>
        <w:rPr>
          <w:sz w:val="20"/>
          <w:szCs w:val="20"/>
          <w:color w:val="auto"/>
        </w:rPr>
      </w:pPr>
    </w:p>
    <w:p>
      <w:pPr>
        <w:ind w:left="601" w:hanging="601"/>
        <w:spacing w:after="0"/>
        <w:tabs>
          <w:tab w:leader="none" w:pos="6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2,288</w:t>
      </w:r>
    </w:p>
    <w:p>
      <w:pPr>
        <w:spacing w:after="0" w:line="24" w:lineRule="exact"/>
        <w:rPr>
          <w:sz w:val="20"/>
          <w:szCs w:val="20"/>
          <w:color w:val="auto"/>
        </w:rPr>
      </w:pPr>
    </w:p>
    <w:p>
      <w:pPr>
        <w:sectPr>
          <w:pgSz w:w="11900" w:h="16838" w:orient="portrait"/>
          <w:cols w:equalWidth="0" w:num="2">
            <w:col w:w="9399" w:space="720"/>
            <w:col w:w="1121"/>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4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Non-GAAP Ratios:</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81.9%</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60.2%</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76.9%</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105.9%</w:t>
            </w: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61.8%</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20" w:type="dxa"/>
            <w:vAlign w:val="bottom"/>
            <w:shd w:val="clear" w:color="auto" w:fill="CCEEFF"/>
          </w:tcPr>
          <w:p>
            <w:pPr>
              <w:spacing w:after="0"/>
              <w:rPr>
                <w:sz w:val="18"/>
                <w:szCs w:val="18"/>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29.6%</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39.4%</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31.7%</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13.4%</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36.6%</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26.5%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18"/>
                <w:szCs w:val="18"/>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111.6%</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99.6%</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108.6%</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119.3%</w:t>
            </w: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98.4%</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w:t>
            </w:r>
          </w:p>
        </w:tc>
        <w:tc>
          <w:tcPr>
            <w:tcW w:w="20" w:type="dxa"/>
            <w:vAlign w:val="bottom"/>
            <w:shd w:val="clear" w:color="auto" w:fill="CCEEFF"/>
          </w:tcPr>
          <w:p>
            <w:pPr>
              <w:spacing w:after="0"/>
              <w:rPr>
                <w:sz w:val="18"/>
                <w:szCs w:val="18"/>
                <w:color w:val="auto"/>
              </w:rPr>
            </w:pPr>
          </w:p>
        </w:tc>
      </w:tr>
      <w:tr>
        <w:trPr>
          <w:trHeight w:val="392"/>
        </w:trPr>
        <w:tc>
          <w:tcPr>
            <w:tcW w:w="2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jc w:val="right"/>
              <w:ind w:right="770"/>
              <w:spacing w:after="0"/>
              <w:rPr>
                <w:sz w:val="20"/>
                <w:szCs w:val="20"/>
                <w:color w:val="auto"/>
              </w:rPr>
            </w:pPr>
            <w:r>
              <w:rPr>
                <w:rFonts w:ascii="Arial" w:cs="Arial" w:eastAsia="Arial" w:hAnsi="Arial"/>
                <w:sz w:val="18"/>
                <w:szCs w:val="18"/>
                <w:color w:val="auto"/>
              </w:rPr>
              <w:t>35</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400" w:type="dxa"/>
            <w:vAlign w:val="bottom"/>
            <w:tcBorders>
              <w:bottom w:val="single" w:sz="8" w:color="EEEEEE"/>
            </w:tcBorders>
          </w:tcPr>
          <w:p>
            <w:pPr>
              <w:spacing w:after="0"/>
              <w:rPr>
                <w:sz w:val="18"/>
                <w:szCs w:val="18"/>
                <w:color w:val="auto"/>
              </w:rPr>
            </w:pPr>
          </w:p>
        </w:tc>
        <w:tc>
          <w:tcPr>
            <w:tcW w:w="1740" w:type="dxa"/>
            <w:vAlign w:val="bottom"/>
            <w:tcBorders>
              <w:bottom w:val="single" w:sz="8" w:color="EEEEEE"/>
            </w:tcBorders>
          </w:tcPr>
          <w:p>
            <w:pPr>
              <w:spacing w:after="0"/>
              <w:rPr>
                <w:sz w:val="18"/>
                <w:szCs w:val="18"/>
                <w:color w:val="auto"/>
              </w:rPr>
            </w:pPr>
          </w:p>
        </w:tc>
        <w:tc>
          <w:tcPr>
            <w:tcW w:w="1140" w:type="dxa"/>
            <w:vAlign w:val="bottom"/>
            <w:tcBorders>
              <w:bottom w:val="single" w:sz="8" w:color="EEEEEE"/>
            </w:tcBorders>
          </w:tcPr>
          <w:p>
            <w:pPr>
              <w:spacing w:after="0"/>
              <w:rPr>
                <w:sz w:val="18"/>
                <w:szCs w:val="18"/>
                <w:color w:val="auto"/>
              </w:rPr>
            </w:pPr>
          </w:p>
        </w:tc>
        <w:tc>
          <w:tcPr>
            <w:tcW w:w="1300" w:type="dxa"/>
            <w:vAlign w:val="bottom"/>
            <w:tcBorders>
              <w:bottom w:val="single" w:sz="8" w:color="EEEEEE"/>
            </w:tcBorders>
          </w:tcPr>
          <w:p>
            <w:pPr>
              <w:spacing w:after="0"/>
              <w:rPr>
                <w:sz w:val="18"/>
                <w:szCs w:val="18"/>
                <w:color w:val="auto"/>
              </w:rPr>
            </w:pPr>
          </w:p>
        </w:tc>
        <w:tc>
          <w:tcPr>
            <w:tcW w:w="1260" w:type="dxa"/>
            <w:vAlign w:val="bottom"/>
            <w:tcBorders>
              <w:bottom w:val="single" w:sz="8" w:color="EEEEEE"/>
            </w:tcBorders>
          </w:tcPr>
          <w:p>
            <w:pPr>
              <w:spacing w:after="0"/>
              <w:rPr>
                <w:sz w:val="18"/>
                <w:szCs w:val="18"/>
                <w:color w:val="auto"/>
              </w:rPr>
            </w:pPr>
          </w:p>
        </w:tc>
        <w:tc>
          <w:tcPr>
            <w:tcW w:w="122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5"/>
          </w:tcPr>
          <w:p>
            <w:pPr>
              <w:jc w:val="center"/>
              <w:ind w:left="630"/>
              <w:spacing w:after="0"/>
              <w:rPr>
                <w:sz w:val="20"/>
                <w:szCs w:val="20"/>
                <w:color w:val="auto"/>
              </w:rPr>
            </w:pPr>
            <w:r>
              <w:rPr>
                <w:rFonts w:ascii="Arial" w:cs="Arial" w:eastAsia="Arial" w:hAnsi="Arial"/>
                <w:sz w:val="18"/>
                <w:szCs w:val="18"/>
                <w:b w:val="1"/>
                <w:bCs w:val="1"/>
                <w:color w:val="auto"/>
                <w:w w:val="93"/>
              </w:rPr>
              <w:t>NI Holdings, Inc.</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13"/>
          </w:tcPr>
          <w:p>
            <w:pPr>
              <w:jc w:val="center"/>
              <w:ind w:left="33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gridSpan w:val="13"/>
          </w:tcPr>
          <w:p>
            <w:pPr>
              <w:jc w:val="center"/>
              <w:ind w:left="33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tcPr>
          <w:p>
            <w:pPr>
              <w:jc w:val="right"/>
              <w:ind w:right="440"/>
              <w:spacing w:after="0"/>
              <w:rPr>
                <w:sz w:val="20"/>
                <w:szCs w:val="20"/>
                <w:color w:val="auto"/>
              </w:rPr>
            </w:pPr>
            <w:r>
              <w:rPr>
                <w:rFonts w:ascii="Arial" w:cs="Arial" w:eastAsia="Arial" w:hAnsi="Arial"/>
                <w:sz w:val="18"/>
                <w:szCs w:val="18"/>
                <w:b w:val="1"/>
                <w:bCs w:val="1"/>
                <w:color w:val="auto"/>
                <w:w w:val="90"/>
              </w:rPr>
              <w:t>Nine Months Ended September 30, 2020</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Private</w:t>
            </w:r>
          </w:p>
        </w:tc>
        <w:tc>
          <w:tcPr>
            <w:tcW w:w="120" w:type="dxa"/>
            <w:vAlign w:val="bottom"/>
          </w:tcPr>
          <w:p>
            <w:pPr>
              <w:spacing w:after="0"/>
              <w:rPr>
                <w:sz w:val="16"/>
                <w:szCs w:val="16"/>
                <w:color w:val="auto"/>
              </w:rPr>
            </w:pPr>
          </w:p>
        </w:tc>
        <w:tc>
          <w:tcPr>
            <w:tcW w:w="11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Passenger</w:t>
            </w:r>
          </w:p>
        </w:tc>
        <w:tc>
          <w:tcPr>
            <w:tcW w:w="1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Home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Auto</w:t>
            </w: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All Other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55,899</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40,253</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31,438</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1,903</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3,752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(15,835)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52,632</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40,124</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53,937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33,450</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26,967</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7,010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Direct losses and LAE</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33,324</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23,560</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32,661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35,212</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26,169</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Ceded losses and LAE</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(5,352)</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(11,640)</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33,323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23,560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30,699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14,529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19,309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16,564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12,438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77,498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Underwriting and general expenses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14,248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15,482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61,928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Underwriting gain (loss)</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5,061</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(791)</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5,875</w:t>
            </w: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capital gain on investments</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Net income attributable to non-</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vMerge w:val="restart"/>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controlling interest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2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Net income attributable to NI</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18,810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20" w:type="dxa"/>
            <w:vAlign w:val="bottom"/>
            <w:gridSpan w:val="2"/>
          </w:tcPr>
          <w:p>
            <w:pPr>
              <w:ind w:left="360"/>
              <w:spacing w:after="0" w:line="190" w:lineRule="exact"/>
              <w:rPr>
                <w:sz w:val="20"/>
                <w:szCs w:val="20"/>
                <w:color w:val="auto"/>
              </w:rPr>
            </w:pPr>
            <w:r>
              <w:rPr>
                <w:rFonts w:ascii="Arial" w:cs="Arial" w:eastAsia="Arial" w:hAnsi="Arial"/>
                <w:sz w:val="18"/>
                <w:szCs w:val="18"/>
                <w:color w:val="auto"/>
              </w:rPr>
              <w:t>Holdings, Inc.</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Non-GAAP Ratios: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Expense ratio</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ind w:right="270"/>
              <w:spacing w:after="0"/>
              <w:rPr>
                <w:sz w:val="20"/>
                <w:szCs w:val="20"/>
                <w:color w:val="auto"/>
              </w:rPr>
            </w:pPr>
            <w:r>
              <w:rPr>
                <w:rFonts w:ascii="Arial" w:cs="Arial" w:eastAsia="Arial" w:hAnsi="Arial"/>
                <w:sz w:val="18"/>
                <w:szCs w:val="18"/>
                <w:color w:val="auto"/>
                <w:w w:val="89"/>
              </w:rPr>
              <w:t>36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EEEEEE"/>
            </w:tcBorders>
          </w:tcPr>
          <w:p>
            <w:pPr>
              <w:spacing w:after="0"/>
              <w:rPr>
                <w:sz w:val="18"/>
                <w:szCs w:val="18"/>
                <w:color w:val="auto"/>
              </w:rPr>
            </w:pPr>
          </w:p>
        </w:tc>
        <w:tc>
          <w:tcPr>
            <w:tcW w:w="144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80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300" w:type="dxa"/>
            <w:vAlign w:val="bottom"/>
            <w:tcBorders>
              <w:bottom w:val="single" w:sz="8" w:color="EEEEEE"/>
            </w:tcBorders>
          </w:tcPr>
          <w:p>
            <w:pPr>
              <w:spacing w:after="0"/>
              <w:rPr>
                <w:sz w:val="18"/>
                <w:szCs w:val="18"/>
                <w:color w:val="auto"/>
              </w:rPr>
            </w:pPr>
          </w:p>
        </w:tc>
        <w:tc>
          <w:tcPr>
            <w:tcW w:w="7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0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included elsewhere in this Quarterly Report. You should also review “Risk Factors” included in the Company’s 2020 Annual Report for a discussion of important factors that could cause actual results to differ materially from the results described, or implied by, the forward-looking statements contained herein.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included in Item 2 herein are in thousands.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changes in regulation, general economic conditions, rising medical expenses, judicial trends, fluctuations in interest rates, and other changes in the investment environment.</w:t>
      </w:r>
    </w:p>
    <w:p>
      <w:pPr>
        <w:spacing w:after="0" w:line="16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NI Holdings premium levels and underwriting results have been, and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that NI Holdings serve are diversified, which requires management to regularly monitor the Company’s performance and competitive position by line of business and geographic market to schedule appropriate rate actions.</w:t>
      </w:r>
    </w:p>
    <w:p>
      <w:pPr>
        <w:spacing w:after="0" w:line="17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Premiums in the multi-peril crop insurance business are primarily influenced by the number of acres, commodity prices, and types of crops insured because the rates are established by the Risk Management Agency of the United States Department of Agriculture (“RMA”) rather than individual insurance carriers. The expected loss experience of the multi-peril crop insurance business for the calendar year may also significantly affect the reported net earned premiums and losses due to the risk-sharing arrangement with the federal government. Multi-peril crop insurance premiums are generally written in the second quarter, and earned ratably over the period of risk, which generally extends into the fourth quarter. However, as was the case in 2020, if the Company experiences a higher than average number of prevented planting claims early in the risk period, recognition of earned premiums may be accelerated due to the shortened risk period.</w:t>
      </w:r>
    </w:p>
    <w:p>
      <w:pPr>
        <w:spacing w:after="0" w:line="16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Premiums in the crop hail insurance business are also generally written in the second quarter, but earned over a shorter period of risk than multi-peril crop insurance.</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Premiums in the personal lines of business (private passenger auto, home and farm) are generally written and earned throughout the year based on their coverage periods. Losses on this business are also incurred throughout the year, but usually are more frequent and/or severe during periods of weather-related activity.</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Premiums in the commercial lines of business are generally written and earned throughout the year. Losses on this business are also incurred throughout the year.</w:t>
      </w:r>
    </w:p>
    <w:p>
      <w:pPr>
        <w:spacing w:after="0" w:line="15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For more information on the Company’s results of operations by segment, see Note 19 to the Unaudited Consolidated Financial Statements, included elsewhere in this Form 10-Q.</w:t>
      </w:r>
    </w:p>
    <w:p>
      <w:pPr>
        <w:spacing w:after="0" w:line="14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Beginning in March 2020, the global pandemic associated with COVID-19 and related economic conditions began to impact the Company’s results. The immediate financial impact to the Company was volatility in our investment portfolio and significant declines in fair value on the Company’s equity investments, attributable to the disruption in global financial markets. The Company’s underwriting results, especially in the private passenger auto and non-standard auto segments, were impacted during the second and third quarters of 2020 as a result of fewer miles being driven and the increased unemployment rate in our Chicago and Las Vegas markets.</w:t>
      </w:r>
    </w:p>
    <w:p>
      <w:pPr>
        <w:spacing w:after="0" w:line="17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first nine months of 2021, we have continued to see a reduced impact from COVID-19 as economic activity has returned to near pre-pandemic levels. However, a possible resurgence of COVID-19 could impact our results.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below discussion of results of operations for NI Holdings includes certain non-GAAP financial measures, including loss and LAE ratio, expense ratio, combined ratio, premiums written, and underwriting gain (loss). For a description of these non-GAAP financial measures, see the section titled “Non-GAAP Financial Measures”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and Nine Months ended September 30, 2021 and 2020</w:t>
      </w:r>
    </w:p>
    <w:p>
      <w:pPr>
        <w:spacing w:after="0" w:line="21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consolidated net loss for NI Holdings was $4,859 for the three months ended September 30, 2021, compared to net income of $3,686 for the three months ended September 30, 2020. The consolidated net income for NI Holdings was $2,189 for the nine months ended September 30, 2021, compared to net income of $18,898 for the nine months ended September 30,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 components of NI Holdings’ operating revenues and net income (loss)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82,173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73,342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221,589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214,120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1,713</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4,959</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84,609</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80,854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238,620</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222,707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82,173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73,342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221,589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65,742</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53,836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165,549</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Amortization of deferred policy acquisition costs and other underwriting</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25,348</w:t>
            </w:r>
          </w:p>
        </w:tc>
        <w:tc>
          <w:tcPr>
            <w:tcW w:w="2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22,144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70,175</w:t>
            </w:r>
          </w:p>
        </w:tc>
        <w:tc>
          <w:tcPr>
            <w:tcW w:w="2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61,928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general expenses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tcPr>
          <w:p>
            <w:pPr>
              <w:ind w:left="360"/>
              <w:spacing w:after="0"/>
              <w:rPr>
                <w:sz w:val="20"/>
                <w:szCs w:val="20"/>
                <w:color w:val="auto"/>
              </w:rPr>
            </w:pPr>
            <w:r>
              <w:rPr>
                <w:rFonts w:ascii="Arial" w:cs="Arial" w:eastAsia="Arial" w:hAnsi="Arial"/>
                <w:sz w:val="18"/>
                <w:szCs w:val="18"/>
                <w:color w:val="auto"/>
              </w:rPr>
              <w:t>Underwriting gain (loss)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(8,917)</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(14,135)</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Fee and other income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1,338</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Net capital gain on investments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10,734</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(1,622)</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54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38</w:t>
            </w: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4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28"/>
        </w:trPr>
        <w:tc>
          <w:tcPr>
            <w:tcW w:w="5760" w:type="dxa"/>
            <w:vAlign w:val="bottom"/>
            <w:gridSpan w:val="2"/>
          </w:tcPr>
          <w:p>
            <w:pPr>
              <w:ind w:left="660"/>
              <w:spacing w:after="0"/>
              <w:rPr>
                <w:sz w:val="20"/>
                <w:szCs w:val="20"/>
                <w:color w:val="auto"/>
              </w:rPr>
            </w:pPr>
            <w:r>
              <w:rPr>
                <w:rFonts w:ascii="Arial" w:cs="Arial" w:eastAsia="Arial" w:hAnsi="Arial"/>
                <w:sz w:val="18"/>
                <w:szCs w:val="18"/>
                <w:i w:val="1"/>
                <w:iCs w:val="1"/>
                <w:color w:val="auto"/>
              </w:rPr>
              <w:t>Net Premiums Earned</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7"/>
        </w:trPr>
        <w:tc>
          <w:tcPr>
            <w:tcW w:w="1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1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09"/>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Direct premium</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93,740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79,455</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249,542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224,300</w:t>
            </w:r>
          </w:p>
        </w:tc>
      </w:tr>
      <w:tr>
        <w:trPr>
          <w:trHeight w:val="216"/>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Assumed premium</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5,655</w:t>
            </w:r>
          </w:p>
        </w:tc>
      </w:tr>
      <w:tr>
        <w:trPr>
          <w:trHeight w:val="216"/>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Ceded premium</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(12,903)</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(34,253)</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(15,835)</w:t>
            </w:r>
          </w:p>
        </w:tc>
      </w:tr>
      <w:tr>
        <w:trPr>
          <w:trHeight w:val="20"/>
        </w:trPr>
        <w:tc>
          <w:tcPr>
            <w:tcW w:w="1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net premiums earned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82,173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73,342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221,589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214,120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NI Holdings’ net premiums earned for the three months ended September 30, 2021 increased $8,831, or 12.0%, compared to the three months ended September 30, 2020. Net premiums earned for the nine months ended September 30, 2021 increased $7,469, or 3.5%, compared to the nine months ended September 30,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57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18,491</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17,947</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54,057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52,632</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43,045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40,124</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18,548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54,602</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53,937</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33,450</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41,156</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26,967</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7,010</w:t>
            </w:r>
          </w:p>
        </w:tc>
      </w:tr>
      <w:tr>
        <w:trPr>
          <w:trHeight w:val="20"/>
        </w:trPr>
        <w:tc>
          <w:tcPr>
            <w:tcW w:w="57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360"/>
              <w:spacing w:after="0"/>
              <w:rPr>
                <w:sz w:val="20"/>
                <w:szCs w:val="20"/>
                <w:color w:val="auto"/>
              </w:rPr>
            </w:pPr>
            <w:r>
              <w:rPr>
                <w:rFonts w:ascii="Arial" w:cs="Arial" w:eastAsia="Arial" w:hAnsi="Arial"/>
                <w:sz w:val="18"/>
                <w:szCs w:val="18"/>
                <w:color w:val="auto"/>
              </w:rPr>
              <w:t>Total net premiums earned</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82,173</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73,342</w:t>
            </w:r>
          </w:p>
        </w:tc>
        <w:tc>
          <w:tcPr>
            <w:tcW w:w="10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221,589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214,120</w:t>
            </w:r>
          </w:p>
        </w:tc>
      </w:tr>
      <w:tr>
        <w:trPr>
          <w:trHeight w:val="20"/>
        </w:trPr>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are comments regarding significant changes in the net premiums earned by business segment:</w:t>
      </w:r>
    </w:p>
    <w:p>
      <w:pPr>
        <w:spacing w:after="0" w:line="208" w:lineRule="exact"/>
        <w:rPr>
          <w:sz w:val="20"/>
          <w:szCs w:val="20"/>
          <w:color w:val="auto"/>
        </w:rPr>
      </w:pPr>
    </w:p>
    <w:p>
      <w:pPr>
        <w:jc w:val="both"/>
        <w:ind w:right="600" w:firstLine="648"/>
        <w:spacing w:after="0" w:line="266" w:lineRule="auto"/>
        <w:rPr>
          <w:sz w:val="20"/>
          <w:szCs w:val="20"/>
          <w:color w:val="auto"/>
        </w:rPr>
      </w:pPr>
      <w:r>
        <w:rPr>
          <w:rFonts w:ascii="Arial" w:cs="Arial" w:eastAsia="Arial" w:hAnsi="Arial"/>
          <w:sz w:val="18"/>
          <w:szCs w:val="18"/>
          <w:b w:val="1"/>
          <w:bCs w:val="1"/>
          <w:color w:val="auto"/>
        </w:rPr>
        <w:t xml:space="preserve">Private passenger auto – </w:t>
      </w:r>
      <w:r>
        <w:rPr>
          <w:rFonts w:ascii="Arial" w:cs="Arial" w:eastAsia="Arial" w:hAnsi="Arial"/>
          <w:sz w:val="18"/>
          <w:szCs w:val="18"/>
          <w:color w:val="auto"/>
        </w:rPr>
        <w:t>Net premiums earned for the third quarter of 2021 increased $544, or 3.0%, from the third quarter of 2020. Net</w:t>
      </w:r>
      <w:r>
        <w:rPr>
          <w:rFonts w:ascii="Arial" w:cs="Arial" w:eastAsia="Arial" w:hAnsi="Arial"/>
          <w:sz w:val="18"/>
          <w:szCs w:val="18"/>
          <w:b w:val="1"/>
          <w:bCs w:val="1"/>
          <w:color w:val="auto"/>
        </w:rPr>
        <w:t xml:space="preserve"> </w:t>
      </w:r>
      <w:r>
        <w:rPr>
          <w:rFonts w:ascii="Arial" w:cs="Arial" w:eastAsia="Arial" w:hAnsi="Arial"/>
          <w:sz w:val="18"/>
          <w:szCs w:val="18"/>
          <w:color w:val="auto"/>
        </w:rPr>
        <w:t>premiums earned for the first nine months of 2021 increased $1,425, or 2.7%, from the first nine months of 2020. Premiums have been impacted by continued soft market conditions in the segment.</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Non-standard auto – </w:t>
      </w:r>
      <w:r>
        <w:rPr>
          <w:rFonts w:ascii="Arial" w:cs="Arial" w:eastAsia="Arial" w:hAnsi="Arial"/>
          <w:sz w:val="18"/>
          <w:szCs w:val="18"/>
          <w:color w:val="auto"/>
        </w:rPr>
        <w:t>Net premiums earned for the third quarter of 2021 increased $1,050, or 7.6%, from the third quarter of 2020. Net premiums</w:t>
      </w:r>
      <w:r>
        <w:rPr>
          <w:rFonts w:ascii="Arial" w:cs="Arial" w:eastAsia="Arial" w:hAnsi="Arial"/>
          <w:sz w:val="18"/>
          <w:szCs w:val="18"/>
          <w:b w:val="1"/>
          <w:bCs w:val="1"/>
          <w:color w:val="auto"/>
        </w:rPr>
        <w:t xml:space="preserve"> </w:t>
      </w:r>
      <w:r>
        <w:rPr>
          <w:rFonts w:ascii="Arial" w:cs="Arial" w:eastAsia="Arial" w:hAnsi="Arial"/>
          <w:sz w:val="18"/>
          <w:szCs w:val="18"/>
          <w:color w:val="auto"/>
        </w:rPr>
        <w:t>earned for the first nine months of 2021 increased $2,921, or 7.3%, from the first nine months of 2020. The segment has benefited from the improved economic environment in the Chicago market where our non-standard auto business is concentrated.</w:t>
      </w:r>
    </w:p>
    <w:p>
      <w:pPr>
        <w:spacing w:after="0" w:line="149"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b w:val="1"/>
          <w:bCs w:val="1"/>
          <w:color w:val="auto"/>
        </w:rPr>
        <w:t xml:space="preserve">Home and farm – </w:t>
      </w:r>
      <w:r>
        <w:rPr>
          <w:rFonts w:ascii="Arial" w:cs="Arial" w:eastAsia="Arial" w:hAnsi="Arial"/>
          <w:sz w:val="18"/>
          <w:szCs w:val="18"/>
          <w:color w:val="auto"/>
        </w:rPr>
        <w:t>Net premiums earned for the third quarter of 2021 increased $227, or 1.2%, from the third quarter of 2020. Net premiums</w:t>
      </w:r>
      <w:r>
        <w:rPr>
          <w:rFonts w:ascii="Arial" w:cs="Arial" w:eastAsia="Arial" w:hAnsi="Arial"/>
          <w:sz w:val="18"/>
          <w:szCs w:val="18"/>
          <w:b w:val="1"/>
          <w:bCs w:val="1"/>
          <w:color w:val="auto"/>
        </w:rPr>
        <w:t xml:space="preserve"> </w:t>
      </w:r>
      <w:r>
        <w:rPr>
          <w:rFonts w:ascii="Arial" w:cs="Arial" w:eastAsia="Arial" w:hAnsi="Arial"/>
          <w:sz w:val="18"/>
          <w:szCs w:val="18"/>
          <w:color w:val="auto"/>
        </w:rPr>
        <w:t>earned for the first nine months of 2021 increased $665, or 1.2%, from the first nine months of 2020. The relatively flat premium growth on both a quarterly and year-to-date basis was due to competitive market conditions in this segment and the related rate reduction taken in early 2021 in the Nodak Insurance farmowners line of business.</w:t>
      </w:r>
    </w:p>
    <w:p>
      <w:pPr>
        <w:spacing w:after="0" w:line="16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b w:val="1"/>
          <w:bCs w:val="1"/>
          <w:color w:val="auto"/>
        </w:rPr>
        <w:t xml:space="preserve">Crop – </w:t>
      </w:r>
      <w:r>
        <w:rPr>
          <w:rFonts w:ascii="Arial" w:cs="Arial" w:eastAsia="Arial" w:hAnsi="Arial"/>
          <w:sz w:val="18"/>
          <w:szCs w:val="18"/>
          <w:color w:val="auto"/>
        </w:rPr>
        <w:t>Net premiums earned for the third quarter of 2021 increased $3,005, or 30.9%, from the third quarter of 2020. Net premiums earned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nine months of 2021 decreased $12,326, or 36.8%, from the first nine months of 2020. The increase in third quarter 2021 was primarily the result of accelerated recognition of premiums earned in 2020 prior to the third quarter. This acceleration was due to high levels of prevented-plant claims in the spring of 2020 which shortened the period of risk. On a year-to-date basis, direct earned premiums increased by $2,774 primarily due to higher commodity prices on multi-peril crop business. However, this increase was offset by a large increase in ceded earned premiums as a result of significant multi-peril crop losses from this year’s extreme drought conditions across North and South Dakota. We also placed a higher number of multi-peril crop policies in the assigned risk fund of the Standard Reinsurance Agreement for 2021, resulting in higher levels of premiums and losses being ceded to the federal government.</w:t>
      </w:r>
    </w:p>
    <w:p>
      <w:pPr>
        <w:spacing w:after="0" w:line="178"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 xml:space="preserve">Commercial – </w:t>
      </w:r>
      <w:r>
        <w:rPr>
          <w:rFonts w:ascii="Arial" w:cs="Arial" w:eastAsia="Arial" w:hAnsi="Arial"/>
          <w:sz w:val="18"/>
          <w:szCs w:val="18"/>
          <w:color w:val="auto"/>
        </w:rPr>
        <w:t>Net premiums earned for the third quarter of 2021 increased $4,025, or 37.4%, from the third quarter of 2020. Net premiums</w:t>
      </w:r>
      <w:r>
        <w:rPr>
          <w:rFonts w:ascii="Arial" w:cs="Arial" w:eastAsia="Arial" w:hAnsi="Arial"/>
          <w:sz w:val="18"/>
          <w:szCs w:val="18"/>
          <w:b w:val="1"/>
          <w:bCs w:val="1"/>
          <w:color w:val="auto"/>
        </w:rPr>
        <w:t xml:space="preserve"> </w:t>
      </w:r>
      <w:r>
        <w:rPr>
          <w:rFonts w:ascii="Arial" w:cs="Arial" w:eastAsia="Arial" w:hAnsi="Arial"/>
          <w:sz w:val="18"/>
          <w:szCs w:val="18"/>
          <w:color w:val="auto"/>
        </w:rPr>
        <w:t>earned for the first nine months of 2021 increased $14,189, or 52.6%, from the first nine months of 2020. The increase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both periods was primarily driven by growth in our Westminster commercial business as a result of a continuation of favorable market conditions, the positive impact of Westminster’s financial size category, and the AM Best rating upgrade.</w:t>
      </w:r>
    </w:p>
    <w:p>
      <w:pPr>
        <w:spacing w:after="0" w:line="153" w:lineRule="exact"/>
        <w:rPr>
          <w:sz w:val="20"/>
          <w:szCs w:val="20"/>
          <w:color w:val="auto"/>
        </w:rPr>
      </w:pPr>
    </w:p>
    <w:p>
      <w:pPr>
        <w:jc w:val="both"/>
        <w:ind w:right="180" w:firstLine="648"/>
        <w:spacing w:after="0" w:line="289" w:lineRule="auto"/>
        <w:rPr>
          <w:sz w:val="20"/>
          <w:szCs w:val="20"/>
          <w:color w:val="auto"/>
        </w:rPr>
      </w:pPr>
      <w:r>
        <w:rPr>
          <w:rFonts w:ascii="Arial" w:cs="Arial" w:eastAsia="Arial" w:hAnsi="Arial"/>
          <w:sz w:val="17"/>
          <w:szCs w:val="17"/>
          <w:b w:val="1"/>
          <w:bCs w:val="1"/>
          <w:color w:val="auto"/>
        </w:rPr>
        <w:t xml:space="preserve">All other – </w:t>
      </w:r>
      <w:r>
        <w:rPr>
          <w:rFonts w:ascii="Arial" w:cs="Arial" w:eastAsia="Arial" w:hAnsi="Arial"/>
          <w:sz w:val="17"/>
          <w:szCs w:val="17"/>
          <w:color w:val="auto"/>
        </w:rPr>
        <w:t>Net premiums earned for the third quarter of 2021 decreased $20, or 0.8%, from the third quarter of 2020. Net premiums earned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first nine months of 2021 increased $595, or 8.5%, from the first nine months of 2020. Net premiums earned increased modestly through nine months related to our participation in an assumed domestic and international reinsurance pool of business.</w:t>
      </w:r>
    </w:p>
    <w:p>
      <w:pPr>
        <w:sectPr>
          <w:pgSz w:w="11900" w:h="16838" w:orient="portrait"/>
          <w:cols w:equalWidth="0" w:num="1">
            <w:col w:w="11240"/>
          </w:cols>
          <w:pgMar w:left="320" w:top="125" w:right="339" w:bottom="1440" w:gutter="0" w:footer="0" w:header="0"/>
        </w:sectPr>
      </w:pP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Net losses and LAE: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 losses and LAE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Assumed losses and LAE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Ceded losses and LAE</w:t>
      </w:r>
    </w:p>
    <w:p>
      <w:pPr>
        <w:spacing w:after="0" w:line="49" w:lineRule="exact"/>
        <w:rPr>
          <w:sz w:val="20"/>
          <w:szCs w:val="20"/>
          <w:color w:val="auto"/>
        </w:rPr>
      </w:pPr>
    </w:p>
    <w:p>
      <w:pPr>
        <w:jc w:val="right"/>
        <w:ind w:right="2860"/>
        <w:spacing w:after="0"/>
        <w:rPr>
          <w:sz w:val="20"/>
          <w:szCs w:val="20"/>
          <w:color w:val="auto"/>
        </w:rPr>
      </w:pPr>
      <w:r>
        <w:rPr>
          <w:rFonts w:ascii="Arial" w:cs="Arial" w:eastAsia="Arial" w:hAnsi="Arial"/>
          <w:sz w:val="18"/>
          <w:szCs w:val="18"/>
          <w:color w:val="auto"/>
        </w:rPr>
        <w:t>Total net losses and LAE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24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60" w:type="dxa"/>
            <w:vAlign w:val="bottom"/>
          </w:tcPr>
          <w:p>
            <w:pPr>
              <w:spacing w:after="0"/>
              <w:rPr>
                <w:sz w:val="20"/>
                <w:szCs w:val="20"/>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r>
      <w:tr>
        <w:trPr>
          <w:trHeight w:val="411"/>
        </w:trPr>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87,453</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59,936</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201,630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153,203</w:t>
            </w:r>
          </w:p>
        </w:tc>
      </w:tr>
      <w:tr>
        <w:trPr>
          <w:trHeight w:val="216"/>
        </w:trPr>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5,216</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3,538</w:t>
            </w:r>
          </w:p>
        </w:tc>
      </w:tr>
      <w:tr>
        <w:trPr>
          <w:trHeight w:val="230"/>
        </w:trPr>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(24,019)</w:t>
            </w:r>
          </w:p>
        </w:tc>
        <w:tc>
          <w:tcPr>
            <w:tcW w:w="2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(8,536)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(41,297)</w:t>
            </w: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(20,119)</w:t>
            </w:r>
          </w:p>
        </w:tc>
      </w:tr>
      <w:tr>
        <w:trPr>
          <w:trHeight w:val="209"/>
        </w:trPr>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65,742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165,549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136,622</w:t>
            </w:r>
          </w:p>
        </w:tc>
        <w:tc>
          <w:tcPr>
            <w:tcW w:w="60" w:type="dxa"/>
            <w:vAlign w:val="bottom"/>
          </w:tcPr>
          <w:p>
            <w:pPr>
              <w:spacing w:after="0"/>
              <w:rPr>
                <w:sz w:val="18"/>
                <w:szCs w:val="18"/>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-719455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-445135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-162560</wp:posOffset>
            </wp:positionV>
            <wp:extent cx="71323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5040" w:space="720"/>
            <w:col w:w="5480"/>
          </w:cols>
          <w:pgMar w:left="320" w:top="125" w:right="339" w:bottom="1440" w:gutter="0" w:footer="0" w:header="0"/>
          <w:type w:val="continuous"/>
        </w:sectPr>
      </w:pPr>
    </w:p>
    <w:p>
      <w:pPr>
        <w:ind w:right="100" w:firstLine="648"/>
        <w:spacing w:after="0" w:line="263" w:lineRule="auto"/>
        <w:rPr>
          <w:sz w:val="20"/>
          <w:szCs w:val="20"/>
          <w:color w:val="auto"/>
        </w:rPr>
      </w:pPr>
      <w:r>
        <w:rPr>
          <w:rFonts w:ascii="Arial" w:cs="Arial" w:eastAsia="Arial" w:hAnsi="Arial"/>
          <w:sz w:val="18"/>
          <w:szCs w:val="18"/>
          <w:color w:val="auto"/>
        </w:rPr>
        <w:t>NI Holdings’ net losses and LAE for the three months ended September 30, 2021 increased $11,906, or 22.1%, compared to the three months ended September 30, 2020. Net losses and LAE for the nine months ended September 30, 2021 increased $28,927, or 21.2%, compared to the nine months ended September 30, 2020.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57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losses and LAE: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17,130</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13,570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44,289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33,323</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23,560</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41,995</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30,835</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30,699</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25,433</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14,529</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3,676</w:t>
            </w:r>
          </w:p>
        </w:tc>
      </w:tr>
      <w:tr>
        <w:trPr>
          <w:trHeight w:val="20"/>
        </w:trPr>
        <w:tc>
          <w:tcPr>
            <w:tcW w:w="57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360"/>
              <w:spacing w:after="0"/>
              <w:rPr>
                <w:sz w:val="20"/>
                <w:szCs w:val="20"/>
                <w:color w:val="auto"/>
              </w:rPr>
            </w:pPr>
            <w:r>
              <w:rPr>
                <w:rFonts w:ascii="Arial" w:cs="Arial" w:eastAsia="Arial" w:hAnsi="Arial"/>
                <w:sz w:val="18"/>
                <w:szCs w:val="18"/>
                <w:color w:val="auto"/>
              </w:rPr>
              <w:t>Total net losses and LAE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65,742</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53,836</w:t>
            </w:r>
          </w:p>
        </w:tc>
        <w:tc>
          <w:tcPr>
            <w:tcW w:w="10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165,549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136,622</w:t>
            </w:r>
          </w:p>
        </w:tc>
      </w:tr>
      <w:tr>
        <w:trPr>
          <w:trHeight w:val="20"/>
        </w:trPr>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26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760" w:type="dxa"/>
            <w:vAlign w:val="bottom"/>
          </w:tcPr>
          <w:p>
            <w:pPr>
              <w:spacing w:after="0"/>
              <w:rPr>
                <w:sz w:val="20"/>
                <w:szCs w:val="20"/>
                <w:color w:val="auto"/>
              </w:rPr>
            </w:pPr>
          </w:p>
        </w:tc>
        <w:tc>
          <w:tcPr>
            <w:tcW w:w="2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6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57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124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75.6%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63.3%</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124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72.4%</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57.2%</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4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51.8%</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53.9%</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103.4%</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w:t>
            </w:r>
          </w:p>
        </w:tc>
      </w:tr>
      <w:tr>
        <w:trPr>
          <w:trHeight w:val="20"/>
        </w:trPr>
        <w:tc>
          <w:tcPr>
            <w:tcW w:w="57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760" w:type="dxa"/>
            <w:vAlign w:val="bottom"/>
          </w:tcPr>
          <w:p>
            <w:pPr>
              <w:ind w:left="360"/>
              <w:spacing w:after="0"/>
              <w:rPr>
                <w:sz w:val="20"/>
                <w:szCs w:val="20"/>
                <w:color w:val="auto"/>
              </w:rPr>
            </w:pPr>
            <w:r>
              <w:rPr>
                <w:rFonts w:ascii="Arial" w:cs="Arial" w:eastAsia="Arial" w:hAnsi="Arial"/>
                <w:sz w:val="18"/>
                <w:szCs w:val="18"/>
                <w:color w:val="auto"/>
              </w:rPr>
              <w:t>Total loss and LAE ratio</w:t>
            </w:r>
          </w:p>
        </w:tc>
        <w:tc>
          <w:tcPr>
            <w:tcW w:w="124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73.4%</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r>
      <w:tr>
        <w:trPr>
          <w:trHeight w:val="20"/>
        </w:trPr>
        <w:tc>
          <w:tcPr>
            <w:tcW w:w="57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Below are comments regarding significant changes in the net losses and LAE, and the net loss and LAE ratios, by business segment:</w:t>
      </w:r>
    </w:p>
    <w:p>
      <w:pPr>
        <w:spacing w:after="0" w:line="206"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b w:val="1"/>
          <w:bCs w:val="1"/>
          <w:color w:val="auto"/>
        </w:rPr>
        <w:t xml:space="preserve">Private passenger auto – </w:t>
      </w:r>
      <w:r>
        <w:rPr>
          <w:rFonts w:ascii="Arial" w:cs="Arial" w:eastAsia="Arial" w:hAnsi="Arial"/>
          <w:sz w:val="18"/>
          <w:szCs w:val="18"/>
          <w:color w:val="auto"/>
        </w:rPr>
        <w:t>The net loss and LAE ratio deteriorated 17.0 percentage points and 18.6 percentage points in the three- and nine-month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ended September 30, 2021 compared to the same periods in 2020. The increase in both the three- and nine-month periods ended September 30, 2021 compared to the same periods in 2020 was a result of a return to average loss frequency due to increased miles driven by our insureds compared to 2020 when pandemic-related restrictions were still in place. Loss experience in 2021 has also been adversely impacted by an increase in uninsured/underinsured motorist liability claims frequency. The continued soft market has limited our ability to implement the needed rate increases while still remaining competitive.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9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b w:val="1"/>
          <w:bCs w:val="1"/>
          <w:color w:val="auto"/>
        </w:rPr>
        <w:t xml:space="preserve">Non-standard auto – </w:t>
      </w:r>
      <w:r>
        <w:rPr>
          <w:rFonts w:ascii="Arial" w:cs="Arial" w:eastAsia="Arial" w:hAnsi="Arial"/>
          <w:sz w:val="18"/>
          <w:szCs w:val="18"/>
          <w:color w:val="auto"/>
        </w:rPr>
        <w:t>The net loss and LAE ratio was relatively consistent with the prior year, improving 3.5 percentage points and deteriorating</w:t>
      </w:r>
      <w:r>
        <w:rPr>
          <w:rFonts w:ascii="Arial" w:cs="Arial" w:eastAsia="Arial" w:hAnsi="Arial"/>
          <w:sz w:val="18"/>
          <w:szCs w:val="18"/>
          <w:b w:val="1"/>
          <w:bCs w:val="1"/>
          <w:color w:val="auto"/>
        </w:rPr>
        <w:t xml:space="preserve"> </w:t>
      </w:r>
      <w:r>
        <w:rPr>
          <w:rFonts w:ascii="Arial" w:cs="Arial" w:eastAsia="Arial" w:hAnsi="Arial"/>
          <w:sz w:val="18"/>
          <w:szCs w:val="18"/>
          <w:color w:val="auto"/>
        </w:rPr>
        <w:t>1.5 percentage points in the three- and nine-month periods ended September 30, 2021 compared to the same periods in 2020. Direct Auto has experienced modest elevations in loss frequency and severity compared to 2020 despite increased miles being driven compared to 2020. Overall net losses and LAE have increased on both a quarterly and year-to-date basis due to strong year-to-date direct written premium growth at Direct Auto. These profitable results, on both a quarterly and year-to-date-basis, have been offset by Primero’s higher loss frequency and severity due largely to the continued economic challenges in the Las Vegas market.</w:t>
      </w:r>
    </w:p>
    <w:p>
      <w:pPr>
        <w:spacing w:after="0" w:line="174" w:lineRule="exact"/>
        <w:rPr>
          <w:sz w:val="20"/>
          <w:szCs w:val="20"/>
          <w:color w:val="auto"/>
        </w:rPr>
      </w:pPr>
    </w:p>
    <w:p>
      <w:pPr>
        <w:ind w:right="20" w:firstLine="648"/>
        <w:spacing w:after="0" w:line="314" w:lineRule="auto"/>
        <w:rPr>
          <w:sz w:val="20"/>
          <w:szCs w:val="20"/>
          <w:color w:val="auto"/>
        </w:rPr>
      </w:pPr>
      <w:r>
        <w:rPr>
          <w:rFonts w:ascii="Arial" w:cs="Arial" w:eastAsia="Arial" w:hAnsi="Arial"/>
          <w:sz w:val="16"/>
          <w:szCs w:val="16"/>
          <w:b w:val="1"/>
          <w:bCs w:val="1"/>
          <w:color w:val="auto"/>
        </w:rPr>
        <w:t xml:space="preserve">Home and farm – </w:t>
      </w:r>
      <w:r>
        <w:rPr>
          <w:rFonts w:ascii="Arial" w:cs="Arial" w:eastAsia="Arial" w:hAnsi="Arial"/>
          <w:sz w:val="16"/>
          <w:szCs w:val="16"/>
          <w:color w:val="auto"/>
        </w:rPr>
        <w:t>The net loss and LAE ratio deteriorated 13.6 percentage points and 19.7 percentage points in the three- and nine-month periods</w:t>
      </w:r>
      <w:r>
        <w:rPr>
          <w:rFonts w:ascii="Arial" w:cs="Arial" w:eastAsia="Arial" w:hAnsi="Arial"/>
          <w:sz w:val="16"/>
          <w:szCs w:val="16"/>
          <w:b w:val="1"/>
          <w:bCs w:val="1"/>
          <w:color w:val="auto"/>
        </w:rPr>
        <w:t xml:space="preserve"> </w:t>
      </w:r>
      <w:r>
        <w:rPr>
          <w:rFonts w:ascii="Arial" w:cs="Arial" w:eastAsia="Arial" w:hAnsi="Arial"/>
          <w:sz w:val="16"/>
          <w:szCs w:val="16"/>
          <w:color w:val="auto"/>
        </w:rPr>
        <w:t>ended September 30, 2021 compared to the same periods in 2020. This increase was driven by above average weather-related losses in 2021. These losses included the June catastrophe event in North Dakota, along with significant weather-related losses in Nebraska and South Dakota during the third quarter.</w:t>
      </w:r>
    </w:p>
    <w:p>
      <w:pPr>
        <w:spacing w:after="0" w:line="128" w:lineRule="exact"/>
        <w:rPr>
          <w:sz w:val="20"/>
          <w:szCs w:val="20"/>
          <w:color w:val="auto"/>
        </w:rPr>
      </w:pPr>
    </w:p>
    <w:p>
      <w:pPr>
        <w:ind w:right="320" w:firstLine="648"/>
        <w:spacing w:after="0" w:line="303" w:lineRule="auto"/>
        <w:rPr>
          <w:sz w:val="20"/>
          <w:szCs w:val="20"/>
          <w:color w:val="auto"/>
        </w:rPr>
      </w:pPr>
      <w:r>
        <w:rPr>
          <w:rFonts w:ascii="Arial" w:cs="Arial" w:eastAsia="Arial" w:hAnsi="Arial"/>
          <w:sz w:val="16"/>
          <w:szCs w:val="16"/>
          <w:b w:val="1"/>
          <w:bCs w:val="1"/>
          <w:color w:val="auto"/>
        </w:rPr>
        <w:t xml:space="preserve">Crop – </w:t>
      </w:r>
      <w:r>
        <w:rPr>
          <w:rFonts w:ascii="Arial" w:cs="Arial" w:eastAsia="Arial" w:hAnsi="Arial"/>
          <w:sz w:val="16"/>
          <w:szCs w:val="16"/>
          <w:color w:val="auto"/>
        </w:rPr>
        <w:t>The net loss and LAE ratio deteriorated 3.2 percentage points and 14.1 percentage points in the three- and nine-month periods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2021 compared to the same periods in 2020. The extreme drought conditions across North and South Dakota resulted in significantly elevated multi-peril crop losses. However, in anticipation of the dry weather, we placed a higher number of multi-peril crop policies in the assigned risk fund of the Standard Reinsurance Agreement for 2021, resulting in increased premiums and losses ceded to the federal government.</w:t>
      </w:r>
    </w:p>
    <w:p>
      <w:pPr>
        <w:spacing w:after="0" w:line="124"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 xml:space="preserve">Commercial – </w:t>
      </w:r>
      <w:r>
        <w:rPr>
          <w:rFonts w:ascii="Arial" w:cs="Arial" w:eastAsia="Arial" w:hAnsi="Arial"/>
          <w:sz w:val="17"/>
          <w:szCs w:val="17"/>
          <w:color w:val="auto"/>
        </w:rPr>
        <w:t>The net loss and LAE ratio deteriorated 0.7 percentage points and 7.9 percentage points in the three- and nine-month periods ended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2021 compared to the same periods in 2020. This increase on a year-to-date basis was primarily due to increased fire loss frequency in the Westminster book of business during the first and second quarters. Westminster had a strong third quarter as the Company continued to benefit from favorable market conditions, along with experiencing improved loss frequency and severity.</w:t>
      </w:r>
    </w:p>
    <w:p>
      <w:pPr>
        <w:spacing w:after="0" w:line="151"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All other – </w:t>
      </w:r>
      <w:r>
        <w:rPr>
          <w:rFonts w:ascii="Arial" w:cs="Arial" w:eastAsia="Arial" w:hAnsi="Arial"/>
          <w:sz w:val="18"/>
          <w:szCs w:val="18"/>
          <w:color w:val="auto"/>
        </w:rPr>
        <w:t>The net loss and LAE ratio deteriorated 0.2 percentage points and 20.5 percentage points in the three- and nine-month periods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2021 compared to the same periods in 2020. The increase in both the three- and nine-month periods ended September 30, 2021 compared to the same periods in 2020 was primarily due to elevated loss severity in our assumed domestic and international reinsurance pool of business, in particular anticipated losses associated with Hurricane Ida.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9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$3,204, or 14.5%, during the three months ended September 30, 2021 compared to the three months ended September 30, 2020. These expenses increased $8,247, or 13.3%, during the nine months ended September 30, 2021 compared to the nine months ended September 30,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7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70,414</w:t>
            </w: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(8,717)</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(14,742)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(47,879)</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(47,763)</w:t>
            </w:r>
          </w:p>
        </w:tc>
      </w:tr>
      <w:tr>
        <w:trPr>
          <w:trHeight w:val="20"/>
        </w:trPr>
        <w:tc>
          <w:tcPr>
            <w:tcW w:w="5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and general expenses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23,804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22,651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12,898</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15,061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46,371</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39,277</w:t>
            </w:r>
          </w:p>
        </w:tc>
      </w:tr>
      <w:tr>
        <w:trPr>
          <w:trHeight w:val="20"/>
        </w:trPr>
        <w:tc>
          <w:tcPr>
            <w:tcW w:w="5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reported expenses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22,144</w:t>
            </w: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70,175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61,928</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Underlying expenses for the three months ended September 30, 2021 decreased $658, or 3.0%, compared to a year ago. Underlying expenses for the nine months ended September 30, 2021 increased $1,269, or 1.8%, compared to a year ago.</w:t>
      </w:r>
    </w:p>
    <w:p>
      <w:pPr>
        <w:spacing w:after="0" w:line="15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Expense deferrals were $6,025 lower in the three months ended September 30, 2021 compared to 2020, while amortization of those costs was $2,163 lower in 2021. Expense deferrals were $116 higher in the nine months ended September 30, 2021 compared to 2020, while amortization of those costs was $7,094 higher in 2021. These nine-month increases were primarily due to strong year-over-year growth in our commercial and non-standard auto segments which generally pay higher agent commissions than our other lines, partially offset by adjustments to our methodology primarily impacting our private passenger auto and home and farm segments. In addition, under acquisition accounting, there was no deferred policy acquisition costs reported on the acquisition balance sheet of Westminster, which had the impact of decreasing 2020 amortization of deferred policy acquisition costs relative to future years. Offsetting this impact, the Company recorded an intangible asset, referred to as the value of business acquired, on its acquisition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balance sheet which was amortized during 2020 as a component of other underwriting and general expenses. As our mix of business has shifted and these premiums continue to be earned, the related deferral and amortization of expenses have also changed.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ind w:left="660"/>
              <w:spacing w:after="0"/>
              <w:rPr>
                <w:sz w:val="20"/>
                <w:szCs w:val="20"/>
                <w:color w:val="auto"/>
              </w:rPr>
            </w:pPr>
            <w:r>
              <w:rPr>
                <w:rFonts w:ascii="Arial" w:cs="Arial" w:eastAsia="Arial" w:hAnsi="Arial"/>
                <w:sz w:val="18"/>
                <w:szCs w:val="18"/>
                <w:i w:val="1"/>
                <w:iCs w:val="1"/>
                <w:color w:val="auto"/>
              </w:rPr>
              <w:t>Underwriting Gain (Loss) and Combined Ratio</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3"/>
        </w:trPr>
        <w:tc>
          <w:tcPr>
            <w:tcW w:w="5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57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(4,531)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(726 )</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5,061</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(4,007)</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(396 )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(4,704)</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8,000</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596</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(649 )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1,622</w:t>
            </w:r>
          </w:p>
        </w:tc>
      </w:tr>
      <w:tr>
        <w:trPr>
          <w:trHeight w:val="20"/>
        </w:trPr>
        <w:tc>
          <w:tcPr>
            <w:tcW w:w="57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760" w:type="dxa"/>
            <w:vAlign w:val="bottom"/>
          </w:tcPr>
          <w:p>
            <w:pPr>
              <w:ind w:left="360"/>
              <w:spacing w:after="0"/>
              <w:rPr>
                <w:sz w:val="20"/>
                <w:szCs w:val="20"/>
                <w:color w:val="auto"/>
              </w:rPr>
            </w:pPr>
            <w:r>
              <w:rPr>
                <w:rFonts w:ascii="Arial" w:cs="Arial" w:eastAsia="Arial" w:hAnsi="Arial"/>
                <w:sz w:val="18"/>
                <w:szCs w:val="18"/>
                <w:color w:val="auto"/>
              </w:rPr>
              <w:t>Total underwriting gain (loss)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(8,917)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(2,638 )</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(14,135)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15,570</w:t>
            </w:r>
          </w:p>
        </w:tc>
      </w:tr>
      <w:tr>
        <w:trPr>
          <w:trHeight w:val="20"/>
        </w:trPr>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72"/>
        </w:trPr>
        <w:tc>
          <w:tcPr>
            <w:tcW w:w="5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57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Combined ratio:</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90.4%</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121.3%</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85.2%</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97.8%</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w:t>
            </w:r>
          </w:p>
        </w:tc>
      </w:tr>
      <w:tr>
        <w:trPr>
          <w:trHeight w:val="20"/>
        </w:trPr>
        <w:tc>
          <w:tcPr>
            <w:tcW w:w="57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360"/>
              <w:spacing w:after="0"/>
              <w:rPr>
                <w:sz w:val="20"/>
                <w:szCs w:val="20"/>
                <w:color w:val="auto"/>
              </w:rPr>
            </w:pPr>
            <w:r>
              <w:rPr>
                <w:rFonts w:ascii="Arial" w:cs="Arial" w:eastAsia="Arial" w:hAnsi="Arial"/>
                <w:sz w:val="18"/>
                <w:szCs w:val="18"/>
                <w:color w:val="auto"/>
              </w:rPr>
              <w:t>Combined ratio</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92.7%</w:t>
            </w:r>
          </w:p>
        </w:tc>
      </w:tr>
      <w:tr>
        <w:trPr>
          <w:trHeight w:val="20"/>
        </w:trPr>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results from underwriting operations decreased $6,279 and $29,705 for the three- and nine-month periods ended September 30, 2021 compared to the same periods in 2020.</w:t>
      </w:r>
    </w:p>
    <w:p>
      <w:pPr>
        <w:spacing w:after="0" w:line="15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overall combined ratio deteriorated 7.3 percentage points and 13.7 percentage points in the three- and nine-month periods ended September 30, 2021 compared to the same periods in 2020.</w:t>
      </w:r>
    </w:p>
    <w:p>
      <w:pPr>
        <w:spacing w:after="0" w:line="143"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primary drivers behind the elevated combined ratio on both a quarterly and year-to-date basis were the extreme drought conditions across North and South Dakota on our multi-peril crop business; above average weather-related losses in North Dakota, South Dakota, and Nebraska; the continued return to average frequency of private passenger and non-standard auto physical damage claims; and higher levels of uninsured/underinsured motorist liability claims in private passenger auto.</w:t>
      </w:r>
    </w:p>
    <w:p>
      <w:pPr>
        <w:spacing w:after="0" w:line="17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These elevated losses have been partially offset by continued profitable and strong growth from Direct Auto in the non-standard segment, along with increased profitability and growth from Westminster’s commercial business, particularly during the third quarter.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198" w:lineRule="exact"/>
        <w:rPr>
          <w:sz w:val="20"/>
          <w:szCs w:val="20"/>
          <w:color w:val="auto"/>
        </w:rPr>
      </w:pPr>
    </w:p>
    <w:p>
      <w:pPr>
        <w:ind w:right="400" w:firstLine="648"/>
        <w:spacing w:after="0" w:line="311" w:lineRule="auto"/>
        <w:rPr>
          <w:sz w:val="20"/>
          <w:szCs w:val="20"/>
          <w:color w:val="auto"/>
        </w:rPr>
      </w:pPr>
      <w:r>
        <w:rPr>
          <w:rFonts w:ascii="Arial" w:cs="Arial" w:eastAsia="Arial" w:hAnsi="Arial"/>
          <w:sz w:val="16"/>
          <w:szCs w:val="16"/>
          <w:color w:val="auto"/>
        </w:rPr>
        <w:t>NI Holdings had fee and other income of $501 for the three months ended September 30, 2021, compared to $524 for the three months ended September 30, 2020. Fee income attributable to the non-standard auto segment is a key component in measuring its profitability. Fee income on this business decreased slightly to $301 for the three months ended September 30, 2021 from $336 for the three months ended September 30, 2020.</w:t>
      </w:r>
    </w:p>
    <w:p>
      <w:pPr>
        <w:spacing w:after="0" w:line="13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NI Holdings had fee and other income of $1,338 for the nine months ended September 30, 2021, compared to $1,332 for the nine months ended September 30, 2020. Fee income on the non-standard auto business increased slightly to $994 for the nine months ended September 30, 2021 from $993 for the nine months ended September 30, 2020.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21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Average cash and invested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investment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expenses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investment income</w:t>
      </w:r>
    </w:p>
    <w:p>
      <w:pPr>
        <w:spacing w:after="0" w:line="225" w:lineRule="exact"/>
        <w:rPr>
          <w:sz w:val="20"/>
          <w:szCs w:val="20"/>
          <w:color w:val="auto"/>
        </w:rPr>
      </w:pPr>
    </w:p>
    <w:p>
      <w:pPr>
        <w:ind w:right="1520"/>
        <w:spacing w:after="0" w:line="381" w:lineRule="auto"/>
        <w:rPr>
          <w:sz w:val="20"/>
          <w:szCs w:val="20"/>
          <w:color w:val="auto"/>
        </w:rPr>
      </w:pPr>
      <w:r>
        <w:rPr>
          <w:rFonts w:ascii="Arial" w:cs="Arial" w:eastAsia="Arial" w:hAnsi="Arial"/>
          <w:sz w:val="15"/>
          <w:szCs w:val="15"/>
          <w:color w:val="auto"/>
        </w:rPr>
        <w:t>Gross return on average cash and invested assets Net return on average cash and invested assets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242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60" w:type="dxa"/>
            <w:vAlign w:val="bottom"/>
          </w:tcPr>
          <w:p>
            <w:pPr>
              <w:spacing w:after="0"/>
              <w:rPr>
                <w:sz w:val="20"/>
                <w:szCs w:val="20"/>
                <w:color w:val="auto"/>
              </w:rPr>
            </w:pPr>
          </w:p>
        </w:tc>
        <w:tc>
          <w:tcPr>
            <w:tcW w:w="242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r>
      <w:tr>
        <w:trPr>
          <w:trHeight w:val="210"/>
        </w:trPr>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499,226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437,845</w:t>
            </w:r>
          </w:p>
        </w:tc>
        <w:tc>
          <w:tcPr>
            <w:tcW w:w="20" w:type="dxa"/>
            <w:vAlign w:val="bottom"/>
          </w:tcPr>
          <w:p>
            <w:pPr>
              <w:spacing w:after="0"/>
              <w:rPr>
                <w:sz w:val="18"/>
                <w:szCs w:val="18"/>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2,536</w:t>
            </w:r>
          </w:p>
        </w:tc>
        <w:tc>
          <w:tcPr>
            <w:tcW w:w="8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2,514</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8,025</w:t>
            </w:r>
          </w:p>
        </w:tc>
      </w:tr>
      <w:tr>
        <w:trPr>
          <w:trHeight w:val="230"/>
        </w:trPr>
        <w:tc>
          <w:tcPr>
            <w:tcW w:w="2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823</w:t>
            </w:r>
          </w:p>
        </w:tc>
        <w:tc>
          <w:tcPr>
            <w:tcW w:w="2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2,560</w:t>
            </w:r>
          </w:p>
        </w:tc>
        <w:tc>
          <w:tcPr>
            <w:tcW w:w="2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2,150</w:t>
            </w:r>
          </w:p>
        </w:tc>
      </w:tr>
      <w:tr>
        <w:trPr>
          <w:trHeight w:val="209"/>
        </w:trPr>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1,713</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20" w:type="dxa"/>
            <w:vAlign w:val="bottom"/>
          </w:tcPr>
          <w:p>
            <w:pPr>
              <w:spacing w:after="0"/>
              <w:rPr>
                <w:sz w:val="18"/>
                <w:szCs w:val="18"/>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6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30"/>
        </w:trPr>
        <w:tc>
          <w:tcPr>
            <w:tcW w:w="2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-1156970</wp:posOffset>
            </wp:positionV>
            <wp:extent cx="713232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-856615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-574040</wp:posOffset>
            </wp:positionV>
            <wp:extent cx="713232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-273685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5040" w:space="720"/>
            <w:col w:w="5480"/>
          </w:cols>
          <w:pgMar w:left="320" w:top="125" w:right="339" w:bottom="1440" w:gutter="0" w:footer="0" w:header="0"/>
          <w:type w:val="continuous"/>
        </w:sectPr>
      </w:pPr>
    </w:p>
    <w:p>
      <w:pPr>
        <w:ind w:right="60" w:firstLine="648"/>
        <w:spacing w:after="0" w:line="259" w:lineRule="auto"/>
        <w:rPr>
          <w:sz w:val="20"/>
          <w:szCs w:val="20"/>
          <w:color w:val="auto"/>
        </w:rPr>
      </w:pPr>
      <w:r>
        <w:rPr>
          <w:rFonts w:ascii="Arial" w:cs="Arial" w:eastAsia="Arial" w:hAnsi="Arial"/>
          <w:sz w:val="18"/>
          <w:szCs w:val="18"/>
          <w:color w:val="auto"/>
        </w:rPr>
        <w:t>Investment income, net of investment expense, decreased $173 for the three months ended September 30, 2021 compared to the three months ended September 30, 2020. Investment income, net of investment expense, decreased $916 for the nine months ended September 30, 2021 compared to the nine months ended September 30, 2020. These decreases were primarily driven by the continued impact of lower reinvestment rates in the fixed income portfolio.</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Company's fixed-income portfolio book yield declined 27 basis points year-over-year, from 2.72% at September 30, 2020 to 2.45% at September 30, 2021. This was driven by a combination of factors, including a persistent low reinvestment rate environment, ongoing maturities of existing holdings with high embedded yields, and significant cash inflows to the investment portfolio from the Company's business operations. The dividend yield of the equity portfolio remained constant despite the ongoing rally in U.S. equity markets given a rotation of the equity allocation into high dividend equities.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ind w:left="660"/>
              <w:spacing w:after="0"/>
              <w:rPr>
                <w:sz w:val="20"/>
                <w:szCs w:val="20"/>
                <w:color w:val="auto"/>
              </w:rPr>
            </w:pPr>
            <w:r>
              <w:rPr>
                <w:rFonts w:ascii="Arial" w:cs="Arial" w:eastAsia="Arial" w:hAnsi="Arial"/>
                <w:sz w:val="18"/>
                <w:szCs w:val="18"/>
                <w:i w:val="1"/>
                <w:iCs w:val="1"/>
                <w:color w:val="auto"/>
              </w:rPr>
              <w:t>Net Capital Gain on Investments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5760" w:type="dxa"/>
            <w:vAlign w:val="bottom"/>
          </w:tcPr>
          <w:p>
            <w:pPr>
              <w:ind w:left="660"/>
              <w:spacing w:after="0"/>
              <w:rPr>
                <w:sz w:val="20"/>
                <w:szCs w:val="20"/>
                <w:color w:val="auto"/>
              </w:rPr>
            </w:pPr>
            <w:r>
              <w:rPr>
                <w:rFonts w:ascii="Arial" w:cs="Arial" w:eastAsia="Arial" w:hAnsi="Arial"/>
                <w:sz w:val="18"/>
                <w:szCs w:val="18"/>
                <w:color w:val="auto"/>
              </w:rPr>
              <w:t>Net capital gain on investments consisted of the following:</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3"/>
        </w:trPr>
        <w:tc>
          <w:tcPr>
            <w:tcW w:w="5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7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8"/>
              </w:rPr>
              <w:t>Gross realized losses, excluding other-than-temporary impairment losses</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(1,622)</w:t>
            </w:r>
          </w:p>
        </w:tc>
      </w:tr>
      <w:tr>
        <w:trPr>
          <w:trHeight w:val="20"/>
        </w:trPr>
        <w:tc>
          <w:tcPr>
            <w:tcW w:w="5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 gain on investments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2,021</w:t>
            </w:r>
          </w:p>
        </w:tc>
      </w:tr>
      <w:tr>
        <w:trPr>
          <w:trHeight w:val="196"/>
        </w:trPr>
        <w:tc>
          <w:tcPr>
            <w:tcW w:w="576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Change in net unrealized gain on equity securities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r>
      <w:tr>
        <w:trPr>
          <w:trHeight w:val="20"/>
        </w:trPr>
        <w:tc>
          <w:tcPr>
            <w:tcW w:w="57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760" w:type="dxa"/>
            <w:vAlign w:val="bottom"/>
          </w:tcPr>
          <w:p>
            <w:pPr>
              <w:ind w:left="180"/>
              <w:spacing w:after="0"/>
              <w:rPr>
                <w:sz w:val="20"/>
                <w:szCs w:val="20"/>
                <w:color w:val="auto"/>
              </w:rPr>
            </w:pPr>
            <w:r>
              <w:rPr>
                <w:rFonts w:ascii="Arial" w:cs="Arial" w:eastAsia="Arial" w:hAnsi="Arial"/>
                <w:sz w:val="18"/>
                <w:szCs w:val="18"/>
                <w:color w:val="auto"/>
              </w:rPr>
              <w:t>Net capital gain on investments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5,102</w:t>
            </w:r>
          </w:p>
        </w:tc>
        <w:tc>
          <w:tcPr>
            <w:tcW w:w="140" w:type="dxa"/>
            <w:vAlign w:val="bottom"/>
          </w:tcPr>
          <w:p>
            <w:pPr>
              <w:spacing w:after="0"/>
              <w:rPr>
                <w:sz w:val="18"/>
                <w:szCs w:val="18"/>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10,734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1,380</w:t>
            </w:r>
          </w:p>
        </w:tc>
      </w:tr>
      <w:tr>
        <w:trPr>
          <w:trHeight w:val="20"/>
        </w:trPr>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680" w:firstLine="648"/>
        <w:spacing w:after="0" w:line="263" w:lineRule="auto"/>
        <w:rPr>
          <w:sz w:val="20"/>
          <w:szCs w:val="20"/>
          <w:color w:val="auto"/>
        </w:rPr>
      </w:pPr>
      <w:r>
        <w:rPr>
          <w:rFonts w:ascii="Arial" w:cs="Arial" w:eastAsia="Arial" w:hAnsi="Arial"/>
          <w:sz w:val="18"/>
          <w:szCs w:val="18"/>
          <w:color w:val="auto"/>
        </w:rPr>
        <w:t>NI Holdings had net realized capital gains on investment of $2,733 and $9,510 for the three and nine months ended September 30, 2021, respectively, compared to net realized capital gains of $636 and $2,021 for the three and nine months ended September 30, 2020, respectively. The Company reported no other-than-temporary losses during any of the periods presented.</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NI Holdings reported a net loss of $2,511 and a net gain of $1,224 attributed to the change in unrealized appreciation of its equity securities for the three and nine months ended September 30, 2021, respectively, compared to a net gain of $4,466 and a net loss of $641 for the three and nine months ended September 30, 2020, respectively. The reduction in net gain compared to the prior year quarter was a reflection of the market recovery in the third quarter of 2020 following the severe declines experienced at the height of the COVID-19 lockdown. Additionally, net realized gains taken on sales during third quarter 2021 contributed to the reduction in unrealized gains as equity markets remained relatively flat. From a year-to-date comparison perspective, the net gain increased in 2021 due to the continued strong performance in the U.S. equity markets in comparison with 2020.</w:t>
      </w:r>
    </w:p>
    <w:p>
      <w:pPr>
        <w:spacing w:after="0" w:line="13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Company’s fixed income securities are classified as available for sale because we will, from time to time, make sales of securities that are not impaired, consistent with our investment goals and policies. At September 30, 2021, the Company had net unrealized gains on fixed income securities of $10,062 and net unrealized gains on equity securities of $28,973.</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At December 31, 2020, the Company had net unrealized gains on fixed income securities of $16,505 and net unrealized gains on equity securities of $27,749.</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(Loss) before Income Taxes</w:t>
      </w:r>
    </w:p>
    <w:p>
      <w:pPr>
        <w:spacing w:after="0" w:line="212"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For the three months ended September 30, 2021, NI Holdings had pre-tax loss of $6,481 compared to pre-tax income of $4,874 for the three months ended September 30, 2020. The decrease in pre-tax results was largely attributable to reduced underwriting profitability.</w:t>
      </w:r>
    </w:p>
    <w:p>
      <w:pPr>
        <w:spacing w:after="0" w:line="11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For the nine months ended September 30, 2021, NI Holdings had pre-tax income of $2,896 compared to pre-tax income of $24,157 for the nine months ended September 30, 2020. The decrease in pre-tax results was largely attributable to reduced underwriting profitability, partially offset by the increase in net capital gain on investments.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 Expense (Benefit)</w:t>
      </w:r>
    </w:p>
    <w:p>
      <w:pPr>
        <w:spacing w:after="0" w:line="21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NI Holdings recorded income tax benefit of $1,622 for the three months ended September 30, 2021, compared to income tax expense of $1,188 for the three months ended September 30, 2020. Our effective tax rate for the third quarter of 2021 was 25.0% compared to an effective tax rate of 24.4% for the third quarter of 2020.</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NI Holdings recorded income tax expense of $707 for the nine months ended September 30, 2021, compared to income tax expense of $5,259 for the nine months ended September 30, 2020. Our effective tax rate for the first nine months of 2021 was 24.4% compared to an effective tax rate of 21.8% for the first nine months of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portion of the effective tax rate is due to Illinois state income taxes.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 (Loss)</w:t>
      </w:r>
    </w:p>
    <w:p>
      <w:pPr>
        <w:spacing w:after="0" w:line="198"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For the three months ended September 30, 2021, NI Holdings had net loss before non-controlling interest of $4,859 compared to net income of $3,686 for the three months ended September 30, 2020. This decrease was primarily attributable to reduced underwriting profitability.</w:t>
      </w:r>
    </w:p>
    <w:p>
      <w:pPr>
        <w:spacing w:after="0" w:line="13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the nine months ended September 30, 2021, NI Holdings had net income before non-controlling interest of $2,189 compared to net income of $18,898 for the nine months ended September 30, 2020. This decrease in net income was primarily attributable to reduced underwriting profitability, partially offset by the increase in net capital gain on investments.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198"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For the three months ended September 30, 2021, NI Holdings had annualized return on average equity, after non-controlling interest, of -5.5% compared to annualized return on average equity, after non-controlling interest, of 4.6% for the three months ended September 30, 2020.</w:t>
      </w:r>
    </w:p>
    <w:p>
      <w:pPr>
        <w:spacing w:after="0" w:line="133"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For the nine months ended September 30, 2021, NI Holdings had annualized return on average equity, after non-controlling interest, of 0.9% compared to annualized return on average equity, after non-controlling interest, of 8.0% for the nine months ended September 30, 2020.</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Average equity is calculated as the average between beginning and ending equity excluding non-controlling interest for the period.</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6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01"/>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Financial Position</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7440" w:type="dxa"/>
            <w:vAlign w:val="bottom"/>
            <w:gridSpan w:val="2"/>
          </w:tcPr>
          <w:p>
            <w:pPr>
              <w:ind w:left="660"/>
              <w:spacing w:after="0"/>
              <w:rPr>
                <w:sz w:val="20"/>
                <w:szCs w:val="20"/>
                <w:color w:val="auto"/>
              </w:rPr>
            </w:pPr>
            <w:r>
              <w:rPr>
                <w:rFonts w:ascii="Arial" w:cs="Arial" w:eastAsia="Arial" w:hAnsi="Arial"/>
                <w:sz w:val="18"/>
                <w:szCs w:val="18"/>
                <w:color w:val="auto"/>
              </w:rPr>
              <w:t>The major components of NI Holdings’ financial position are as follows:</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September 30, 2021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2020</w:t>
            </w:r>
          </w:p>
        </w:tc>
      </w:tr>
      <w:tr>
        <w:trPr>
          <w:trHeight w:val="210"/>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Cash and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495,676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494,363</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48,523</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Deferred policy acquisition costs</w:t>
            </w:r>
          </w:p>
        </w:tc>
        <w:tc>
          <w:tcPr>
            <w:tcW w:w="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25,476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23,968</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Reinsurance recoverables on losses</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8,710</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9,949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9,899</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Receivable from Federal Crop Insurance Corporation</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6,646</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Goodwill and other intangibles</w:t>
            </w:r>
          </w:p>
        </w:tc>
        <w:tc>
          <w:tcPr>
            <w:tcW w:w="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17,840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18,194</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7,300</w:t>
            </w:r>
          </w:p>
        </w:tc>
      </w:tr>
      <w:tr>
        <w:trPr>
          <w:trHeight w:val="20"/>
        </w:trPr>
        <w:tc>
          <w:tcPr>
            <w:tcW w:w="1280" w:type="dxa"/>
            <w:vAlign w:val="bottom"/>
            <w:shd w:val="clear" w:color="auto" w:fill="CCEEFF"/>
          </w:tcPr>
          <w:p>
            <w:pPr>
              <w:spacing w:after="0" w:line="20" w:lineRule="exact"/>
              <w:rPr>
                <w:sz w:val="1"/>
                <w:szCs w:val="1"/>
                <w:color w:val="auto"/>
              </w:rPr>
            </w:pPr>
          </w:p>
        </w:tc>
        <w:tc>
          <w:tcPr>
            <w:tcW w:w="6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744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696,486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617,603</w:t>
            </w:r>
          </w:p>
        </w:tc>
      </w:tr>
      <w:tr>
        <w:trPr>
          <w:trHeight w:val="20"/>
        </w:trPr>
        <w:tc>
          <w:tcPr>
            <w:tcW w:w="12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179,576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105,750</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Unearned premiums</w:t>
            </w:r>
          </w:p>
        </w:tc>
        <w:tc>
          <w:tcPr>
            <w:tcW w:w="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137,099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119,363</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8,757</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Westminster consideration payable</w:t>
            </w:r>
          </w:p>
        </w:tc>
        <w:tc>
          <w:tcPr>
            <w:tcW w:w="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12,920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19,287</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15,574</w:t>
            </w:r>
          </w:p>
        </w:tc>
      </w:tr>
      <w:tr>
        <w:trPr>
          <w:trHeight w:val="20"/>
        </w:trPr>
        <w:tc>
          <w:tcPr>
            <w:tcW w:w="1280" w:type="dxa"/>
            <w:vAlign w:val="bottom"/>
            <w:shd w:val="clear" w:color="auto" w:fill="CCEEFF"/>
          </w:tcPr>
          <w:p>
            <w:pPr>
              <w:spacing w:after="0" w:line="20" w:lineRule="exact"/>
              <w:rPr>
                <w:sz w:val="1"/>
                <w:szCs w:val="1"/>
                <w:color w:val="auto"/>
              </w:rPr>
            </w:pPr>
          </w:p>
        </w:tc>
        <w:tc>
          <w:tcPr>
            <w:tcW w:w="6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440" w:type="dxa"/>
            <w:vAlign w:val="bottom"/>
            <w:gridSpan w:val="2"/>
          </w:tcPr>
          <w:p>
            <w:pPr>
              <w:ind w:left="36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352,510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268,731</w:t>
            </w:r>
          </w:p>
        </w:tc>
      </w:tr>
      <w:tr>
        <w:trPr>
          <w:trHeight w:val="216"/>
        </w:trPr>
        <w:tc>
          <w:tcPr>
            <w:tcW w:w="12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343,976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348,872</w:t>
            </w:r>
          </w:p>
        </w:tc>
      </w:tr>
      <w:tr>
        <w:trPr>
          <w:trHeight w:val="20"/>
        </w:trPr>
        <w:tc>
          <w:tcPr>
            <w:tcW w:w="12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7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696,486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617,603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At September 30, 2021, NI Holdings’ total assets increased by $78,883, or 12.8%, from December 31, 2020. Cash and investments increased slightly due to normal operations. Premiums and agents’ balances receivable increased due to the recognition of crop insurance written premiums. Reinsurance recoverables on losses increased primarily due to significantly higher multi-peril crop losses along with recoveries associated with the June catastrophe event in North Dakota. The receivable from the Federal Crop Insurance Corporation also increased due to the significantly higher multi-peril crop losses. Deferred policy acquisition costs increased primarily due to strong year-to-date premium growth in the non-standard auto and commercial segments.</w:t>
      </w:r>
    </w:p>
    <w:p>
      <w:pPr>
        <w:spacing w:after="0" w:line="179"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At September 30, 2021, total liabilities increased by $83,779, or 31.2%, from December 31, 2020. Unpaid losses and loss adjustment expenses increased due to higher loss experience during the first nine months of 2021, especially the multi-peril crop business. Unearned premiums increased due to an increase in direct written premiums in all segments including the multi-peril crop business. The first installment of $6,667 was paid to the former shareholder of Westminster during the first quarter of 2021. Other liabilities increased due to commission and other expense accruals.</w:t>
      </w:r>
    </w:p>
    <w:p>
      <w:pPr>
        <w:spacing w:after="0" w:line="14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Total shareholders’ equity decreased by $4,896 during the nine months ended September 30, 2021. The decrease in shareholders’ equity reflects a consolidated net income of $2,189 for the nine-month period, share repurchases of $3,211, and a decrease of $5,090 in the fair market value of our fixed income portfolio which generally fluctuates with market interest rates at the measurement dates.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Items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derives its revenue primarily from net premiums earned, net investment income, and net capital gain (loss) on investments.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and net premiums written</w:t>
      </w:r>
    </w:p>
    <w:p>
      <w:pPr>
        <w:spacing w:after="0" w:line="19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earned</w:t>
      </w:r>
    </w:p>
    <w:p>
      <w:pPr>
        <w:spacing w:after="0" w:line="21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The Company’s property and casualty policies, other than certain types of auto and non-standard auto policies, typically have a term of twelve months.</w:t>
      </w:r>
    </w:p>
    <w:p>
      <w:pPr>
        <w:spacing w:after="0" w:line="16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Due to the nature of the crop planting and harvesting cycle and the deadlines for filing and processing claims under the federal crop insurance program, insurance premiums for crop insurance are recognized and earned during the period of risk, which usually begins in spring and ends with harvest in the fall. In the case of prevented planting claims, the period of risk is shortened to the date a valid prevented planting claim is filed, when the Company believes the period of risk has ended.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Federal Crop Insurance Corporation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written by the Company covers crops planted in the spring.</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 and net capital gain (loss) on investments</w:t>
      </w:r>
    </w:p>
    <w:p>
      <w:pPr>
        <w:spacing w:after="0" w:line="21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Company invests its excess cash in fixed income and equity securities. Investment income includes interest and dividends earned on invested assets, and is reported net of investment-related expenses. Net capital gains and losses on investments are reported separately from net investment income. The Company recognizes realized capital gains when investments are sold for an amount greater than their cost or amortized cost (in the case of fixed income securities) and realized capital losses when investments are written down as a result of other-than-temporary impairments or are sold for an amount less than their cost or amortized cost. The Company recognizes changes in unrealized gains and losses of equity securities in net income as part of net capital gains and losses on investments. These gains and losses may be significant given the fair market value of the equity portfolio and the inherent volatility in equity markets.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unrealized gains and losses on fixed income securities are recorded in other comprehensive income (loss), net of income taxes.</w:t>
      </w:r>
    </w:p>
    <w:p>
      <w:pPr>
        <w:spacing w:after="0" w:line="23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portfolio of investments for NI Holdings and its insurance subsidiaries is managed by Conning, Inc., and Disciplined Growth Investors. These investment managers have discretion to buy and sell securities in accordance with the investment policy approved by our Board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Expense Items</w:t>
      </w:r>
    </w:p>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Company’s expenses consist primarily of losses and loss adjustment expenses (“LAE”), amortization of deferred policy acquisition costs, other underwriting and general expenses, and income taxes.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Loss Adjustment Expenses</w:t>
      </w:r>
    </w:p>
    <w:p>
      <w:pPr>
        <w:spacing w:after="0" w:line="21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Losses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9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Expenses incurred to underwrite risks are referred to as policy acquisition costs. Policy acquisition costs consist of commission expenses, state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Current income taxes represent amounts paid or payable to the federal government and certain states whose payment is based upon net income (subject to regulatory adjustments) generated by the Company. As noted above, it does not include state premium taxes that are based purely on the collection of policyholder premiums.</w:t>
      </w:r>
    </w:p>
    <w:p>
      <w:pPr>
        <w:spacing w:after="0" w:line="1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NI Holdings uses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The effect of a change in tax rates is recognized in the period of the enactment date. Total income taxes reflect both current income taxes and the change in the net deferred income tax asset or liability, excluding amounts attributed to accumulated other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consolidated financial statements are prepared on the basis of GAAP. We also prepare financial statements for each of our insurance company subsidiaries based on statutory accounting principles and file them with insurance regulatory authorities in the states where they do business. Management evaluates our operations by monitoring key measures of growth and profitability. We believe that disclosure of certain non-GAAP financial measures enhances investor understanding of our financial performance. The following provides further explanation of the key measures that management uses to evaluate our results: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LAE ratio</w:t>
      </w:r>
    </w:p>
    <w:p>
      <w:pPr>
        <w:spacing w:after="0" w:line="21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loss and LAE ratio is the ratio (expressed as a percentage) of losses and LAE incurred to premiums earned. The Company measures this ratio on an accident and calendar year basis to measure underwriting profitability. An accident year loss ratio measures losses and LAE for insured events occurring in a particular year, regardless of when they are reported, as a 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 ratio</w:t>
      </w:r>
    </w:p>
    <w:p>
      <w:pPr>
        <w:spacing w:after="0" w:line="198"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expense ratio is the ratio (expressed as a percentage) of amortization of deferred policy acquisition costs and other underwriting and general expenses (attributable to insurance operations) to premiums earned, and measures the Company’s operational efficiency in producing, underwriting, and administering our insurance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Combined ratio</w:t>
      </w:r>
    </w:p>
    <w:p>
      <w:pPr>
        <w:spacing w:after="0" w:line="21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Company’s combined ratio is the ratio (expressed as a percentage) of the sum of losses and LAE incurred and expenses to premiums earned, and measures our overall underwriting profit. A combined ratio below 100% generally indicates a profitable book of business.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written</w:t>
      </w:r>
    </w:p>
    <w:p>
      <w:pPr>
        <w:spacing w:after="0" w:line="21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Net premiums written comprise direct and assumed premiums written, less ceded premiums written. Direct premiums written are the total policy premiums, net of cancellations, associated with policies issued and underwritten by the Company. Assumed premiums written are the total premiums associated with the insurance risk transferred to us by other insurance and reinsurance companies pursuant to reinsurance contracts. Ceded premiums written is the portion of direct premiums written that we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cede to our reinsurers under our reinsurance contracts. Net premiums earned are recognized ratably over the life of a policy and differ from net premiums written, which are recognized on the effective date of the policy.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21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Underwriting gain (loss) measures the pre-tax profitability of the Company’s insurance operations. It is derived by subtracting losses and LAE, amortization of deferred policy acquisition costs, and other underwriting and general expenses from net premiums earned. Each of these items is presented as a caption in the Company's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1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preparation of financial statements in accordance with GAAP requires both the use of estimates and judgment relative to the application of appropriate accounting policies. The Company is required to make estimates and assumptions in certain circumstances that affect amounts reported in the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or that reported results of operations will not be materially and adversely affected by the need to make accounting adjustments to reflect changes in these estimates and assumptions from time to time. Our critical accounting policies are more fully described in our Management's Discussion and Analysis of Financial Condition and Results of Operations presented in Part II, Item 7 of our Annual Report on Form 10-K for the year ended December 31, 2020. There have been no changes in our critical accounting policies from December 31, 2020.</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initial public offering (“IPO”), which we planned to use for strategic acquisitions.</w:t>
      </w:r>
    </w:p>
    <w:p>
      <w:pPr>
        <w:spacing w:after="0" w:line="15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2018, we used $17,000 for the acquisition of Direct Auto. On January 1, 2020, we acquired Westminster for $40,000. We paid $20,000 at the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installment was paid during the first quarter of 2021.</w:t>
      </w:r>
    </w:p>
    <w:p>
      <w:pPr>
        <w:spacing w:after="0" w:line="17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currently anticipate that cash generated from our operations and available from our investment portfolio, along with the remaining IPO net proceeds, will be sufficient to fund our operations.</w:t>
      </w:r>
    </w:p>
    <w:p>
      <w:pPr>
        <w:spacing w:after="0" w:line="143"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The Company’s philosophy is to provide sufficient cash flows from operations to meet its obligations in order to minimize the forced sales of investments. The Company maintains a portion of its investment portfolio in relatively short-term and highly liquid assets to ensure the availability of funds.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cash and cash equivalents for the nine months ended September 30, 2021 and 2020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366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Nine Months Ended September 30,</w:t>
            </w:r>
          </w:p>
        </w:tc>
      </w:tr>
      <w:tr>
        <w:trPr>
          <w:trHeight w:val="209"/>
        </w:trPr>
        <w:tc>
          <w:tcPr>
            <w:tcW w:w="75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7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1040" w:type="dxa"/>
            <w:vAlign w:val="bottom"/>
            <w:shd w:val="clear" w:color="auto" w:fill="CCEEFF"/>
          </w:tcPr>
          <w:p>
            <w:pPr>
              <w:jc w:val="right"/>
              <w:ind w:right="91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30,944</w:t>
            </w: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10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(52,471)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(10,377)</w:t>
            </w:r>
          </w:p>
        </w:tc>
      </w:tr>
      <w:tr>
        <w:trPr>
          <w:trHeight w:val="216"/>
        </w:trPr>
        <w:tc>
          <w:tcPr>
            <w:tcW w:w="7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(10,366)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(11,394)</w:t>
            </w:r>
          </w:p>
        </w:tc>
      </w:tr>
      <w:tr>
        <w:trPr>
          <w:trHeight w:val="20"/>
        </w:trPr>
        <w:tc>
          <w:tcPr>
            <w:tcW w:w="7580" w:type="dxa"/>
            <w:vAlign w:val="bottom"/>
            <w:tcBorders>
              <w:right w:val="single" w:sz="8" w:color="CCEEFF"/>
            </w:tcBorders>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758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1040" w:type="dxa"/>
            <w:vAlign w:val="bottom"/>
          </w:tcPr>
          <w:p>
            <w:pPr>
              <w:jc w:val="right"/>
              <w:ind w:right="91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(53,348)</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9,173</w:t>
            </w:r>
          </w:p>
        </w:tc>
      </w:tr>
      <w:tr>
        <w:trPr>
          <w:trHeight w:val="20"/>
        </w:trPr>
        <w:tc>
          <w:tcPr>
            <w:tcW w:w="7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For the nine months ended September 30, 2021, net cash provided by operating activities totaled $9,489 compared to $30,944 a year ago. Consolidated net income of $2,189 for the nine months ended September 30, 2021 compared to consolidated net income of $18,898 for the same period a year ago. The decrease in consolidated net income, along with changes in net capital gain on investments, reinsurance recoverables on losses, and the receivable from the Federal Crop Insurance Corporation, were offset by the changes in unpaid losses and LAE.</w:t>
      </w:r>
    </w:p>
    <w:p>
      <w:pPr>
        <w:spacing w:after="0" w:line="15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For the nine months ended September 30, 2021, net cash used by investing activities totaled $52,471 compared to $10,377 a year ago. In the first nine months of 2021, the Company invested excess cash generated from operations and the implementation of the intercompany reinsurance pooling agreement into longer term investments.</w:t>
      </w:r>
    </w:p>
    <w:p>
      <w:pPr>
        <w:spacing w:after="0" w:line="157"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For the nine months ended September 30, 2021, net cash used by financing activities totaled $10,366 compared to $11,394 a year ago. The Company paid the first installment of $6,667 of the additional consideration for Westminster during the first quarter of 2021. The Company repurchased shares of its own common stock for $3,211 during 2021, compared to $11,363 during 2020.</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As a standalone entity, and outside of the net proceeds from the IPO, NI Holdings’ principal source of long-term liquidity will be dividend payments from its directly-owned subsidiaries.</w:t>
      </w:r>
    </w:p>
    <w:p>
      <w:pPr>
        <w:spacing w:after="0" w:line="15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amount available for payment of dividends from Nodak Insurance to us during 2021 without the prior approval of the North Dakota Insurance Department is approximately $21,628 based upon the surplus of Nodak Insurance at December 31, 2020.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or any subsequently imposed restrictions may affect our future liquidity. No dividends were declared or paid by Nodak Insurance during the nine months ended September 30, 2021. The Nodak Insurance Board of Directors declared and paid a $6,000 dividend to NI Holdings during the year ended December 31, 2020.</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Direct Auto is restricted by the insurance laws of Illinois as to the amount of dividends or other distributions it may pay to NI Holdings. 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Dividends in excess of this amount are considered “extraordinary” and are subject to the approval of the Illinois Department of Insurance.</w:t>
      </w:r>
    </w:p>
    <w:p>
      <w:pPr>
        <w:spacing w:after="0" w:line="1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2021 without the prior approval of the Illinois Department of Insurance is $3,582 based upon the surplus of Direct Auto at December 31, 2020.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nine months ended September 30, 2021 or the year ended December 31, 2020.</w:t>
      </w:r>
    </w:p>
    <w:p>
      <w:pPr>
        <w:spacing w:after="0" w:line="15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amount available for payment of dividends from Westminster to NI Holdings during 2021 without the prior approval of the Maryland Insurance Administration is $505 based upon the statutory net investment income of Westminster for the year ended December 31, 2020 and the three preceding years. Prior to its payment of any dividend, Westminster will be required to provide notice of the dividend to the Maryland Insurance Administration. This notice must be provided to the Maryland Insurance Administration within five business days following declaration of any dividend and no less than 30 days prior to the payment of an extraordinary dividend or 10 days prior to the payment of an ordinary dividend. The Maryland Insurance Administration has the power to limit or prohibit dividend payments if Westminster is in violation of any law or regulation. These restrictions or any subsequently imposed restrictions may affect our future liquidity. No dividends were declared or paid by Westminster during the nine months ended September 30, 2021 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16"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 discussion of recent accounting pronouncements, see Note 2 to the Unaudited Consolidated Financial Statements, included elsewhere in this Form 10-Q.</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02"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The Company’s assessment of market risk as of September 30, 2021 indicates there have been no material changes in the quantitative and qualitative disclosures from those in our Annual Report on Form 10-K for the year ended December 31, 2020 filed with the SEC.</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16"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The Company’s Chief Executive Officer and Chief Financial Officer have reviewed and evaluated the effectiveness of the Company’s disclosure controls and procedures (as required by Exchange Act Rules 240.13a-15(b) and 15d-15(b)) as of September 30, 2021. Based on that evaluation, the Chief Executive Officer and Chief Financial Officer have concluded that the Company’s current disclosure controls and procedures are effective.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w:t>
      </w:r>
    </w:p>
    <w:p>
      <w:pPr>
        <w:spacing w:after="0" w:line="21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the ordinary course of business, we periodically review our system of internal control over financial reporting to identify opportunities to improve our controls and increase efficiency, while ensuring that we maintain an effective internal control environment. In addition, when we acquire new businesses, we incorporate our controls and procedures into the acquired business as part of our integration activities. Since 2018, we have invested significant resources to comprehensively document and analyze our system of internal control over financial reporting. We have identified areas requiring improvement, and continue to make selected improvements to processes and controls to address issues identified through this review. These improvements may include such activities as implementing new, more efficient systems, automating manual processes, formalizing policies and procedures, increasing monitoring controls, and updating existing systems. We plan to continue this initiative as well as prepare for the first audit of our internal control over financial reporting, as required by Section 404 of the Sarbanes-Oxley Act of 2002 for the annual period ending December 31, 2022, which may result in changes to our internal control over financial reporting.</w:t>
      </w:r>
    </w:p>
    <w:p>
      <w:pPr>
        <w:spacing w:after="0" w:line="15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quarter ended September 30, 2021, to which this report relates that have materially affected, or are reasonably likely to materially affect the Company’s internal control over financial reporting.</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1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have been no material changes in our assessment of our risk factors from those set forth in our Annual Report on Form 10-K for the year ended December 31, 2020.</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included in Item 2 herein, except per share amounts, are in thousands.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sold any unregistered securities within the past three years.</w:t>
      </w:r>
    </w:p>
    <w:p>
      <w:pPr>
        <w:spacing w:after="0" w:line="212"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On January 17, 2017, the SEC declared effective our registration statement on Form S-1 registering our common stock. On March 13, 2017, the Company completed the IPO of 10,350,000 shares of common stock at a price of $10.00 per share. The Company received net proceeds of $93,145 from the offering, after deducting underwriting discounts and offering expenses. Griffin Financial Group, LLC acted as our placement agent in connection with the IPO.</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 Auto was acquired on August 31, 2018 with $17,000 of the net proceeds from the IPO.</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Westminster was acquired on January 1, 2020 for a purchase price of $40,000, subject to certain adjustments. The Company paid $20,000 from the net proceeds from the IPO at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installment was paid during the first quarter of 2021. The Company anticipates using the net proceeds from the IPO to satisfy these obligations.</w:t>
      </w:r>
    </w:p>
    <w:p>
      <w:pPr>
        <w:spacing w:after="0" w:line="174"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From time to time, the Company may also repurchase its own stock. These repurchases may be used to satisfy its obligations under the equity incentive plans or may be done for other reasons. To date, the Company has used the net proceeds from the IPO to fund these buyback programs.</w:t>
      </w:r>
    </w:p>
    <w:p>
      <w:pPr>
        <w:spacing w:after="0" w:line="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January 17, 2017.</w:t>
      </w:r>
    </w:p>
    <w:p>
      <w:pPr>
        <w:spacing w:after="0" w:line="15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February 28, 2018, our Board of Directors approved an authorization for the repurchase of up to approximately $10,000 of the Company’s outstanding common stock. We completed the repurchase of 191,265 shares of our common stock for $2,966 during 2018, and an additional 116,034 shares for $2,006 during 2019. During the six months ended June 30, 2020, we completed the repurchase of 402,056 shares of our common stock for $4,996 to close out this authorization.</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May 4, 2020, our Board of Directors approved an additional authorization for the repurchase of up to approximately $10,000 of the Company’s outstanding common stock. During the year ended December 31, 2020, we completed the repurchase of 454,443 shares of our common stock for $7,238 under this new authorization. During the nine months ended September 30, 2021, we repurchased an additional 144,110 shares of our common stock for $2,762 to close out this authorization.</w:t>
      </w:r>
    </w:p>
    <w:p>
      <w:pPr>
        <w:spacing w:after="0" w:line="16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On August 11, 2021, our Board of Directors approved an additional authorization for the repurchase of up to approximately $5,000 of the Company’s outstanding common stock. During the three months ended September 30, 2021, we completed the repurchase of 24,283 shares of our common stock for $449 under this new authorization.</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Total Number of</w:t>
            </w:r>
          </w:p>
        </w:tc>
        <w:tc>
          <w:tcPr>
            <w:tcW w:w="14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Maximum Dollar Value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Shares Purchased</w:t>
            </w:r>
          </w:p>
        </w:tc>
        <w:tc>
          <w:tcPr>
            <w:tcW w:w="14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of Shares That May Yet</w:t>
            </w:r>
          </w:p>
        </w:tc>
      </w:tr>
      <w:tr>
        <w:trPr>
          <w:trHeight w:val="230"/>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Total Number of</w:t>
            </w:r>
          </w:p>
        </w:tc>
        <w:tc>
          <w:tcPr>
            <w:tcW w:w="16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Average Price</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as Part of Publicly</w:t>
            </w:r>
          </w:p>
        </w:tc>
        <w:tc>
          <w:tcPr>
            <w:tcW w:w="140" w:type="dxa"/>
            <w:vAlign w:val="bottom"/>
          </w:tcPr>
          <w:p>
            <w:pPr>
              <w:spacing w:after="0"/>
              <w:rPr>
                <w:sz w:val="20"/>
                <w:szCs w:val="20"/>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Be Purchased Under the</w:t>
            </w:r>
          </w:p>
        </w:tc>
      </w:tr>
      <w:tr>
        <w:trPr>
          <w:trHeight w:val="219"/>
        </w:trPr>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Paid</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Announced Plans</w:t>
            </w:r>
          </w:p>
        </w:tc>
        <w:tc>
          <w:tcPr>
            <w:tcW w:w="140" w:type="dxa"/>
            <w:vAlign w:val="bottom"/>
          </w:tcPr>
          <w:p>
            <w:pPr>
              <w:spacing w:after="0"/>
              <w:rPr>
                <w:sz w:val="19"/>
                <w:szCs w:val="19"/>
                <w:color w:val="auto"/>
              </w:rPr>
            </w:pPr>
          </w:p>
        </w:tc>
        <w:tc>
          <w:tcPr>
            <w:tcW w:w="2100" w:type="dxa"/>
            <w:vAlign w:val="bottom"/>
            <w:gridSpan w:val="2"/>
          </w:tcPr>
          <w:p>
            <w:pPr>
              <w:jc w:val="center"/>
              <w:ind w:right="280"/>
              <w:spacing w:after="0" w:line="218" w:lineRule="exact"/>
              <w:rPr>
                <w:sz w:val="20"/>
                <w:szCs w:val="20"/>
                <w:color w:val="auto"/>
              </w:rPr>
            </w:pPr>
            <w:r>
              <w:rPr>
                <w:rFonts w:ascii="Arial" w:cs="Arial" w:eastAsia="Arial" w:hAnsi="Arial"/>
                <w:sz w:val="16"/>
                <w:szCs w:val="16"/>
                <w:color w:val="auto"/>
                <w:w w:val="97"/>
              </w:rPr>
              <w:t xml:space="preserve">Plans or Programs </w:t>
            </w:r>
            <w:r>
              <w:rPr>
                <w:rFonts w:ascii="Arial" w:cs="Arial" w:eastAsia="Arial" w:hAnsi="Arial"/>
                <w:sz w:val="25"/>
                <w:szCs w:val="25"/>
                <w:color w:val="auto"/>
                <w:w w:val="97"/>
                <w:vertAlign w:val="superscript"/>
              </w:rPr>
              <w:t>(1)</w:t>
            </w:r>
          </w:p>
        </w:tc>
      </w:tr>
      <w:tr>
        <w:trPr>
          <w:trHeight w:val="267"/>
        </w:trPr>
        <w:tc>
          <w:tcPr>
            <w:tcW w:w="3500" w:type="dxa"/>
            <w:vAlign w:val="bottom"/>
          </w:tcPr>
          <w:p>
            <w:pPr>
              <w:ind w:left="1220"/>
              <w:spacing w:after="0"/>
              <w:rPr>
                <w:sz w:val="20"/>
                <w:szCs w:val="20"/>
                <w:color w:val="auto"/>
              </w:rPr>
            </w:pPr>
            <w:r>
              <w:rPr>
                <w:rFonts w:ascii="Arial" w:cs="Arial" w:eastAsia="Arial" w:hAnsi="Arial"/>
                <w:sz w:val="18"/>
                <w:szCs w:val="18"/>
                <w:color w:val="auto"/>
              </w:rPr>
              <w:t>Period in 2021</w:t>
            </w:r>
          </w:p>
        </w:tc>
        <w:tc>
          <w:tcPr>
            <w:tcW w:w="120" w:type="dxa"/>
            <w:vAlign w:val="bottom"/>
          </w:tcPr>
          <w:p>
            <w:pPr>
              <w:spacing w:after="0"/>
              <w:rPr>
                <w:sz w:val="23"/>
                <w:szCs w:val="23"/>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23"/>
                <w:szCs w:val="23"/>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Per Share</w:t>
            </w:r>
          </w:p>
        </w:tc>
        <w:tc>
          <w:tcPr>
            <w:tcW w:w="2000" w:type="dxa"/>
            <w:vAlign w:val="bottom"/>
            <w:gridSpan w:val="2"/>
          </w:tcPr>
          <w:p>
            <w:pPr>
              <w:jc w:val="center"/>
              <w:ind w:right="220"/>
              <w:spacing w:after="0" w:line="267" w:lineRule="exact"/>
              <w:rPr>
                <w:sz w:val="20"/>
                <w:szCs w:val="20"/>
                <w:color w:val="auto"/>
              </w:rPr>
            </w:pPr>
            <w:r>
              <w:rPr>
                <w:rFonts w:ascii="Arial" w:cs="Arial" w:eastAsia="Arial" w:hAnsi="Arial"/>
                <w:sz w:val="18"/>
                <w:szCs w:val="18"/>
                <w:color w:val="auto"/>
                <w:w w:val="86"/>
              </w:rPr>
              <w:t xml:space="preserve">or Programs </w:t>
            </w:r>
            <w:r>
              <w:rPr>
                <w:rFonts w:ascii="Arial" w:cs="Arial" w:eastAsia="Arial" w:hAnsi="Arial"/>
                <w:sz w:val="29"/>
                <w:szCs w:val="29"/>
                <w:color w:val="auto"/>
                <w:w w:val="86"/>
                <w:vertAlign w:val="superscript"/>
              </w:rPr>
              <w:t>(1)</w:t>
            </w:r>
          </w:p>
        </w:tc>
        <w:tc>
          <w:tcPr>
            <w:tcW w:w="140" w:type="dxa"/>
            <w:vAlign w:val="bottom"/>
          </w:tcPr>
          <w:p>
            <w:pPr>
              <w:spacing w:after="0"/>
              <w:rPr>
                <w:sz w:val="23"/>
                <w:szCs w:val="23"/>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 thousands)</w:t>
            </w: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1-31, 2021</w:t>
            </w: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16,734</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220" w:type="dxa"/>
            <w:vAlign w:val="bottom"/>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August 1-31, 2021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12,735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19.42</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12,735</w:t>
            </w:r>
          </w:p>
        </w:tc>
        <w:tc>
          <w:tcPr>
            <w:tcW w:w="140" w:type="dxa"/>
            <w:vAlign w:val="bottom"/>
          </w:tcPr>
          <w:p>
            <w:pPr>
              <w:spacing w:after="0"/>
              <w:rPr>
                <w:sz w:val="18"/>
                <w:szCs w:val="18"/>
                <w:color w:val="auto"/>
              </w:rPr>
            </w:pP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4,925</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September 1-30, 2021</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18.35</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20,393</w:t>
            </w: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4,551</w:t>
            </w: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350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49,862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18.95</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49,862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4,551</w:t>
            </w: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right="400" w:hanging="447"/>
        <w:spacing w:after="0" w:line="263" w:lineRule="auto"/>
        <w:tabs>
          <w:tab w:leader="none" w:pos="800" w:val="left"/>
        </w:tabs>
        <w:numPr>
          <w:ilvl w:val="0"/>
          <w:numId w:val="29"/>
        </w:numPr>
        <w:rPr>
          <w:rFonts w:ascii="Arial" w:cs="Arial" w:eastAsia="Arial" w:hAnsi="Arial"/>
          <w:sz w:val="18"/>
          <w:szCs w:val="18"/>
          <w:color w:val="auto"/>
          <w:vertAlign w:val="superscript"/>
        </w:rPr>
      </w:pPr>
      <w:r>
        <w:rPr>
          <w:rFonts w:ascii="Arial" w:cs="Arial" w:eastAsia="Arial" w:hAnsi="Arial"/>
          <w:sz w:val="18"/>
          <w:szCs w:val="18"/>
          <w:color w:val="auto"/>
        </w:rPr>
        <w:t>Shares purchased pursuant to the May 4, 2020 publicly announced share repurchase authorization of up to approximately $10,000 of the Company’s outstanding common stock, and the August 11, 2021 publicly announced share repurchase authorization of up to approximately $5,000 of the Company’s outstanding common stock.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22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4"/>
        </w:trPr>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000" w:type="dxa"/>
            <w:vAlign w:val="bottom"/>
            <w:tcBorders>
              <w:bottom w:val="single" w:sz="8" w:color="auto"/>
            </w:tcBorders>
            <w:gridSpan w:val="4"/>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20" w:type="dxa"/>
            <w:vAlign w:val="bottom"/>
          </w:tcPr>
          <w:p>
            <w:pPr>
              <w:ind w:left="180"/>
              <w:spacing w:after="0" w:line="169"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4"/>
                <w:szCs w:val="14"/>
                <w:color w:val="auto"/>
              </w:rPr>
            </w:pPr>
          </w:p>
        </w:tc>
        <w:tc>
          <w:tcPr>
            <w:tcW w:w="10000" w:type="dxa"/>
            <w:vAlign w:val="bottom"/>
            <w:gridSpan w:val="4"/>
          </w:tcPr>
          <w:p>
            <w:pPr>
              <w:ind w:left="20"/>
              <w:spacing w:after="0" w:line="169" w:lineRule="exact"/>
              <w:rPr>
                <w:rFonts w:ascii="Arial" w:cs="Arial" w:eastAsia="Arial" w:hAnsi="Arial"/>
                <w:sz w:val="18"/>
                <w:szCs w:val="18"/>
                <w:color w:val="0000EE"/>
                <w:w w:val="94"/>
              </w:rPr>
            </w:pPr>
            <w:hyperlink w:anchor="page58">
              <w:r>
                <w:rPr>
                  <w:rFonts w:ascii="Arial" w:cs="Arial" w:eastAsia="Arial" w:hAnsi="Arial"/>
                  <w:sz w:val="18"/>
                  <w:szCs w:val="18"/>
                  <w:color w:val="0000EE"/>
                  <w:w w:val="94"/>
                </w:rPr>
                <w:t>Certification of Principal Executive Officer Pursuant to Rules 13a-14(a) and 15d-14(a) under the Securities Exchange Act of 1934, as</w:t>
              </w:r>
            </w:hyperlink>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2"/>
          </w:tcPr>
          <w:p>
            <w:pPr>
              <w:spacing w:after="0"/>
              <w:rPr>
                <w:sz w:val="17"/>
                <w:szCs w:val="17"/>
                <w:color w:val="auto"/>
              </w:rPr>
            </w:pPr>
          </w:p>
        </w:tc>
        <w:tc>
          <w:tcPr>
            <w:tcW w:w="380" w:type="dxa"/>
            <w:vAlign w:val="bottom"/>
          </w:tcPr>
          <w:p>
            <w:pPr>
              <w:spacing w:after="0"/>
              <w:rPr>
                <w:sz w:val="17"/>
                <w:szCs w:val="17"/>
                <w:color w:val="auto"/>
              </w:rPr>
            </w:pPr>
          </w:p>
        </w:tc>
      </w:tr>
      <w:tr>
        <w:trPr>
          <w:trHeight w:val="412"/>
        </w:trPr>
        <w:tc>
          <w:tcPr>
            <w:tcW w:w="1020" w:type="dxa"/>
            <w:vAlign w:val="bottom"/>
          </w:tcPr>
          <w:p>
            <w:pPr>
              <w:ind w:left="18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580" w:type="dxa"/>
            <w:vAlign w:val="bottom"/>
            <w:tcBorders>
              <w:bottom w:val="single" w:sz="8" w:color="0000EE"/>
            </w:tcBorders>
            <w:gridSpan w:val="2"/>
          </w:tcPr>
          <w:p>
            <w:pPr>
              <w:ind w:left="20"/>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42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bottom w:val="single" w:sz="8" w:color="0000EE"/>
            </w:tcBorders>
          </w:tcPr>
          <w:p>
            <w:pPr>
              <w:ind w:left="20"/>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Adopted Pursuant to Section 302 of the Sarbanes-Oxley Act of 2002.</w:t>
              </w:r>
            </w:hyperlink>
          </w:p>
        </w:tc>
        <w:tc>
          <w:tcPr>
            <w:tcW w:w="5000" w:type="dxa"/>
            <w:vAlign w:val="bottom"/>
            <w:gridSpan w:val="3"/>
          </w:tcPr>
          <w:p>
            <w:pPr>
              <w:spacing w:after="0"/>
              <w:rPr>
                <w:sz w:val="17"/>
                <w:szCs w:val="17"/>
                <w:color w:val="auto"/>
              </w:rPr>
            </w:pPr>
          </w:p>
        </w:tc>
      </w:tr>
    </w:tbl>
    <w:p>
      <w:pPr>
        <w:spacing w:after="0" w:line="229" w:lineRule="exact"/>
        <w:rPr>
          <w:sz w:val="20"/>
          <w:szCs w:val="20"/>
          <w:color w:val="auto"/>
        </w:rPr>
      </w:pPr>
    </w:p>
    <w:p>
      <w:pPr>
        <w:ind w:left="1260" w:right="300" w:hanging="1072"/>
        <w:spacing w:after="0" w:line="277" w:lineRule="auto"/>
        <w:tabs>
          <w:tab w:leader="none" w:pos="1260" w:val="left"/>
        </w:tabs>
        <w:numPr>
          <w:ilvl w:val="0"/>
          <w:numId w:val="30"/>
        </w:numPr>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Certification of Principal Executive Officer and Principal Financial Officer pursuant to 18 U.S.C. Section 1350, as adopted pursuant to</w:t>
        </w:r>
      </w:hyperlink>
      <w:r>
        <w:rPr>
          <w:rFonts w:ascii="Arial" w:cs="Arial" w:eastAsia="Arial" w:hAnsi="Arial"/>
          <w:sz w:val="18"/>
          <w:szCs w:val="18"/>
          <w:u w:val="single" w:color="auto"/>
          <w:color w:val="0000EE"/>
        </w:rPr>
        <w:t xml:space="preserve"> </w:t>
      </w:r>
      <w:hyperlink w:anchor="page60">
        <w:r>
          <w:rPr>
            <w:rFonts w:ascii="Arial" w:cs="Arial" w:eastAsia="Arial" w:hAnsi="Arial"/>
            <w:sz w:val="18"/>
            <w:szCs w:val="18"/>
            <w:u w:val="single" w:color="auto"/>
            <w:color w:val="0000EE"/>
          </w:rPr>
          <w:t>Section 906 of the Sarbanes-Oxley Act of 2002.</w:t>
        </w:r>
      </w:hyperlink>
    </w:p>
    <w:p>
      <w:pPr>
        <w:spacing w:after="0" w:line="170" w:lineRule="exact"/>
        <w:rPr>
          <w:rFonts w:ascii="Arial" w:cs="Arial" w:eastAsia="Arial" w:hAnsi="Arial"/>
          <w:sz w:val="18"/>
          <w:szCs w:val="18"/>
          <w:color w:val="auto"/>
        </w:rPr>
      </w:pPr>
    </w:p>
    <w:tbl>
      <w:tblPr>
        <w:tblLayout w:type="fixed"/>
        <w:tblInd w:w="18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9780" w:type="dxa"/>
            <w:vAlign w:val="bottom"/>
          </w:tcPr>
          <w:p>
            <w:pPr>
              <w:ind w:left="20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880" w:type="dxa"/>
            <w:vAlign w:val="bottom"/>
          </w:tcPr>
          <w:p>
            <w:pPr>
              <w:spacing w:after="0"/>
              <w:rPr>
                <w:sz w:val="20"/>
                <w:szCs w:val="20"/>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tcPr>
          <w:p>
            <w:pPr>
              <w:ind w:left="200"/>
              <w:spacing w:after="0"/>
              <w:rPr>
                <w:sz w:val="20"/>
                <w:szCs w:val="20"/>
                <w:color w:val="auto"/>
              </w:rPr>
            </w:pPr>
            <w:r>
              <w:rPr>
                <w:rFonts w:ascii="Arial" w:cs="Arial" w:eastAsia="Arial" w:hAnsi="Arial"/>
                <w:sz w:val="18"/>
                <w:szCs w:val="18"/>
                <w:color w:val="auto"/>
              </w:rPr>
              <w:t>Inline XBRL Taxonomy Extension Schema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tcPr>
          <w:p>
            <w:pPr>
              <w:ind w:left="20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rFonts w:ascii="Arial" w:cs="Arial" w:eastAsia="Arial" w:hAnsi="Arial"/>
          <w:sz w:val="18"/>
          <w:szCs w:val="18"/>
          <w:color w:val="auto"/>
        </w:rPr>
      </w:pPr>
    </w:p>
    <w:p>
      <w:pPr>
        <w:ind w:left="1260" w:hanging="1072"/>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5, 2021.</w:t>
      </w:r>
    </w:p>
    <w:p>
      <w:pPr>
        <w:spacing w:after="0" w:line="200" w:lineRule="exact"/>
        <w:rPr>
          <w:sz w:val="20"/>
          <w:szCs w:val="20"/>
          <w:color w:val="auto"/>
        </w:rPr>
      </w:pPr>
    </w:p>
    <w:p>
      <w:pPr>
        <w:spacing w:after="0" w:line="26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NI HOLDINGS, INC.</w:t>
      </w:r>
    </w:p>
    <w:p>
      <w:pPr>
        <w:spacing w:after="0" w:line="200" w:lineRule="exact"/>
        <w:rPr>
          <w:sz w:val="20"/>
          <w:szCs w:val="20"/>
          <w:color w:val="auto"/>
        </w:rPr>
      </w:pPr>
    </w:p>
    <w:p>
      <w:pPr>
        <w:spacing w:after="0" w:line="20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J. Alexander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Seth C. Daggett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Timothy J. Milius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Timothy J. Milius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Accounting Officer)</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0340"/>
          </w:cols>
          <w:pgMar w:left="320" w:top="125" w:right="1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98"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21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97" w:lineRule="exact"/>
        <w:rPr>
          <w:rFonts w:ascii="Arial" w:cs="Arial" w:eastAsia="Arial" w:hAnsi="Arial"/>
          <w:sz w:val="16"/>
          <w:szCs w:val="16"/>
          <w:color w:val="auto"/>
        </w:rPr>
      </w:pPr>
    </w:p>
    <w:p>
      <w:pPr>
        <w:ind w:left="2140" w:hanging="836"/>
        <w:spacing w:after="0" w:line="311" w:lineRule="auto"/>
        <w:tabs>
          <w:tab w:leader="none" w:pos="21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ind w:left="2140" w:right="40" w:hanging="836"/>
        <w:spacing w:after="0" w:line="286" w:lineRule="auto"/>
        <w:tabs>
          <w:tab w:leader="none" w:pos="21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2140" w:right="120" w:hanging="836"/>
        <w:spacing w:after="0" w:line="263" w:lineRule="auto"/>
        <w:tabs>
          <w:tab w:leader="none" w:pos="2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2140" w:right="140" w:hanging="836"/>
        <w:spacing w:after="0" w:line="311" w:lineRule="auto"/>
        <w:tabs>
          <w:tab w:leader="none" w:pos="21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2140" w:right="380" w:hanging="836"/>
        <w:spacing w:after="0" w:line="263" w:lineRule="auto"/>
        <w:tabs>
          <w:tab w:leader="none" w:pos="2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140" w:right="760" w:hanging="836"/>
        <w:spacing w:after="0" w:line="277" w:lineRule="auto"/>
        <w:tabs>
          <w:tab w:leader="none" w:pos="2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ind w:left="3380"/>
              <w:spacing w:after="0"/>
              <w:rPr>
                <w:sz w:val="20"/>
                <w:szCs w:val="20"/>
                <w:color w:val="auto"/>
              </w:rPr>
            </w:pPr>
            <w:r>
              <w:rPr>
                <w:rFonts w:ascii="Arial" w:cs="Arial" w:eastAsia="Arial" w:hAnsi="Arial"/>
                <w:sz w:val="18"/>
                <w:szCs w:val="18"/>
                <w:color w:val="auto"/>
              </w:rPr>
              <w:t>November 5, 2021</w:t>
            </w:r>
          </w:p>
        </w:tc>
        <w:tc>
          <w:tcPr>
            <w:tcW w:w="720" w:type="dxa"/>
            <w:vAlign w:val="bottom"/>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2240" w:type="dxa"/>
            <w:vAlign w:val="bottom"/>
          </w:tcPr>
          <w:p>
            <w:pPr>
              <w:spacing w:after="0"/>
              <w:rPr>
                <w:sz w:val="20"/>
                <w:szCs w:val="20"/>
                <w:color w:val="auto"/>
              </w:rPr>
            </w:pPr>
          </w:p>
        </w:tc>
      </w:tr>
      <w:tr>
        <w:trPr>
          <w:trHeight w:val="195"/>
        </w:trPr>
        <w:tc>
          <w:tcPr>
            <w:tcW w:w="5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2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224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240" w:type="dxa"/>
            <w:vAlign w:val="bottom"/>
          </w:tcPr>
          <w:p>
            <w:pPr>
              <w:spacing w:after="0"/>
              <w:rPr>
                <w:sz w:val="18"/>
                <w:szCs w:val="18"/>
                <w:color w:val="auto"/>
              </w:rPr>
            </w:pPr>
          </w:p>
        </w:tc>
      </w:tr>
      <w:tr>
        <w:trPr>
          <w:trHeight w:val="230"/>
        </w:trPr>
        <w:tc>
          <w:tcPr>
            <w:tcW w:w="5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240" w:type="dxa"/>
            <w:vAlign w:val="bottom"/>
          </w:tcPr>
          <w:p>
            <w:pPr>
              <w:spacing w:after="0"/>
              <w:rPr>
                <w:sz w:val="20"/>
                <w:szCs w:val="20"/>
                <w:color w:val="auto"/>
              </w:rPr>
            </w:pPr>
          </w:p>
        </w:tc>
      </w:tr>
      <w:tr>
        <w:trPr>
          <w:trHeight w:val="405"/>
        </w:trPr>
        <w:tc>
          <w:tcPr>
            <w:tcW w:w="514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3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2"/>
        </w:trPr>
        <w:tc>
          <w:tcPr>
            <w:tcW w:w="5140" w:type="dxa"/>
            <w:vAlign w:val="bottom"/>
            <w:tcBorders>
              <w:bottom w:val="single" w:sz="8" w:color="EEEEEE"/>
            </w:tcBorders>
          </w:tcPr>
          <w:p>
            <w:pPr>
              <w:spacing w:after="0"/>
              <w:rPr>
                <w:sz w:val="17"/>
                <w:szCs w:val="17"/>
                <w:color w:val="auto"/>
              </w:rPr>
            </w:pPr>
          </w:p>
        </w:tc>
        <w:tc>
          <w:tcPr>
            <w:tcW w:w="720" w:type="dxa"/>
            <w:vAlign w:val="bottom"/>
            <w:tcBorders>
              <w:bottom w:val="single" w:sz="8" w:color="EEEEEE"/>
            </w:tcBorders>
          </w:tcPr>
          <w:p>
            <w:pPr>
              <w:spacing w:after="0"/>
              <w:rPr>
                <w:sz w:val="17"/>
                <w:szCs w:val="17"/>
                <w:color w:val="auto"/>
              </w:rPr>
            </w:pPr>
          </w:p>
        </w:tc>
        <w:tc>
          <w:tcPr>
            <w:tcW w:w="3120" w:type="dxa"/>
            <w:vAlign w:val="bottom"/>
            <w:tcBorders>
              <w:bottom w:val="single" w:sz="8" w:color="EEEEEE"/>
            </w:tcBorders>
          </w:tcPr>
          <w:p>
            <w:pPr>
              <w:spacing w:after="0"/>
              <w:rPr>
                <w:sz w:val="17"/>
                <w:szCs w:val="17"/>
                <w:color w:val="auto"/>
              </w:rPr>
            </w:pPr>
          </w:p>
        </w:tc>
        <w:tc>
          <w:tcPr>
            <w:tcW w:w="224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Seth C. Daggett, certify that:</w:t>
      </w:r>
    </w:p>
    <w:p>
      <w:pPr>
        <w:spacing w:after="0" w:line="198"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21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97" w:lineRule="exact"/>
        <w:rPr>
          <w:rFonts w:ascii="Arial" w:cs="Arial" w:eastAsia="Arial" w:hAnsi="Arial"/>
          <w:sz w:val="16"/>
          <w:szCs w:val="16"/>
          <w:color w:val="auto"/>
        </w:rPr>
      </w:pPr>
    </w:p>
    <w:p>
      <w:pPr>
        <w:ind w:left="2140" w:hanging="836"/>
        <w:spacing w:after="0" w:line="311" w:lineRule="auto"/>
        <w:tabs>
          <w:tab w:leader="none" w:pos="21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ind w:left="2140" w:right="40" w:hanging="836"/>
        <w:spacing w:after="0" w:line="286" w:lineRule="auto"/>
        <w:tabs>
          <w:tab w:leader="none" w:pos="21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2140" w:right="120" w:hanging="836"/>
        <w:spacing w:after="0" w:line="263" w:lineRule="auto"/>
        <w:tabs>
          <w:tab w:leader="none" w:pos="2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2140" w:right="140" w:hanging="836"/>
        <w:spacing w:after="0" w:line="311" w:lineRule="auto"/>
        <w:tabs>
          <w:tab w:leader="none" w:pos="21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2140" w:right="380" w:hanging="836"/>
        <w:spacing w:after="0" w:line="263" w:lineRule="auto"/>
        <w:tabs>
          <w:tab w:leader="none" w:pos="2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140" w:right="760" w:hanging="836"/>
        <w:spacing w:after="0" w:line="277" w:lineRule="auto"/>
        <w:tabs>
          <w:tab w:leader="none" w:pos="2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November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9888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Seth C. Daggett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p>
      <w:pPr>
        <w:sectPr>
          <w:pgSz w:w="11900" w:h="16838" w:orient="portrait"/>
          <w:cols w:equalWidth="0" w:num="2">
            <w:col w:w="5720" w:space="140"/>
            <w:col w:w="5380"/>
          </w:cols>
          <w:pgMar w:left="320" w:top="121" w:right="33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quarterly report of NI Holdings, Inc. (the “Company”) on Form 10-Q for the period ended September 30, 2021, as filed with the Securities and Exchange Commission on the date hereof (the “Report”), we, Michael J. Alexander, President and Chief Executive Officer, and Seth C. Daggett, Chief Financial Officer, of the Company, certify, pursuant to 18 U.S.C. Section 1350, as adopted pursuant to Section 906 of the Sarbanes-Oxley Act of 2002, that, to our knowledge:</w:t>
      </w:r>
    </w:p>
    <w:p>
      <w:pPr>
        <w:spacing w:after="0" w:line="160" w:lineRule="exact"/>
        <w:rPr>
          <w:sz w:val="20"/>
          <w:szCs w:val="20"/>
          <w:color w:val="auto"/>
        </w:rPr>
      </w:pPr>
    </w:p>
    <w:p>
      <w:pPr>
        <w:ind w:left="1160" w:hanging="504"/>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160" w:right="420" w:hanging="504"/>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November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November 5,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4942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Alexander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4942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Seth C. Daggett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113665</wp:posOffset>
            </wp:positionV>
            <wp:extent cx="7157720"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sectPr>
      <w:pgSz w:w="11900" w:h="16838" w:orient="portrait"/>
      <w:cols w:equalWidth="0" w:num="2">
        <w:col w:w="4340" w:space="720"/>
        <w:col w:w="618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2"/>
    </w:lvl>
  </w:abstractNum>
  <w:abstractNum w:abstractNumId="8">
    <w:nsid w:val="333AB105"/>
    <w:multiLevelType w:val="hybridMultilevel"/>
    <w:lvl w:ilvl="0">
      <w:lvlJc w:val="left"/>
      <w:lvlText w:val="%1."/>
      <w:numFmt w:val="decimal"/>
      <w:start w:val="3"/>
    </w:lvl>
  </w:abstractNum>
  <w:abstractNum w:abstractNumId="9">
    <w:nsid w:val="721DA317"/>
    <w:multiLevelType w:val="hybridMultilevel"/>
    <w:lvl w:ilvl="0">
      <w:lvlJc w:val="left"/>
      <w:lvlText w:val="%1."/>
      <w:numFmt w:val="decimal"/>
      <w:start w:val="4"/>
    </w:lvl>
  </w:abstractNum>
  <w:abstractNum w:abstractNumId="10">
    <w:nsid w:val="2443A858"/>
    <w:multiLevelType w:val="hybridMultilevel"/>
    <w:lvl w:ilvl="0">
      <w:lvlJc w:val="left"/>
      <w:lvlText w:val="%1."/>
      <w:numFmt w:val="decimal"/>
      <w:start w:val="5"/>
    </w:lvl>
  </w:abstractNum>
  <w:abstractNum w:abstractNumId="11">
    <w:nsid w:val="2D1D5AE9"/>
    <w:multiLevelType w:val="hybridMultilevel"/>
    <w:lvl w:ilvl="0">
      <w:lvlJc w:val="left"/>
      <w:lvlText w:val="%1."/>
      <w:numFmt w:val="decimal"/>
      <w:start w:val="6"/>
    </w:lvl>
  </w:abstractNum>
  <w:abstractNum w:abstractNumId="12">
    <w:nsid w:val="6763845E"/>
    <w:multiLevelType w:val="hybridMultilevel"/>
    <w:lvl w:ilvl="0">
      <w:lvlJc w:val="left"/>
      <w:lvlText w:val="%1."/>
      <w:numFmt w:val="decimal"/>
      <w:start w:val="7"/>
    </w:lvl>
  </w:abstractNum>
  <w:abstractNum w:abstractNumId="13">
    <w:nsid w:val="75A2A8D4"/>
    <w:multiLevelType w:val="hybridMultilevel"/>
    <w:lvl w:ilvl="0">
      <w:lvlJc w:val="left"/>
      <w:lvlText w:val="%1."/>
      <w:numFmt w:val="decimal"/>
      <w:start w:val="8"/>
    </w:lvl>
  </w:abstractNum>
  <w:abstractNum w:abstractNumId="14">
    <w:nsid w:val="8EDBDAB"/>
    <w:multiLevelType w:val="hybridMultilevel"/>
    <w:lvl w:ilvl="0">
      <w:lvlJc w:val="left"/>
      <w:lvlText w:val="%1."/>
      <w:numFmt w:val="decimal"/>
      <w:start w:val="9"/>
    </w:lvl>
  </w:abstractNum>
  <w:abstractNum w:abstractNumId="15">
    <w:nsid w:val="79838CB2"/>
    <w:multiLevelType w:val="hybridMultilevel"/>
    <w:lvl w:ilvl="0">
      <w:lvlJc w:val="left"/>
      <w:lvlText w:val="%1."/>
      <w:numFmt w:val="decimal"/>
      <w:start w:val="10"/>
    </w:lvl>
  </w:abstractNum>
  <w:abstractNum w:abstractNumId="16">
    <w:nsid w:val="4353D0CD"/>
    <w:multiLevelType w:val="hybridMultilevel"/>
    <w:lvl w:ilvl="0">
      <w:lvlJc w:val="left"/>
      <w:lvlText w:val="%1."/>
      <w:numFmt w:val="decimal"/>
      <w:start w:val="1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2"/>
    </w:lvl>
  </w:abstractNum>
  <w:abstractNum w:abstractNumId="19">
    <w:nsid w:val="54E49EB4"/>
    <w:multiLevelType w:val="hybridMultilevel"/>
    <w:lvl w:ilvl="0">
      <w:lvlJc w:val="left"/>
      <w:lvlText w:val="%1."/>
      <w:numFmt w:val="decimal"/>
      <w:start w:val="13"/>
    </w:lvl>
  </w:abstractNum>
  <w:abstractNum w:abstractNumId="20">
    <w:nsid w:val="71F32454"/>
    <w:multiLevelType w:val="hybridMultilevel"/>
    <w:lvl w:ilvl="0">
      <w:lvlJc w:val="left"/>
      <w:lvlText w:val="%1."/>
      <w:numFmt w:val="decimal"/>
      <w:start w:val="14"/>
    </w:lvl>
  </w:abstractNum>
  <w:abstractNum w:abstractNumId="21">
    <w:nsid w:val="2CA88611"/>
    <w:multiLevelType w:val="hybridMultilevel"/>
    <w:lvl w:ilvl="0">
      <w:lvlJc w:val="left"/>
      <w:lvlText w:val="%1."/>
      <w:numFmt w:val="decimal"/>
      <w:start w:val="15"/>
    </w:lvl>
  </w:abstractNum>
  <w:abstractNum w:abstractNumId="22">
    <w:nsid w:val="836C40E"/>
    <w:multiLevelType w:val="hybridMultilevel"/>
    <w:lvl w:ilvl="0">
      <w:lvlJc w:val="left"/>
      <w:lvlText w:val="%1."/>
      <w:numFmt w:val="decimal"/>
      <w:start w:val="17"/>
    </w:lvl>
  </w:abstractNum>
  <w:abstractNum w:abstractNumId="23">
    <w:nsid w:val="2901D82"/>
    <w:multiLevelType w:val="hybridMultilevel"/>
    <w:lvl w:ilvl="0">
      <w:lvlJc w:val="left"/>
      <w:lvlText w:val="%1."/>
      <w:numFmt w:val="decimal"/>
      <w:start w:val="18"/>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9"/>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32"/>
    </w:lvl>
  </w:abstractNum>
  <w:abstractNum w:abstractNumId="30">
    <w:nsid w:val="22221A70"/>
    <w:multiLevelType w:val="hybridMultilevel"/>
    <w:lvl w:ilvl="0">
      <w:lvlJc w:val="left"/>
      <w:lvlText w:val="%1"/>
      <w:numFmt w:val="decimal"/>
      <w:start w:val="104"/>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2021-11-05T15:30:36Z</dcterms:created>
  <dcterms:modified xsi:type="dcterms:W3CDTF">2021-11-05T15:30:36Z</dcterms:modified>
</cp:coreProperties>
</file>